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591A2">
      <w:bookmarkStart w:id="0" w:name="_Toc174208545"/>
    </w:p>
    <w:p w14:paraId="1F313FF6">
      <w:pPr>
        <w:jc w:val="center"/>
        <w:rPr>
          <w:b/>
          <w:sz w:val="28"/>
          <w:szCs w:val="28"/>
        </w:rPr>
      </w:pPr>
      <w:r>
        <w:rPr>
          <w:b/>
          <w:sz w:val="28"/>
          <w:szCs w:val="28"/>
        </w:rPr>
        <w:t>ICT TRAINING SKILLS AND USE AMONG UNDERGRADUATE STUDENTS OF LIS AT KWARA STATE UNIVERSITY MALETE.</w:t>
      </w:r>
    </w:p>
    <w:p w14:paraId="3DB983A3">
      <w:pPr>
        <w:jc w:val="center"/>
        <w:rPr>
          <w:b/>
          <w:sz w:val="28"/>
          <w:szCs w:val="28"/>
        </w:rPr>
      </w:pPr>
    </w:p>
    <w:p w14:paraId="27B3C595">
      <w:pPr>
        <w:jc w:val="center"/>
        <w:rPr>
          <w:rFonts w:hint="default"/>
          <w:b/>
          <w:sz w:val="28"/>
          <w:szCs w:val="28"/>
          <w:lang w:val="en-US"/>
        </w:rPr>
      </w:pPr>
      <w:r>
        <w:rPr>
          <w:rFonts w:hint="default"/>
          <w:b/>
          <w:sz w:val="28"/>
          <w:szCs w:val="28"/>
          <w:lang w:val="en-US"/>
        </w:rPr>
        <w:t>BY</w:t>
      </w:r>
    </w:p>
    <w:p w14:paraId="443D5A0F">
      <w:pPr>
        <w:jc w:val="center"/>
        <w:rPr>
          <w:rFonts w:hint="default"/>
          <w:b/>
          <w:sz w:val="28"/>
          <w:szCs w:val="28"/>
          <w:lang w:val="en-US"/>
        </w:rPr>
      </w:pPr>
    </w:p>
    <w:p w14:paraId="399FE9B9">
      <w:pPr>
        <w:jc w:val="center"/>
        <w:rPr>
          <w:rFonts w:hint="default"/>
          <w:b/>
          <w:sz w:val="28"/>
          <w:szCs w:val="28"/>
          <w:lang w:val="en-US"/>
        </w:rPr>
      </w:pPr>
    </w:p>
    <w:p w14:paraId="2D7DA489">
      <w:pPr>
        <w:jc w:val="center"/>
        <w:rPr>
          <w:rFonts w:hint="default" w:ascii="Times New Roman" w:hAnsi="Times New Roman" w:eastAsia="Georgia" w:cs="Times New Roman"/>
          <w:b/>
          <w:bCs/>
          <w:i w:val="0"/>
          <w:iCs w:val="0"/>
          <w:caps w:val="0"/>
          <w:color w:val="auto"/>
          <w:spacing w:val="0"/>
          <w:sz w:val="24"/>
          <w:szCs w:val="24"/>
          <w:shd w:val="clear" w:color="auto" w:fill="auto"/>
        </w:rPr>
      </w:pPr>
      <w:r>
        <w:rPr>
          <w:rFonts w:hint="default" w:ascii="Times New Roman" w:hAnsi="Times New Roman" w:eastAsia="Georgia" w:cs="Times New Roman"/>
          <w:b/>
          <w:bCs/>
          <w:i w:val="0"/>
          <w:iCs w:val="0"/>
          <w:caps w:val="0"/>
          <w:color w:val="auto"/>
          <w:spacing w:val="0"/>
          <w:sz w:val="24"/>
          <w:szCs w:val="24"/>
          <w:shd w:val="clear" w:color="auto" w:fill="auto"/>
        </w:rPr>
        <w:t>ADEYEMI ANUOLUWAPO JOSHUA</w:t>
      </w:r>
    </w:p>
    <w:p w14:paraId="54E2FAA4">
      <w:pPr>
        <w:jc w:val="center"/>
        <w:rPr>
          <w:rFonts w:hint="default"/>
          <w:lang w:val="en-US"/>
        </w:rPr>
      </w:pPr>
      <w:r>
        <w:rPr>
          <w:b/>
          <w:sz w:val="28"/>
          <w:szCs w:val="28"/>
        </w:rPr>
        <w:t>ND/23/LIS/</w:t>
      </w:r>
      <w:r>
        <w:rPr>
          <w:rFonts w:hint="default"/>
          <w:b/>
          <w:sz w:val="28"/>
          <w:szCs w:val="28"/>
          <w:lang w:val="en-US"/>
        </w:rPr>
        <w:t>FT/0117</w:t>
      </w:r>
    </w:p>
    <w:p w14:paraId="07D36C00">
      <w:pPr>
        <w:jc w:val="center"/>
      </w:pPr>
    </w:p>
    <w:p w14:paraId="30A8B523">
      <w:pPr>
        <w:spacing w:line="360" w:lineRule="auto"/>
        <w:jc w:val="both"/>
        <w:rPr>
          <w:rFonts w:hint="default" w:ascii="Times New Roman" w:hAnsi="Times New Roman" w:cs="Times New Roman"/>
          <w:b/>
          <w:bCs w:val="0"/>
          <w:sz w:val="24"/>
          <w:szCs w:val="24"/>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7790D97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253F61B2">
      <w:pPr>
        <w:spacing w:line="360" w:lineRule="auto"/>
        <w:jc w:val="both"/>
        <w:rPr>
          <w:rFonts w:hint="default" w:ascii="Times New Roman" w:hAnsi="Times New Roman" w:cs="Times New Roman"/>
          <w:b/>
          <w:bCs w:val="0"/>
          <w:sz w:val="24"/>
          <w:szCs w:val="24"/>
        </w:rPr>
      </w:pPr>
    </w:p>
    <w:p w14:paraId="03B845CE">
      <w:pPr>
        <w:spacing w:line="360" w:lineRule="auto"/>
        <w:jc w:val="center"/>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485BF0FF">
      <w:pPr>
        <w:spacing w:line="360" w:lineRule="auto"/>
        <w:jc w:val="both"/>
        <w:rPr>
          <w:rFonts w:hint="default" w:ascii="Times New Roman" w:hAnsi="Times New Roman" w:cs="Times New Roman"/>
          <w:b/>
          <w:bCs w:val="0"/>
          <w:i/>
          <w:sz w:val="24"/>
          <w:szCs w:val="24"/>
        </w:rPr>
      </w:pPr>
    </w:p>
    <w:p w14:paraId="584E6FCE">
      <w:pPr>
        <w:spacing w:line="360" w:lineRule="auto"/>
        <w:jc w:val="both"/>
        <w:rPr>
          <w:rFonts w:hint="default" w:ascii="Times New Roman" w:hAnsi="Times New Roman" w:cs="Times New Roman"/>
          <w:b/>
          <w:bCs w:val="0"/>
          <w:i/>
          <w:sz w:val="24"/>
          <w:szCs w:val="24"/>
          <w:lang w:val="en-US"/>
        </w:rPr>
      </w:pPr>
    </w:p>
    <w:p w14:paraId="5B804745">
      <w:pPr>
        <w:spacing w:line="360" w:lineRule="auto"/>
        <w:jc w:val="both"/>
        <w:rPr>
          <w:rFonts w:hint="default" w:ascii="Times New Roman" w:hAnsi="Times New Roman" w:cs="Times New Roman"/>
          <w:b/>
          <w:bCs w:val="0"/>
          <w:i/>
          <w:sz w:val="24"/>
          <w:szCs w:val="24"/>
          <w:lang w:val="en-US"/>
        </w:rPr>
      </w:pPr>
    </w:p>
    <w:p w14:paraId="08F872C1">
      <w:pPr>
        <w:spacing w:line="360" w:lineRule="auto"/>
        <w:jc w:val="both"/>
        <w:rPr>
          <w:rFonts w:hint="default" w:ascii="Times New Roman" w:hAnsi="Times New Roman" w:cs="Times New Roman"/>
          <w:b/>
          <w:bCs w:val="0"/>
          <w:i/>
          <w:sz w:val="24"/>
          <w:szCs w:val="24"/>
          <w:lang w:val="en-US"/>
        </w:rPr>
      </w:pPr>
    </w:p>
    <w:p w14:paraId="16652F8C">
      <w:pPr>
        <w:spacing w:line="360" w:lineRule="auto"/>
        <w:ind w:left="5760" w:leftChars="0" w:firstLine="720"/>
        <w:jc w:val="center"/>
        <w:rPr>
          <w:rFonts w:hint="default" w:ascii="Times New Roman" w:hAnsi="Times New Roman" w:cs="Times New Roman"/>
          <w:b w:val="0"/>
          <w:bCs/>
          <w:sz w:val="24"/>
          <w:szCs w:val="24"/>
          <w:lang w:val="en-US"/>
        </w:rPr>
      </w:pPr>
      <w:r>
        <w:rPr>
          <w:rFonts w:hint="default" w:ascii="Times New Roman" w:hAnsi="Times New Roman" w:cs="Times New Roman"/>
          <w:b/>
          <w:bCs w:val="0"/>
          <w:i/>
          <w:sz w:val="24"/>
          <w:szCs w:val="24"/>
        </w:rPr>
        <w:t>JU</w:t>
      </w:r>
      <w:r>
        <w:rPr>
          <w:rFonts w:hint="default" w:ascii="Times New Roman" w:hAnsi="Times New Roman" w:cs="Times New Roman"/>
          <w:b/>
          <w:bCs w:val="0"/>
          <w:i/>
          <w:sz w:val="24"/>
          <w:szCs w:val="24"/>
          <w:lang w:val="en-US"/>
        </w:rPr>
        <w:t>NE</w:t>
      </w:r>
      <w:r>
        <w:rPr>
          <w:rFonts w:hint="default" w:ascii="Times New Roman" w:hAnsi="Times New Roman" w:cs="Times New Roman"/>
          <w:b/>
          <w:bCs w:val="0"/>
          <w:i/>
          <w:sz w:val="24"/>
          <w:szCs w:val="24"/>
        </w:rPr>
        <w:t>, 202</w:t>
      </w:r>
      <w:r>
        <w:rPr>
          <w:rFonts w:hint="default" w:ascii="Times New Roman" w:hAnsi="Times New Roman" w:cs="Times New Roman"/>
          <w:b/>
          <w:bCs w:val="0"/>
          <w:i/>
          <w:sz w:val="24"/>
          <w:szCs w:val="24"/>
          <w:lang w:val="en-US"/>
        </w:rPr>
        <w:t>5</w:t>
      </w:r>
    </w:p>
    <w:p w14:paraId="2551E63D">
      <w:pPr>
        <w:spacing w:line="360" w:lineRule="auto"/>
        <w:jc w:val="center"/>
        <w:rPr>
          <w:rFonts w:hint="default" w:ascii="Times New Roman" w:hAnsi="Times New Roman" w:cs="Times New Roman"/>
          <w:b/>
          <w:bCs w:val="0"/>
          <w:sz w:val="24"/>
          <w:szCs w:val="24"/>
        </w:rPr>
      </w:pPr>
    </w:p>
    <w:p w14:paraId="5192318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3088629F">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cs="Times New Roman"/>
          <w:b w:val="0"/>
          <w:bCs/>
          <w:sz w:val="24"/>
          <w:szCs w:val="24"/>
          <w:lang w:val="en-US"/>
        </w:rPr>
        <w:t>D</w:t>
      </w:r>
      <w:r>
        <w:rPr>
          <w:rFonts w:hint="default" w:ascii="Times New Roman" w:hAnsi="Times New Roman" w:cs="Times New Roman"/>
          <w:b w:val="0"/>
          <w:bCs/>
          <w:sz w:val="24"/>
          <w:szCs w:val="24"/>
        </w:rPr>
        <w:t>iploma (</w:t>
      </w:r>
      <w:r>
        <w:rPr>
          <w:rFonts w:hint="default"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Idris A.O</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4982216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cs="Times New Roman"/>
          <w:b/>
          <w:bCs w:val="0"/>
          <w:sz w:val="24"/>
          <w:szCs w:val="24"/>
          <w:lang w:val="en-US"/>
        </w:rPr>
        <w:t>External Examiner)</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4E416657">
      <w:pPr>
        <w:spacing w:line="360" w:lineRule="auto"/>
        <w:jc w:val="center"/>
        <w:rPr>
          <w:rFonts w:hint="default" w:ascii="Times New Roman" w:hAnsi="Times New Roman" w:cs="Times New Roman"/>
          <w:b/>
          <w:bCs w:val="0"/>
          <w:sz w:val="24"/>
          <w:szCs w:val="24"/>
        </w:rPr>
      </w:pPr>
    </w:p>
    <w:p w14:paraId="429F6985">
      <w:pPr>
        <w:spacing w:line="360" w:lineRule="auto"/>
        <w:jc w:val="center"/>
        <w:rPr>
          <w:rFonts w:hint="default" w:ascii="Times New Roman" w:hAnsi="Times New Roman" w:cs="Times New Roman"/>
          <w:b/>
          <w:bCs w:val="0"/>
          <w:sz w:val="24"/>
          <w:szCs w:val="24"/>
        </w:rPr>
      </w:pPr>
    </w:p>
    <w:p w14:paraId="654EB6C5">
      <w:pPr>
        <w:spacing w:line="360" w:lineRule="auto"/>
        <w:jc w:val="center"/>
        <w:rPr>
          <w:rFonts w:hint="default" w:ascii="Times New Roman" w:hAnsi="Times New Roman" w:cs="Times New Roman"/>
          <w:b/>
          <w:bCs w:val="0"/>
          <w:sz w:val="24"/>
          <w:szCs w:val="24"/>
        </w:rPr>
      </w:pPr>
    </w:p>
    <w:p w14:paraId="33CE13E7">
      <w:pPr>
        <w:spacing w:line="360" w:lineRule="auto"/>
        <w:jc w:val="center"/>
        <w:rPr>
          <w:rFonts w:hint="default" w:ascii="Times New Roman" w:hAnsi="Times New Roman" w:cs="Times New Roman"/>
          <w:b/>
          <w:bCs w:val="0"/>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cs="Times New Roman"/>
          <w:b w:val="0"/>
          <w:bCs/>
          <w:sz w:val="24"/>
          <w:szCs w:val="24"/>
          <w:lang w:val="en-US"/>
        </w:rPr>
        <w:t xml:space="preserve"> Allah</w:t>
      </w:r>
      <w:r>
        <w:rPr>
          <w:rFonts w:hint="default" w:ascii="Times New Roman" w:hAnsi="Times New Roman" w:cs="Times New Roman"/>
          <w:b w:val="0"/>
          <w:bCs/>
          <w:sz w:val="24"/>
          <w:szCs w:val="24"/>
        </w:rPr>
        <w:t xml:space="preserve"> the creator of heaven and earth who has made this project a successful one and also for sparing my life all through.</w:t>
      </w:r>
    </w:p>
    <w:p w14:paraId="24F71E06">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b/>
      </w:r>
    </w:p>
    <w:p w14:paraId="069B6865">
      <w:pPr>
        <w:spacing w:line="360" w:lineRule="auto"/>
        <w:jc w:val="both"/>
        <w:rPr>
          <w:rFonts w:hint="default" w:ascii="Times New Roman" w:hAnsi="Times New Roman" w:cs="Times New Roman"/>
          <w:b w:val="0"/>
          <w:bCs/>
          <w:sz w:val="24"/>
          <w:szCs w:val="24"/>
        </w:rPr>
      </w:pPr>
    </w:p>
    <w:p w14:paraId="1A39B4A8">
      <w:pPr>
        <w:spacing w:line="360" w:lineRule="auto"/>
        <w:jc w:val="both"/>
        <w:rPr>
          <w:rFonts w:hint="default" w:ascii="Times New Roman" w:hAnsi="Times New Roman" w:cs="Times New Roman"/>
          <w:b w:val="0"/>
          <w:bCs/>
          <w:sz w:val="24"/>
          <w:szCs w:val="24"/>
        </w:rPr>
      </w:pPr>
    </w:p>
    <w:p w14:paraId="7F807FBD">
      <w:pPr>
        <w:spacing w:line="360" w:lineRule="auto"/>
        <w:jc w:val="both"/>
        <w:rPr>
          <w:rFonts w:hint="default" w:ascii="Times New Roman" w:hAnsi="Times New Roman" w:cs="Times New Roman"/>
          <w:b w:val="0"/>
          <w:bCs/>
          <w:sz w:val="24"/>
          <w:szCs w:val="24"/>
        </w:rPr>
      </w:pPr>
    </w:p>
    <w:p w14:paraId="143FEB13">
      <w:pPr>
        <w:spacing w:line="360" w:lineRule="auto"/>
        <w:jc w:val="both"/>
        <w:rPr>
          <w:rFonts w:hint="default" w:ascii="Times New Roman" w:hAnsi="Times New Roman" w:cs="Times New Roman"/>
          <w:b w:val="0"/>
          <w:bCs/>
          <w:sz w:val="24"/>
          <w:szCs w:val="24"/>
        </w:rPr>
      </w:pPr>
    </w:p>
    <w:p w14:paraId="1EB74108">
      <w:pPr>
        <w:spacing w:line="360" w:lineRule="auto"/>
        <w:jc w:val="both"/>
        <w:rPr>
          <w:rFonts w:hint="default" w:ascii="Times New Roman" w:hAnsi="Times New Roman" w:cs="Times New Roman"/>
          <w:b w:val="0"/>
          <w:bCs/>
          <w:sz w:val="24"/>
          <w:szCs w:val="24"/>
        </w:rPr>
      </w:pPr>
    </w:p>
    <w:p w14:paraId="208DC2CB">
      <w:pPr>
        <w:spacing w:line="360" w:lineRule="auto"/>
        <w:jc w:val="both"/>
        <w:rPr>
          <w:rFonts w:hint="default" w:ascii="Times New Roman" w:hAnsi="Times New Roman" w:cs="Times New Roman"/>
          <w:b w:val="0"/>
          <w:bCs/>
          <w:sz w:val="24"/>
          <w:szCs w:val="24"/>
        </w:rPr>
      </w:pPr>
    </w:p>
    <w:p w14:paraId="2A208048">
      <w:pPr>
        <w:spacing w:line="360" w:lineRule="auto"/>
        <w:jc w:val="both"/>
        <w:rPr>
          <w:rFonts w:hint="default" w:ascii="Times New Roman" w:hAnsi="Times New Roman" w:cs="Times New Roman"/>
          <w:b w:val="0"/>
          <w:bCs/>
          <w:sz w:val="24"/>
          <w:szCs w:val="24"/>
        </w:rPr>
      </w:pPr>
    </w:p>
    <w:p w14:paraId="1905005B">
      <w:pPr>
        <w:spacing w:line="360" w:lineRule="auto"/>
        <w:jc w:val="both"/>
        <w:rPr>
          <w:rFonts w:hint="default" w:ascii="Times New Roman" w:hAnsi="Times New Roman" w:cs="Times New Roman"/>
          <w:b w:val="0"/>
          <w:bCs/>
          <w:sz w:val="24"/>
          <w:szCs w:val="24"/>
        </w:rPr>
      </w:pPr>
    </w:p>
    <w:p w14:paraId="1F1D877D">
      <w:pPr>
        <w:spacing w:line="360" w:lineRule="auto"/>
        <w:jc w:val="both"/>
        <w:rPr>
          <w:rFonts w:hint="default" w:ascii="Times New Roman" w:hAnsi="Times New Roman" w:cs="Times New Roman"/>
          <w:b w:val="0"/>
          <w:bCs/>
          <w:sz w:val="24"/>
          <w:szCs w:val="24"/>
        </w:rPr>
      </w:pPr>
    </w:p>
    <w:p w14:paraId="021C6B70">
      <w:pPr>
        <w:spacing w:line="360" w:lineRule="auto"/>
        <w:jc w:val="both"/>
        <w:rPr>
          <w:rFonts w:hint="default" w:ascii="Times New Roman" w:hAnsi="Times New Roman" w:cs="Times New Roman"/>
          <w:b w:val="0"/>
          <w:bCs/>
          <w:sz w:val="24"/>
          <w:szCs w:val="24"/>
        </w:rPr>
      </w:pPr>
    </w:p>
    <w:p w14:paraId="7EA7DCE6">
      <w:pPr>
        <w:spacing w:line="360" w:lineRule="auto"/>
        <w:jc w:val="both"/>
        <w:rPr>
          <w:rFonts w:hint="default" w:ascii="Times New Roman" w:hAnsi="Times New Roman" w:cs="Times New Roman"/>
          <w:b w:val="0"/>
          <w:bCs/>
          <w:sz w:val="24"/>
          <w:szCs w:val="24"/>
        </w:rPr>
      </w:pPr>
    </w:p>
    <w:p w14:paraId="6C03C505">
      <w:pPr>
        <w:spacing w:line="360" w:lineRule="auto"/>
        <w:jc w:val="both"/>
        <w:rPr>
          <w:rFonts w:hint="default" w:ascii="Times New Roman" w:hAnsi="Times New Roman" w:cs="Times New Roman"/>
          <w:b w:val="0"/>
          <w:bCs/>
          <w:sz w:val="24"/>
          <w:szCs w:val="24"/>
        </w:rPr>
      </w:pPr>
    </w:p>
    <w:p w14:paraId="7EEBEF63">
      <w:pPr>
        <w:spacing w:line="360" w:lineRule="auto"/>
        <w:jc w:val="both"/>
        <w:rPr>
          <w:rFonts w:hint="default" w:ascii="Times New Roman" w:hAnsi="Times New Roman" w:cs="Times New Roman"/>
          <w:b w:val="0"/>
          <w:bCs/>
          <w:sz w:val="24"/>
          <w:szCs w:val="24"/>
        </w:rPr>
      </w:pPr>
    </w:p>
    <w:p w14:paraId="59D81F19">
      <w:pPr>
        <w:spacing w:line="360" w:lineRule="auto"/>
        <w:jc w:val="both"/>
        <w:rPr>
          <w:rFonts w:hint="default" w:ascii="Times New Roman" w:hAnsi="Times New Roman" w:cs="Times New Roman"/>
          <w:b w:val="0"/>
          <w:bCs/>
          <w:sz w:val="24"/>
          <w:szCs w:val="24"/>
        </w:rPr>
      </w:pPr>
    </w:p>
    <w:p w14:paraId="68BF30F3">
      <w:pPr>
        <w:spacing w:line="360" w:lineRule="auto"/>
        <w:jc w:val="both"/>
        <w:rPr>
          <w:rFonts w:hint="default" w:ascii="Times New Roman" w:hAnsi="Times New Roman" w:cs="Times New Roman"/>
          <w:b w:val="0"/>
          <w:bCs/>
          <w:sz w:val="24"/>
          <w:szCs w:val="24"/>
        </w:rPr>
      </w:pPr>
    </w:p>
    <w:p w14:paraId="2A68C8E6">
      <w:pPr>
        <w:spacing w:line="360" w:lineRule="auto"/>
        <w:jc w:val="both"/>
        <w:rPr>
          <w:rFonts w:hint="default" w:ascii="Times New Roman" w:hAnsi="Times New Roman" w:cs="Times New Roman"/>
          <w:b w:val="0"/>
          <w:bCs/>
          <w:sz w:val="24"/>
          <w:szCs w:val="24"/>
        </w:rPr>
      </w:pPr>
    </w:p>
    <w:p w14:paraId="592A94F0">
      <w:pPr>
        <w:spacing w:line="360" w:lineRule="auto"/>
        <w:jc w:val="both"/>
        <w:rPr>
          <w:rFonts w:hint="default" w:ascii="Times New Roman" w:hAnsi="Times New Roman" w:cs="Times New Roman"/>
          <w:b w:val="0"/>
          <w:bCs/>
          <w:sz w:val="24"/>
          <w:szCs w:val="24"/>
        </w:rPr>
      </w:pPr>
    </w:p>
    <w:p w14:paraId="1884DF3E">
      <w:pPr>
        <w:spacing w:line="360" w:lineRule="auto"/>
        <w:jc w:val="both"/>
        <w:rPr>
          <w:rFonts w:hint="default" w:ascii="Times New Roman" w:hAnsi="Times New Roman" w:cs="Times New Roman"/>
          <w:b w:val="0"/>
          <w:bCs/>
          <w:sz w:val="24"/>
          <w:szCs w:val="24"/>
        </w:rPr>
      </w:pPr>
    </w:p>
    <w:p w14:paraId="6AFFD56F">
      <w:pPr>
        <w:spacing w:line="360" w:lineRule="auto"/>
        <w:jc w:val="both"/>
        <w:rPr>
          <w:rFonts w:hint="default" w:ascii="Times New Roman" w:hAnsi="Times New Roman" w:cs="Times New Roman"/>
          <w:b w:val="0"/>
          <w:bCs/>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cs="Times New Roman"/>
          <w:b w:val="0"/>
          <w:bCs/>
          <w:sz w:val="24"/>
          <w:szCs w:val="24"/>
          <w:lang w:val="en-US"/>
        </w:rPr>
        <w:t xml:space="preserve">God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Mr</w:t>
      </w:r>
      <w:r>
        <w:rPr>
          <w:rFonts w:hint="default" w:ascii="Times New Roman" w:hAnsi="Times New Roman" w:cs="Times New Roman"/>
          <w:b/>
          <w:bCs w:val="0"/>
          <w:sz w:val="24"/>
          <w:szCs w:val="24"/>
          <w:lang w:val="en-US"/>
        </w:rPr>
        <w:t>. Idris A.O</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after="240"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Also i</w:t>
      </w:r>
      <w:r>
        <w:rPr>
          <w:rFonts w:ascii="Times New Roman" w:hAnsi="Times New Roman" w:cs="Times New Roman"/>
          <w:sz w:val="24"/>
          <w:szCs w:val="24"/>
        </w:rPr>
        <w:t xml:space="preserve"> sincerely, heartedly and indebted to my beloved brothers and caring parent</w:t>
      </w:r>
      <w:r>
        <w:rPr>
          <w:rFonts w:hint="default" w:cs="Times New Roman"/>
          <w:sz w:val="24"/>
          <w:szCs w:val="24"/>
          <w:lang w:val="en-US"/>
        </w:rPr>
        <w:t>, Mr and Mrs Adeyemi</w:t>
      </w:r>
      <w:r>
        <w:rPr>
          <w:rFonts w:ascii="Times New Roman" w:hAnsi="Times New Roman" w:cs="Times New Roman"/>
          <w:sz w:val="24"/>
          <w:szCs w:val="24"/>
        </w:rPr>
        <w:t xml:space="preserve"> for their financially support from my childhood, May Almighty Allah will sustain you to reap the fruit of</w:t>
      </w:r>
      <w:bookmarkStart w:id="79" w:name="_GoBack"/>
      <w:bookmarkEnd w:id="79"/>
      <w:r>
        <w:rPr>
          <w:rFonts w:ascii="Times New Roman" w:hAnsi="Times New Roman" w:cs="Times New Roman"/>
          <w:sz w:val="24"/>
          <w:szCs w:val="24"/>
        </w:rPr>
        <w:t xml:space="preserve"> your labour</w:t>
      </w:r>
      <w:r>
        <w:rPr>
          <w:rFonts w:hint="default" w:ascii="Times New Roman" w:hAnsi="Times New Roman" w:cs="Times New Roman"/>
          <w:b w:val="0"/>
          <w:bCs/>
          <w:sz w:val="24"/>
          <w:szCs w:val="24"/>
          <w:lang w:val="en-US"/>
        </w:rPr>
        <w:t>, may Almighty Allah Bless them.</w:t>
      </w:r>
    </w:p>
    <w:p w14:paraId="6A729CFE">
      <w:pPr>
        <w:spacing w:line="360" w:lineRule="auto"/>
        <w:jc w:val="both"/>
      </w:pPr>
      <w:r>
        <w:rPr>
          <w:rFonts w:hint="default"/>
          <w:b w:val="0"/>
          <w:bCs/>
          <w:sz w:val="24"/>
          <w:szCs w:val="24"/>
          <w:lang w:val="en-US"/>
        </w:rPr>
        <w:tab/>
      </w:r>
      <w:r>
        <w:rPr>
          <w:rFonts w:hint="default"/>
          <w:b w:val="0"/>
          <w:bCs/>
          <w:sz w:val="24"/>
          <w:szCs w:val="24"/>
          <w:lang w:val="en-US"/>
        </w:rPr>
        <w:t>Also, all thanks to my colleagues who support me during the project may God answer all your prayers, how can I forget the person that help me edit and print the project in person of Mr Habeeb, may Allah reward you.</w:t>
      </w:r>
    </w:p>
    <w:p w14:paraId="3DB64630">
      <w:pPr>
        <w:jc w:val="center"/>
      </w:pPr>
    </w:p>
    <w:p w14:paraId="5B405EE9">
      <w:pPr>
        <w:jc w:val="center"/>
      </w:pPr>
    </w:p>
    <w:p w14:paraId="335144E8"/>
    <w:p w14:paraId="303BAF32"/>
    <w:p w14:paraId="058263D2">
      <w:r>
        <w:br w:type="page"/>
      </w:r>
    </w:p>
    <w:p w14:paraId="69504876">
      <w:pPr>
        <w:pStyle w:val="2"/>
      </w:pPr>
      <w:r>
        <w:t>TABLE OF CONTENTS</w:t>
      </w:r>
    </w:p>
    <w:p w14:paraId="04D3204F"/>
    <w:p w14:paraId="47F8BF2B">
      <w:pPr>
        <w:spacing w:after="0" w:line="360" w:lineRule="auto"/>
      </w:pPr>
    </w:p>
    <w:p w14:paraId="2CCAA878">
      <w:pPr>
        <w:spacing w:after="0" w:line="360" w:lineRule="auto"/>
      </w:pPr>
      <w:r>
        <w:t xml:space="preserve">FRONT PAGE…………………………………………………….…………………………i </w:t>
      </w:r>
    </w:p>
    <w:p w14:paraId="75ADC0E2">
      <w:r>
        <w:t>TITLE PAGE……………………………………………………..………………………….ii</w:t>
      </w:r>
    </w:p>
    <w:p w14:paraId="25CD8E45">
      <w:r>
        <w:t>DECLARATION…………………………………………………………………………….iii</w:t>
      </w:r>
    </w:p>
    <w:p w14:paraId="59D7C3C2">
      <w:r>
        <w:t>CERTIFICATION…………………………………………………………………………...iv</w:t>
      </w:r>
    </w:p>
    <w:p w14:paraId="457DC963">
      <w:r>
        <w:t>DEDICATION……………………………………………………………………………….v</w:t>
      </w:r>
    </w:p>
    <w:p w14:paraId="05A3A1A0">
      <w:r>
        <w:t>ACKNOWLEDGMENTS……………………………………………………………………vi</w:t>
      </w:r>
    </w:p>
    <w:p w14:paraId="717C359D">
      <w:r>
        <w:t>TABLE OF CONTENTS…………………………………………………………………….vii</w:t>
      </w:r>
    </w:p>
    <w:p w14:paraId="4521B49B">
      <w:r>
        <w:t>LIST OF TABLES……………………………………………………………………………ix</w:t>
      </w:r>
    </w:p>
    <w:p w14:paraId="391A7FCB">
      <w:r>
        <w:t>ABSTRACT………………………………………………………………………………….x</w:t>
      </w:r>
    </w:p>
    <w:p w14:paraId="48A54E49">
      <w:r>
        <w:rPr>
          <w:b/>
        </w:rPr>
        <w:t>CHAPTER ONE: INTRODUCTION</w:t>
      </w:r>
      <w:r>
        <w:t>………………………………………………………1</w:t>
      </w:r>
    </w:p>
    <w:p w14:paraId="08B92190">
      <w:r>
        <w:t>1.1 Background to the Study…………………………………………………………………..1</w:t>
      </w:r>
    </w:p>
    <w:p w14:paraId="41493906">
      <w:r>
        <w:t>1.2 Statement of the Problem………………………………………………………………….4</w:t>
      </w:r>
    </w:p>
    <w:p w14:paraId="311D7F5C">
      <w:r>
        <w:t>1.3 Objectives of the Study……………………………………………………………………5</w:t>
      </w:r>
    </w:p>
    <w:p w14:paraId="53ABC0A4">
      <w:r>
        <w:t>1.4 Research Questions………………………………………………………………………..5</w:t>
      </w:r>
    </w:p>
    <w:p w14:paraId="7F0A33B5">
      <w:r>
        <w:t>1.5 Scope of the Study………………………………………………….……………………..6</w:t>
      </w:r>
    </w:p>
    <w:p w14:paraId="456EA8AE">
      <w:r>
        <w:t>1.6 Significance of the Study………………………………………………………………….6</w:t>
      </w:r>
    </w:p>
    <w:p w14:paraId="4149F3DA">
      <w:r>
        <w:t>1.7 Operational Definition of Terms…………………………………………………………..6</w:t>
      </w:r>
    </w:p>
    <w:p w14:paraId="4D1CC777">
      <w:r>
        <w:rPr>
          <w:b/>
        </w:rPr>
        <w:t>CHAPTER TWO: REVIEW OF RELATED LITERATURE</w:t>
      </w:r>
      <w:r>
        <w:t>…………………………...8</w:t>
      </w:r>
    </w:p>
    <w:p w14:paraId="641CEED4">
      <w:r>
        <w:t>2.1Introduction………………………………………………………………………………...8</w:t>
      </w:r>
    </w:p>
    <w:p w14:paraId="4503299C">
      <w:r>
        <w:t>2.2 Historical Review of the Use of ICT in Library and Information Science in Nigeria…….8</w:t>
      </w:r>
    </w:p>
    <w:p w14:paraId="25602369">
      <w:r>
        <w:t>2.2.1 The Introduction of Computerization……………………………………………………9</w:t>
      </w:r>
    </w:p>
    <w:p w14:paraId="743B2F89">
      <w:r>
        <w:t>2.3 Undergraduates Use of Internet……………………………………………………………10</w:t>
      </w:r>
    </w:p>
    <w:p w14:paraId="1D9B840C">
      <w:r>
        <w:t>2.4 Method of ICT Skills Acquisition among Undergraduates………………………………...13</w:t>
      </w:r>
    </w:p>
    <w:p w14:paraId="72257BC6">
      <w:r>
        <w:t>2.5 Undergraduates' Information and Communication Technology Skills……………………..16</w:t>
      </w:r>
    </w:p>
    <w:p w14:paraId="230A5CB5">
      <w:r>
        <w:t>2.6 Propose Recommendations for Curriculum Modifications…………………………………19</w:t>
      </w:r>
    </w:p>
    <w:p w14:paraId="5F93564E">
      <w:r>
        <w:t>2.7 Empirical Review……………………………………………………………………………20</w:t>
      </w:r>
    </w:p>
    <w:p w14:paraId="3262E446">
      <w:r>
        <w:t>2.8 Appraisal of the Literature Review………………………………………………………….24</w:t>
      </w:r>
    </w:p>
    <w:p w14:paraId="16DC2786">
      <w:r>
        <w:rPr>
          <w:b/>
        </w:rPr>
        <w:t>CHAPTER THREE: METHODOLOGY</w:t>
      </w:r>
      <w:r>
        <w:t>……...……………………………………………..26</w:t>
      </w:r>
    </w:p>
    <w:p w14:paraId="16E50E35">
      <w:r>
        <w:t>3.1 Introduction………………………………………………………………………………….26</w:t>
      </w:r>
    </w:p>
    <w:p w14:paraId="6C5EC884">
      <w:r>
        <w:t>3.2 Research Design……………………………………………………………………………..26</w:t>
      </w:r>
    </w:p>
    <w:p w14:paraId="0B3F51D0">
      <w:r>
        <w:t>3.3 Population of the Study………………………………………………………………………27</w:t>
      </w:r>
    </w:p>
    <w:p w14:paraId="173254BC">
      <w:r>
        <w:t>3.4 Sample and Sampling Technique…………………………………………………………….27</w:t>
      </w:r>
    </w:p>
    <w:p w14:paraId="00E95E4F">
      <w:r>
        <w:t>3.5 Instrument for Data Collection………………………………………………………………28</w:t>
      </w:r>
    </w:p>
    <w:p w14:paraId="13D39E0C">
      <w:r>
        <w:t>3.6 Procedure for Data Collection……………………………………………………………….29</w:t>
      </w:r>
    </w:p>
    <w:p w14:paraId="3862DF51">
      <w:r>
        <w:t>3.7 Validity and Reliability of the Study………………………………………………………...29</w:t>
      </w:r>
    </w:p>
    <w:p w14:paraId="441E0B2B">
      <w:r>
        <w:t>3.8 Data Analysis Method………………………………………………………………………..30</w:t>
      </w:r>
    </w:p>
    <w:p w14:paraId="4F9F3F98">
      <w:pPr>
        <w:rPr>
          <w:b/>
        </w:rPr>
      </w:pPr>
      <w:r>
        <w:rPr>
          <w:b/>
        </w:rPr>
        <w:t>CHAPTER FOUR: DATA ANALYSIS, PRESENTATION AND INTERPRETATION</w:t>
      </w:r>
      <w:r>
        <w:t>....31</w:t>
      </w:r>
    </w:p>
    <w:p w14:paraId="2B57954B">
      <w:r>
        <w:t>4.1 Introduction…………………………………………………………………………………..31</w:t>
      </w:r>
    </w:p>
    <w:p w14:paraId="5A072760">
      <w:r>
        <w:t>4.2 Return Rate………..…………………………………………………………………………31</w:t>
      </w:r>
    </w:p>
    <w:p w14:paraId="5F7E7281">
      <w:r>
        <w:t>4.3 Data Presentation and Analysis……………………………………………………………...31</w:t>
      </w:r>
    </w:p>
    <w:p w14:paraId="10FB9688">
      <w:r>
        <w:t>4.4 Discussion of the Findings…………………………………………………………………...45</w:t>
      </w:r>
    </w:p>
    <w:p w14:paraId="1ECAA6D1">
      <w:pPr>
        <w:rPr>
          <w:b/>
        </w:rPr>
      </w:pPr>
      <w:r>
        <w:rPr>
          <w:b/>
        </w:rPr>
        <w:t>CHAPTER FIVE: SUMMARY, CONCLUSION AND RECOMMENDATION</w:t>
      </w:r>
      <w:r>
        <w:t>.................49</w:t>
      </w:r>
    </w:p>
    <w:p w14:paraId="5F6E575F">
      <w:r>
        <w:t>5.1 Introduction………………………………………………………………………………….49</w:t>
      </w:r>
    </w:p>
    <w:p w14:paraId="271AC13D">
      <w:r>
        <w:t>5.2 Summary of the Findings……………………………………………………………………49</w:t>
      </w:r>
    </w:p>
    <w:p w14:paraId="4873FFF3">
      <w:r>
        <w:t>5.3 Conclusion…………………………………………………………………………………...50</w:t>
      </w:r>
    </w:p>
    <w:p w14:paraId="252EEF5C">
      <w:r>
        <w:t>5.4 Recommendations……………………………………………………………………………50</w:t>
      </w:r>
    </w:p>
    <w:p w14:paraId="14A16D59">
      <w:r>
        <w:t>5.5 Suggestions for Further Studies……………………………………………………………...51</w:t>
      </w:r>
    </w:p>
    <w:p w14:paraId="0FECA968">
      <w:r>
        <w:t>5.6 Limitations of Study…………………………………………………………………………51</w:t>
      </w:r>
    </w:p>
    <w:p w14:paraId="052BA57F">
      <w:r>
        <w:t>REFERENCES…………………………………………………………………………………..53</w:t>
      </w:r>
    </w:p>
    <w:p w14:paraId="76789AC7">
      <w:r>
        <w:t>APPENDIX………………………………………………………………………………………60</w:t>
      </w:r>
    </w:p>
    <w:p w14:paraId="2D3D6FCA"/>
    <w:p w14:paraId="3E4FDDAF"/>
    <w:p w14:paraId="0D927A87"/>
    <w:p w14:paraId="5B45549C"/>
    <w:p w14:paraId="1F93F6C7">
      <w:pPr>
        <w:pStyle w:val="2"/>
      </w:pPr>
      <w:r>
        <w:t>ABSTRACT</w:t>
      </w:r>
      <w:bookmarkEnd w:id="0"/>
    </w:p>
    <w:p w14:paraId="0A6EF827"/>
    <w:p w14:paraId="541926FD">
      <w:pPr>
        <w:spacing w:line="240" w:lineRule="auto"/>
        <w:jc w:val="both"/>
        <w:rPr>
          <w:i/>
        </w:rPr>
        <w:sectPr>
          <w:footerReference r:id="rId5" w:type="default"/>
          <w:pgSz w:w="12240" w:h="15840"/>
          <w:pgMar w:top="1440" w:right="1440" w:bottom="1440" w:left="1440" w:header="720" w:footer="720" w:gutter="0"/>
          <w:pgNumType w:fmt="lowerRoman"/>
          <w:cols w:space="720" w:num="1"/>
          <w:docGrid w:linePitch="326" w:charSpace="0"/>
        </w:sectPr>
      </w:pPr>
      <w:r>
        <w:rPr>
          <w:i/>
        </w:rPr>
        <w:t>This study investigates ICT training skills and usage among undergraduate students of Library and Information Science (LIS) at Kwara State University, Malete. The primary objectives of the research were to determine students' internet usage, assess their self-reported ICT skills, identify the sources through which they acquired these skills, and propose recommendations for curriculum modifications to address identified gaps. Employing a quantitative research design, the study utilized a structured survey distributed to a sample of 400 undergraduate LIS students, selected through stratified random sampling. Data analysis was performed using the IBM Statistical Package for Social Sciences (SPSS), with results displayed through frequency distribution. Findings indicate that respondents regularly use the internet primarily for academic purposes and demonstrate high proficiency in basic ICT skills, acquired from various sources such as external courses, manuals, peer assistance, and cybercafé personnel, rather than solely through their academic curriculum. The study underscores the necessity for practical ICT training to enhance students' competencies in this rapidly evolving field. Conclusions highlight that LIS undergraduates possess foundational ICT skills but require more robust training within their academic programs. The study recommends increasing the frequency and duration of practical ICT sessions, providing access to updated resources, conducting workshops on emerging technologies, and fostering partnerships with industry professionals for real-world training experiences. Additionally, the study presents suggestions for further research into longitudinal skill development, comparative analyses across disciplines, and the impacts of emerging technologies on ICT competency requirements. Limitations of the study include its focus on a single institution and a narrow scope of ICT skills assessed, suggesting that future studies may benefit from a broader approach and consideration of advanced ICT competencies</w:t>
      </w:r>
    </w:p>
    <w:p w14:paraId="58D955CF">
      <w:pPr>
        <w:rPr>
          <w:b/>
        </w:rPr>
      </w:pPr>
    </w:p>
    <w:p w14:paraId="63144D87">
      <w:pPr>
        <w:pStyle w:val="2"/>
        <w:sectPr>
          <w:pgSz w:w="12240" w:h="15840"/>
          <w:pgMar w:top="1440" w:right="1440" w:bottom="1440" w:left="1440" w:header="720" w:footer="720" w:gutter="0"/>
          <w:cols w:space="720" w:num="1"/>
          <w:docGrid w:linePitch="360" w:charSpace="0"/>
        </w:sectPr>
      </w:pPr>
      <w:r>
        <w:rPr>
          <w:b/>
        </w:rPr>
        <w:t xml:space="preserve">Word count: </w:t>
      </w:r>
      <w:r>
        <w:t>273</w:t>
      </w:r>
      <w:bookmarkStart w:id="1" w:name="_Toc174208546"/>
    </w:p>
    <w:p w14:paraId="208559E6">
      <w:pPr>
        <w:pStyle w:val="2"/>
      </w:pPr>
      <w:r>
        <w:t>CHAPTER ONE</w:t>
      </w:r>
      <w:bookmarkEnd w:id="1"/>
    </w:p>
    <w:p w14:paraId="36D694F0">
      <w:pPr>
        <w:pStyle w:val="2"/>
      </w:pPr>
      <w:bookmarkStart w:id="2" w:name="_Toc174208547"/>
      <w:r>
        <w:t>INTRODUCTION</w:t>
      </w:r>
      <w:bookmarkEnd w:id="2"/>
    </w:p>
    <w:p w14:paraId="611C807F">
      <w:pPr>
        <w:spacing w:after="0" w:line="360" w:lineRule="auto"/>
        <w:jc w:val="center"/>
        <w:rPr>
          <w:b/>
          <w:color w:val="000000"/>
        </w:rPr>
      </w:pPr>
    </w:p>
    <w:p w14:paraId="1D7A62A7">
      <w:pPr>
        <w:pStyle w:val="3"/>
      </w:pPr>
      <w:bookmarkStart w:id="3" w:name="_Toc174208548"/>
      <w:r>
        <w:t>1.1 Background to the Study</w:t>
      </w:r>
      <w:bookmarkEnd w:id="3"/>
      <w:r>
        <w:t xml:space="preserve">  </w:t>
      </w:r>
    </w:p>
    <w:p w14:paraId="7B276453">
      <w:pPr>
        <w:spacing w:after="0" w:line="480" w:lineRule="auto"/>
        <w:jc w:val="both"/>
        <w:rPr>
          <w:color w:val="000000"/>
        </w:rPr>
      </w:pPr>
      <w:r>
        <w:rPr>
          <w:color w:val="000000"/>
        </w:rPr>
        <w:t xml:space="preserve">The widespread adoption of Information and Communication Technologies (ICTs) in recent decades has significantly altered or customized the job duties of many professionals, including librarians and information officers. Library workers are required to get and enhance their ICT skills to adapt to the latest ICT breakthroughs (Yu, Lin, &amp; Liao, 2017). There is a growing acceptance among academics, education policy-makers, and employer groups that the development of ICT skills is part of the role of higher education. Employers are seeking graduates with a range of knowledge on ICT skills and personal attributes in addition to degree status (B-HERT, 2002). According to Akintunde (2004), ICT as a terminology has overtaken information technology (IT) because of its appropriateness and utilization. </w:t>
      </w:r>
    </w:p>
    <w:p w14:paraId="3140C52E">
      <w:pPr>
        <w:spacing w:after="0" w:line="480" w:lineRule="auto"/>
        <w:jc w:val="both"/>
        <w:rPr>
          <w:color w:val="000000"/>
        </w:rPr>
      </w:pPr>
      <w:r>
        <w:rPr>
          <w:color w:val="000000"/>
        </w:rPr>
        <w:t xml:space="preserve">Beebe (2004) posited that ICT is a short-term term for computers, software, networks, satellite links, and related systems that allow people to access, analyze, create, exchange, and use data, information, and knowledge. The use of ICT has increased and broadened the impact and skills of students on how to seek information electronically. The ICT skills that have become increasingly important in the pursuance of a degree-level education will affect both how students manipulate these e-learning resources and the way they are used for learning. ICT skills deal with the application of ICT to specific purposes. It is not just about using software packages or operating systems, nor is it concerned only with keyboarding skills and students’ ability to copy-type or follow instructions. Rather, ICT skills among undergraduates are about students’ ability to use their knowledge about ICT to find, develop, and present information; whether it is text, image, or number, or all of these in an integrated task. Tariq and Cochrane (2003) noted that in recent years employers have required graduate employees to be skilled in a range of areas including ICT and employers look to higher education Institutions to equip their graduates with the requisite skills. </w:t>
      </w:r>
    </w:p>
    <w:p w14:paraId="1CD94776">
      <w:pPr>
        <w:spacing w:after="0" w:line="480" w:lineRule="auto"/>
        <w:jc w:val="both"/>
        <w:rPr>
          <w:color w:val="000000"/>
        </w:rPr>
      </w:pPr>
      <w:r>
        <w:rPr>
          <w:color w:val="000000"/>
        </w:rPr>
        <w:t xml:space="preserve">Engeldinger (1998) noted that the fundamental purpose of higher education is the preparation of students for their future. If graduates of today and tomorrow are to flourish in the modern, fast-paced, high-tech world, they must have information-seeking and technology skills. The means of acquiring these ICT skills must be embedded in students' learning and be part and parcel of their educational experience. Adeogun (2003) reported that ICT skills among undergraduates have broken the barriers of time, distance, location, and cost of study. The ability of undergraduates to manipulate ICTs through the skills they have acquired means a lot to institutional management. </w:t>
      </w:r>
    </w:p>
    <w:p w14:paraId="569733DC">
      <w:pPr>
        <w:spacing w:after="0" w:line="480" w:lineRule="auto"/>
        <w:jc w:val="both"/>
        <w:rPr>
          <w:color w:val="000000"/>
        </w:rPr>
      </w:pPr>
      <w:r>
        <w:rPr>
          <w:color w:val="000000"/>
        </w:rPr>
        <w:t xml:space="preserve">To utilize the growing range of ICTs, students must acquire and practice the skills necessary to exploit them. As Dutton (1990) suggested the skills required to maximize the potential of ICTs are much more than those required for searching printed sources. These skills include a knowledge of computer operations, knowledge of the structure of databases, and the instructions that must be input into the computer by the student, as well as an understanding of how the instructions are linked with one another. To this end, Brophy (1993) stated that students do not often appreciate the skills required to search these sources, stating that they are deceptively easy to use. The ability of students to find and retrieve information effectively is a transferable skill useful for future life as well as enabling the positive and successful use of electronic resources while still at the university. </w:t>
      </w:r>
    </w:p>
    <w:p w14:paraId="01AD6F65">
      <w:pPr>
        <w:spacing w:after="0" w:line="480" w:lineRule="auto"/>
        <w:jc w:val="both"/>
        <w:rPr>
          <w:color w:val="000000"/>
        </w:rPr>
      </w:pPr>
      <w:r>
        <w:rPr>
          <w:color w:val="000000"/>
        </w:rPr>
        <w:t xml:space="preserve">As Brophy (1993) argued institutions must reach a position where the acquisition of ICT skills is acknowledged as one of the key learning objectives for every student entering a university so that no student leaves without being fully equipped to cope with the information-intensive world, the information society as an end-user. Akintunde (2004) stated that the ability to use a computer is not the only ICT skill needed to exploit the information located on the internet. To make the most of this online content, one must be information or ICT literate. Nikitakis (2007) stated that ICT skill refers to the ability to fully understand and acquire a wholeness of capacities, such as recognizing, spotting, evaluating, and making effective use of the given information. </w:t>
      </w:r>
    </w:p>
    <w:p w14:paraId="75971B74">
      <w:pPr>
        <w:spacing w:after="0" w:line="480" w:lineRule="auto"/>
        <w:jc w:val="both"/>
        <w:rPr>
          <w:color w:val="000000"/>
        </w:rPr>
      </w:pPr>
      <w:r>
        <w:rPr>
          <w:color w:val="000000"/>
        </w:rPr>
        <w:t xml:space="preserve">In order words, one should possess not only basic computer usage skills but also communication, inquiry, and information retrieval capabilities. Ryan (1994) stated that, over a decade ago, the International Technology Education Association recognized the students’ preparation on internet applications as an important objective of computer literacy education in the educational curriculum. Thus, students possessing ICT skills is very important not only in the academic environment but also in lifelong learning settings. Internet resources are an integral part of the research process for students due to their numerous benefits which include the availability of information resources at all times from any location. Students believe that electronic resources improve the quality of their papers by allowing them to spend less time in the research phase and more time in the writing phase. </w:t>
      </w:r>
    </w:p>
    <w:p w14:paraId="41051FF6">
      <w:pPr>
        <w:spacing w:after="0" w:line="480" w:lineRule="auto"/>
        <w:jc w:val="both"/>
        <w:rPr>
          <w:color w:val="000000"/>
        </w:rPr>
      </w:pPr>
      <w:r>
        <w:rPr>
          <w:color w:val="000000"/>
        </w:rPr>
        <w:t xml:space="preserve">Nevertheless, research indicates that simply having the presence and opportunity to utilize Information and Communication Technologies (ICTs) is insufficient; people must also acquire the requisite knowledge and abilities to utilize ICTs proficiently (Pavel, Fruth, &amp; Neacsu, 2015). Michaelsen, Knight, and Fink (2023) proposed four essential categories of resources necessary for the effective utilization of ICT: (1) tangible resources, (2) electronic resources, (3) personnel resources, and (4) communal resources. Physical resources encompass the tangible infrastructure required for accessing computers and telecommunication connections. Digital resources encompass the digital content that may be accessed over the internet (Buckingham, 2015). Human resources refers to the abilities and knowledge required to utilize information and communication technology (ICT), while social resources pertain to the assistance provided by the community, institutions, and societal structures to gain access to ICT (Buckingham, 2015). </w:t>
      </w:r>
    </w:p>
    <w:p w14:paraId="7CA803A5">
      <w:pPr>
        <w:spacing w:after="0" w:line="480" w:lineRule="auto"/>
        <w:jc w:val="both"/>
        <w:rPr>
          <w:b/>
        </w:rPr>
      </w:pPr>
      <w:r>
        <w:rPr>
          <w:color w:val="000000"/>
        </w:rPr>
        <w:t>The Measuring the Information Society Report (2017) by the International Telecommunication Union (ITU) reveals that there are substantial disparities in digital access between developed and developing nations (Sicherl, 2019). Furthermore, developing countries have a major gender gap in digital access (Sicherl, 2019). While both rich and developing nations are significantly expanding their spending on ICT infrastructure for socioeconomic development, not all countries are equally benefiting from these investments (Niebel, 2018). The effectiveness of ICT access is contingent upon the utilisation of ICT and the proficiency in ICT skills, and the extent of ICT usage is determined by the requisite ICT capabilities. Furthermore, the acquisition of ICT knowledge is of greater significance in developing nations, since it allows for the optimization of ICT utilisation and proficiency (Niebel, 2018). Since the development of ICT particularly the internet, students require the necessary skills to be successful in using these ICTs. Therefore, this study intends to identify the ICT skills possessed by graduates of Library and Information Science and the influence of these skills on their use of the Internet.</w:t>
      </w:r>
    </w:p>
    <w:p w14:paraId="54A0C4A1">
      <w:pPr>
        <w:pStyle w:val="3"/>
      </w:pPr>
      <w:bookmarkStart w:id="4" w:name="_Toc174208549"/>
      <w:r>
        <w:t>1.2 Statement of the Problem</w:t>
      </w:r>
      <w:bookmarkEnd w:id="4"/>
    </w:p>
    <w:p w14:paraId="36A43FB6">
      <w:pPr>
        <w:spacing w:line="480" w:lineRule="auto"/>
        <w:jc w:val="both"/>
      </w:pPr>
      <w:r>
        <w:t>Despite the increasing emphasis on ICT in the field of Library and Information Science (LIS), there is a lack of empirical evidence regarding the ICT skills possessed by undergraduate students in LIS programmes (Lippincott, 2015). As the role of library professionals evolves with technological advancements, LIS students must acquire the necessary ICT skills to meet the demands of the profession and contribute to the development of a knowledge-based society (Gremm, Barth, Fietkiewicz, &amp; Stock, 2018). The existing literature highlights the importance of ICT skills in library professions globally, but there is a gap in understanding the specific ICT skill levels among LIS students at Kwara State University. This study aims to address this gap by assessing the self-reported ICT skills of undergraduate LIS students and exploring potential areas for improvement in the curriculum to ensure the production of ICT-savvy graduates capable of actively participating in building an ICT literate society in Nigeria.</w:t>
      </w:r>
    </w:p>
    <w:p w14:paraId="562D002F">
      <w:pPr>
        <w:pStyle w:val="3"/>
      </w:pPr>
      <w:bookmarkStart w:id="5" w:name="_Toc174208550"/>
      <w:r>
        <w:t>1.3</w:t>
      </w:r>
      <w:r>
        <w:tab/>
      </w:r>
      <w:r>
        <w:t>Objectives of the Study</w:t>
      </w:r>
      <w:bookmarkEnd w:id="5"/>
      <w:r>
        <w:t xml:space="preserve"> </w:t>
      </w:r>
    </w:p>
    <w:p w14:paraId="176CE777">
      <w:pPr>
        <w:spacing w:after="0" w:line="480" w:lineRule="auto"/>
        <w:jc w:val="both"/>
      </w:pPr>
      <w:r>
        <w:t>The main objectives of this study is to examine ICT training skills and use among undergraduate students of LIS at Kwara State University Malete.</w:t>
      </w:r>
    </w:p>
    <w:p w14:paraId="47F87248">
      <w:pPr>
        <w:spacing w:after="0" w:line="480" w:lineRule="auto"/>
        <w:jc w:val="both"/>
      </w:pPr>
      <w:r>
        <w:t>The specific objectives of this study are to:</w:t>
      </w:r>
    </w:p>
    <w:p w14:paraId="21451AE3">
      <w:pPr>
        <w:widowControl w:val="0"/>
        <w:numPr>
          <w:ilvl w:val="0"/>
          <w:numId w:val="1"/>
        </w:numPr>
        <w:tabs>
          <w:tab w:val="left" w:pos="464"/>
        </w:tabs>
        <w:spacing w:after="0" w:line="480" w:lineRule="auto"/>
        <w:ind w:right="339"/>
      </w:pPr>
      <w:r>
        <w:rPr>
          <w:color w:val="000000"/>
        </w:rPr>
        <w:t>determine how the undergraduates make use of the Internet;</w:t>
      </w:r>
    </w:p>
    <w:p w14:paraId="73252B10">
      <w:pPr>
        <w:widowControl w:val="0"/>
        <w:numPr>
          <w:ilvl w:val="0"/>
          <w:numId w:val="1"/>
        </w:numPr>
        <w:tabs>
          <w:tab w:val="left" w:pos="464"/>
        </w:tabs>
        <w:spacing w:after="0" w:line="480" w:lineRule="auto"/>
        <w:ind w:right="339"/>
      </w:pPr>
      <w:r>
        <w:rPr>
          <w:color w:val="000000"/>
        </w:rPr>
        <w:t>examine how the undergraduates acquire their ICT skills;</w:t>
      </w:r>
    </w:p>
    <w:p w14:paraId="73F1F248">
      <w:pPr>
        <w:widowControl w:val="0"/>
        <w:numPr>
          <w:ilvl w:val="0"/>
          <w:numId w:val="1"/>
        </w:numPr>
        <w:tabs>
          <w:tab w:val="left" w:pos="464"/>
        </w:tabs>
        <w:spacing w:after="0" w:line="480" w:lineRule="auto"/>
        <w:ind w:right="339"/>
      </w:pPr>
      <w:r>
        <w:rPr>
          <w:color w:val="000000"/>
        </w:rPr>
        <w:t>identify how the undergraduates possess their ICT skills;</w:t>
      </w:r>
    </w:p>
    <w:p w14:paraId="23E89C89">
      <w:pPr>
        <w:widowControl w:val="0"/>
        <w:numPr>
          <w:ilvl w:val="0"/>
          <w:numId w:val="1"/>
        </w:numPr>
        <w:tabs>
          <w:tab w:val="left" w:pos="464"/>
        </w:tabs>
        <w:spacing w:after="0" w:line="480" w:lineRule="auto"/>
        <w:ind w:right="339"/>
      </w:pPr>
      <w:r>
        <w:rPr>
          <w:color w:val="000000"/>
        </w:rPr>
        <w:t>propose recommendations for curriculum modifications to bridge the identified gap.</w:t>
      </w:r>
    </w:p>
    <w:p w14:paraId="2DC9E84C">
      <w:pPr>
        <w:pStyle w:val="3"/>
      </w:pPr>
      <w:bookmarkStart w:id="6" w:name="_Toc174208551"/>
      <w:r>
        <w:t>1.4</w:t>
      </w:r>
      <w:r>
        <w:tab/>
      </w:r>
      <w:r>
        <w:t>Research Questions</w:t>
      </w:r>
      <w:bookmarkEnd w:id="6"/>
      <w:r>
        <w:t xml:space="preserve"> </w:t>
      </w:r>
    </w:p>
    <w:p w14:paraId="35E16BC0">
      <w:pPr>
        <w:spacing w:after="0" w:line="480" w:lineRule="auto"/>
        <w:jc w:val="both"/>
      </w:pPr>
      <w:r>
        <w:t>The following research questions are provided in the course of the study and will serve as a guide to the achieve stated objectives</w:t>
      </w:r>
    </w:p>
    <w:p w14:paraId="23EF6ACF">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480" w:lineRule="auto"/>
        <w:jc w:val="both"/>
      </w:pPr>
      <w:r>
        <w:rPr>
          <w:color w:val="000000"/>
        </w:rPr>
        <w:t>How do undergraduates of Library and Information Science at Kwara State University make use of the internet?</w:t>
      </w:r>
    </w:p>
    <w:p w14:paraId="32E15AAC">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480" w:lineRule="auto"/>
        <w:jc w:val="both"/>
      </w:pPr>
      <w:r>
        <w:rPr>
          <w:color w:val="000000"/>
        </w:rPr>
        <w:t>What is the ICT skills that undergraduates of the LIS at Kwara State University acquire?</w:t>
      </w:r>
    </w:p>
    <w:p w14:paraId="0A60394D">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480" w:lineRule="auto"/>
        <w:jc w:val="both"/>
      </w:pPr>
      <w:r>
        <w:rPr>
          <w:color w:val="000000"/>
        </w:rPr>
        <w:t>What are the ICT skills that undergraduates of the LIS at Kwara State University possess?</w:t>
      </w:r>
    </w:p>
    <w:p w14:paraId="2882F705">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480" w:lineRule="auto"/>
        <w:jc w:val="both"/>
      </w:pPr>
      <w:r>
        <w:rPr>
          <w:color w:val="000000"/>
        </w:rPr>
        <w:t>Propose recommendations for curriculum modifications to bridge the identified gap?</w:t>
      </w:r>
    </w:p>
    <w:p w14:paraId="434B4F8F">
      <w:pPr>
        <w:pStyle w:val="3"/>
      </w:pPr>
      <w:bookmarkStart w:id="7" w:name="_Toc174208552"/>
      <w:r>
        <w:t>1.5 Scope of the Study</w:t>
      </w:r>
      <w:bookmarkEnd w:id="7"/>
      <w:r>
        <w:t xml:space="preserve"> </w:t>
      </w:r>
    </w:p>
    <w:p w14:paraId="3B380B7F">
      <w:pPr>
        <w:spacing w:line="480" w:lineRule="auto"/>
        <w:jc w:val="both"/>
      </w:pPr>
      <w:r>
        <w:t xml:space="preserve">The study focuses on ICT training skills and use among undergraduate students of LIS at Kwara State University Malete.  The study is also limited to Kwara State University, Malete, thereby, excluding other institutions from the study. </w:t>
      </w:r>
    </w:p>
    <w:p w14:paraId="701DEC36">
      <w:pPr>
        <w:pStyle w:val="3"/>
      </w:pPr>
      <w:bookmarkStart w:id="8" w:name="_Toc174208553"/>
      <w:r>
        <w:t>1.6</w:t>
      </w:r>
      <w:r>
        <w:tab/>
      </w:r>
      <w:r>
        <w:t xml:space="preserve"> Significance of the Study</w:t>
      </w:r>
      <w:bookmarkEnd w:id="8"/>
      <w:r>
        <w:t xml:space="preserve"> </w:t>
      </w:r>
    </w:p>
    <w:p w14:paraId="46FBD518">
      <w:pPr>
        <w:spacing w:line="480" w:lineRule="auto"/>
        <w:jc w:val="both"/>
      </w:pPr>
      <w:r>
        <w:t xml:space="preserve">Firstly, the study holds substantial importance in enhancing the curriculum of Library and Information Science (LIS) programs. Also, the findings can serve as a compass for educators and curriculum developers. Moreover, identifying specific areas that require improvement will enable the refinement of the LIS curriculum, ensuring that it aligns with the evolving demands of the profession. Lastly, the study will serve as a foundation for further research. </w:t>
      </w:r>
    </w:p>
    <w:p w14:paraId="462ACEC3">
      <w:pPr>
        <w:pStyle w:val="3"/>
      </w:pPr>
      <w:bookmarkStart w:id="9" w:name="_Toc174208554"/>
      <w:r>
        <w:t>1.7</w:t>
      </w:r>
      <w:r>
        <w:tab/>
      </w:r>
      <w:r>
        <w:t xml:space="preserve"> Operational Definition of Terms</w:t>
      </w:r>
      <w:bookmarkEnd w:id="9"/>
      <w:r>
        <w:t xml:space="preserve"> </w:t>
      </w:r>
    </w:p>
    <w:p w14:paraId="734AEEE5">
      <w:pPr>
        <w:numPr>
          <w:ilvl w:val="0"/>
          <w:numId w:val="3"/>
        </w:numPr>
        <w:spacing w:after="0" w:line="480" w:lineRule="auto"/>
        <w:jc w:val="both"/>
      </w:pPr>
      <w:r>
        <w:rPr>
          <w:b/>
          <w:color w:val="000000"/>
        </w:rPr>
        <w:t>Information and Communication Technologies:</w:t>
      </w:r>
      <w:r>
        <w:rPr>
          <w:color w:val="000000"/>
        </w:rPr>
        <w:t xml:space="preserve"> Refer to technologies that provide access to information through telecommunications. This includes a wide range of technologies such as computers, the internet, mobile phones, and other communication devices that facilitate the creation, storage, processing, and exchange of information. </w:t>
      </w:r>
    </w:p>
    <w:p w14:paraId="1CBBC227">
      <w:pPr>
        <w:numPr>
          <w:ilvl w:val="0"/>
          <w:numId w:val="3"/>
        </w:numPr>
        <w:spacing w:after="0" w:line="480" w:lineRule="auto"/>
        <w:jc w:val="both"/>
      </w:pPr>
      <w:r>
        <w:rPr>
          <w:b/>
          <w:color w:val="000000"/>
        </w:rPr>
        <w:t>Library and Information Science:</w:t>
      </w:r>
      <w:r>
        <w:rPr>
          <w:color w:val="000000"/>
        </w:rPr>
        <w:t xml:space="preserve">  is a field of study and professional practice that involves the organization, management, and retrieval of information. Professionals in this field, often referred to as librarians, work in libraries and other information settings, focusing on the collection, preservation, and dissemination of information.</w:t>
      </w:r>
    </w:p>
    <w:p w14:paraId="6A14087D">
      <w:pPr>
        <w:numPr>
          <w:ilvl w:val="0"/>
          <w:numId w:val="3"/>
        </w:numPr>
        <w:spacing w:line="480" w:lineRule="auto"/>
        <w:jc w:val="both"/>
      </w:pPr>
      <w:r>
        <w:rPr>
          <w:b/>
          <w:color w:val="000000"/>
        </w:rPr>
        <w:t>Curriculum Enhancement:</w:t>
      </w:r>
      <w:r>
        <w:rPr>
          <w:color w:val="000000"/>
        </w:rPr>
        <w:t xml:space="preserve"> Curriculum enhancement involves the improvement or modification of educational curricula to better align with contemporary needs, advancements, and demands. In the context of this study, it refers to potential adjustments in the Library and Information Science curriculum to better address the evolving roles and ICT requirements in the field.</w:t>
      </w:r>
    </w:p>
    <w:p w14:paraId="1D9697B4">
      <w:pPr>
        <w:rPr>
          <w:b/>
          <w:color w:val="000000"/>
        </w:rPr>
      </w:pPr>
      <w:r>
        <w:rPr>
          <w:b/>
          <w:color w:val="000000"/>
        </w:rPr>
        <w:br w:type="page"/>
      </w:r>
    </w:p>
    <w:p w14:paraId="35468445">
      <w:pPr>
        <w:pStyle w:val="2"/>
      </w:pPr>
      <w:bookmarkStart w:id="10" w:name="_Toc174208555"/>
      <w:r>
        <w:t>CHAPTER TWO</w:t>
      </w:r>
      <w:bookmarkEnd w:id="10"/>
    </w:p>
    <w:p w14:paraId="6D4D2787">
      <w:pPr>
        <w:pStyle w:val="2"/>
      </w:pPr>
      <w:bookmarkStart w:id="11" w:name="_Toc174208556"/>
      <w:r>
        <w:t>REVIEW OF RELATED LITERATURE</w:t>
      </w:r>
      <w:bookmarkEnd w:id="11"/>
    </w:p>
    <w:p w14:paraId="43F2456D">
      <w:pPr>
        <w:pStyle w:val="3"/>
      </w:pPr>
      <w:bookmarkStart w:id="12" w:name="_Toc174208557"/>
      <w:r>
        <w:t xml:space="preserve">2.1 </w:t>
      </w:r>
      <w:r>
        <w:tab/>
      </w:r>
      <w:r>
        <w:t>Introduction</w:t>
      </w:r>
      <w:bookmarkEnd w:id="12"/>
    </w:p>
    <w:p w14:paraId="405E4947">
      <w:pPr>
        <w:spacing w:line="480" w:lineRule="auto"/>
        <w:jc w:val="both"/>
      </w:pPr>
      <w:r>
        <w:t xml:space="preserve">This chapter reviews literature related to this study under the following subheading: </w:t>
      </w:r>
    </w:p>
    <w:p w14:paraId="7C2E0B18">
      <w:pPr>
        <w:numPr>
          <w:ilvl w:val="1"/>
          <w:numId w:val="4"/>
        </w:numPr>
        <w:spacing w:after="0" w:line="480" w:lineRule="auto"/>
        <w:jc w:val="both"/>
        <w:rPr>
          <w:color w:val="000000"/>
        </w:rPr>
      </w:pPr>
      <w:r>
        <w:rPr>
          <w:color w:val="000000"/>
        </w:rPr>
        <w:t>Historical Review of the Use of ICT in Library and Information Science in Nigeria</w:t>
      </w:r>
    </w:p>
    <w:p w14:paraId="0D6CA3EA">
      <w:pPr>
        <w:numPr>
          <w:ilvl w:val="2"/>
          <w:numId w:val="4"/>
        </w:numPr>
        <w:spacing w:after="0" w:line="480" w:lineRule="auto"/>
        <w:jc w:val="both"/>
        <w:rPr>
          <w:color w:val="000000"/>
        </w:rPr>
      </w:pPr>
      <w:r>
        <w:rPr>
          <w:color w:val="000000"/>
        </w:rPr>
        <w:t>Introduction of Computerization</w:t>
      </w:r>
    </w:p>
    <w:p w14:paraId="1BD8F5CB">
      <w:pPr>
        <w:numPr>
          <w:ilvl w:val="1"/>
          <w:numId w:val="4"/>
        </w:numPr>
        <w:spacing w:after="0" w:line="480" w:lineRule="auto"/>
        <w:jc w:val="both"/>
        <w:rPr>
          <w:color w:val="000000"/>
        </w:rPr>
      </w:pPr>
      <w:r>
        <w:rPr>
          <w:color w:val="000000"/>
        </w:rPr>
        <w:t xml:space="preserve">Undergraduates use of Internet  </w:t>
      </w:r>
    </w:p>
    <w:p w14:paraId="6D5A1F8C">
      <w:pPr>
        <w:numPr>
          <w:ilvl w:val="1"/>
          <w:numId w:val="4"/>
        </w:numPr>
        <w:spacing w:after="0" w:line="480" w:lineRule="auto"/>
        <w:jc w:val="both"/>
        <w:rPr>
          <w:color w:val="000000"/>
        </w:rPr>
      </w:pPr>
      <w:r>
        <w:rPr>
          <w:color w:val="000000"/>
        </w:rPr>
        <w:t>Method of ICT Skills Acquisition among Undergraduates</w:t>
      </w:r>
    </w:p>
    <w:p w14:paraId="35791D8B">
      <w:pPr>
        <w:numPr>
          <w:ilvl w:val="1"/>
          <w:numId w:val="4"/>
        </w:numPr>
        <w:spacing w:after="0" w:line="480" w:lineRule="auto"/>
        <w:jc w:val="both"/>
        <w:rPr>
          <w:color w:val="000000"/>
        </w:rPr>
      </w:pPr>
      <w:r>
        <w:rPr>
          <w:color w:val="000000"/>
        </w:rPr>
        <w:t>Undergraduates’ Information and Communication Technology Skills</w:t>
      </w:r>
    </w:p>
    <w:p w14:paraId="026F35B1">
      <w:pPr>
        <w:numPr>
          <w:ilvl w:val="1"/>
          <w:numId w:val="4"/>
        </w:numPr>
        <w:spacing w:line="480" w:lineRule="auto"/>
        <w:jc w:val="both"/>
        <w:rPr>
          <w:color w:val="000000"/>
        </w:rPr>
      </w:pPr>
      <w:r>
        <w:rPr>
          <w:color w:val="000000"/>
        </w:rPr>
        <w:t>Propose Recommendations for Curriculum Modifications</w:t>
      </w:r>
    </w:p>
    <w:p w14:paraId="7F6B72C1">
      <w:pPr>
        <w:pStyle w:val="75"/>
        <w:numPr>
          <w:ilvl w:val="1"/>
          <w:numId w:val="4"/>
        </w:numPr>
        <w:spacing w:line="480" w:lineRule="auto"/>
        <w:jc w:val="both"/>
        <w:rPr>
          <w:bCs/>
        </w:rPr>
      </w:pPr>
      <w:r>
        <w:rPr>
          <w:bCs/>
        </w:rPr>
        <w:t>Empirical Review</w:t>
      </w:r>
    </w:p>
    <w:p w14:paraId="581E63CE">
      <w:pPr>
        <w:numPr>
          <w:ilvl w:val="1"/>
          <w:numId w:val="4"/>
        </w:numPr>
        <w:spacing w:line="480" w:lineRule="auto"/>
        <w:jc w:val="both"/>
      </w:pPr>
      <w:r>
        <w:t>Appraisal of the Literature Review</w:t>
      </w:r>
    </w:p>
    <w:p w14:paraId="20E7B2D3">
      <w:pPr>
        <w:pStyle w:val="3"/>
      </w:pPr>
      <w:bookmarkStart w:id="13" w:name="_Toc174208558"/>
      <w:r>
        <w:t>2.2 Historical Review of the Use of ICT in Library and Information Science in Nigeria</w:t>
      </w:r>
      <w:bookmarkEnd w:id="13"/>
    </w:p>
    <w:p w14:paraId="73C40C16">
      <w:pPr>
        <w:spacing w:line="480" w:lineRule="auto"/>
        <w:jc w:val="both"/>
      </w:pPr>
      <w:r>
        <w:t xml:space="preserve">Nigerian libraries have typically focused on providing printed literature, with the majority of their resources consisting of print collections. The incorporation of ICT and digital libraries is a recent advancement in Nigerian libraries, and there is a growing interest in utilizing these developing technologies, despite the challenges associated with their implementation. In the past, libraries lacked technological resources and many people did not consider it necessary to introduce technology because their collections were small. However, with the advent of the information revolution, it became apparent that virtual information was valuable and could be accessed with the right infrastructure in place. The initial endeavors in computerization were primarily aimed at facilitating more efficient searching of indexed terms. The automation of libraries often commenced with the creation of computer-generated bibliographic and serial lists. </w:t>
      </w:r>
    </w:p>
    <w:p w14:paraId="4310941D">
      <w:pPr>
        <w:spacing w:line="480" w:lineRule="auto"/>
        <w:jc w:val="both"/>
      </w:pPr>
      <w:r>
        <w:t>Aguolu's statement highlights that by the year 2000, the majority of university and research libraries in Nigeria had not implemented computerization beyond basic functions such as creating lists of serials or using spreadsheets for accounting purposes  (</w:t>
      </w:r>
      <w:r>
        <w:rPr>
          <w:color w:val="222222"/>
          <w:highlight w:val="white"/>
        </w:rPr>
        <w:t>Aguolu et al., 2006</w:t>
      </w:r>
      <w:r>
        <w:t>). Nigerian libraries have partially adopted computerization, but the extent of its utilization remains limited to basic tasks such as word processing and spreadsheet software. The transition from these fundamental applications of Information Technology (IT) to Information and Communication Technology (ICT) occurred with the advent of the Internet, enabling the electronic exchange of resources on a global scale. The implementation of ICT as a tool in libraries is gradually taking place, but it is dependent on the availability of Internet access and the necessary infrastructure to support it (</w:t>
      </w:r>
      <w:r>
        <w:rPr>
          <w:color w:val="222222"/>
          <w:highlight w:val="white"/>
        </w:rPr>
        <w:t>Ifidon, 1978</w:t>
      </w:r>
      <w:r>
        <w:t xml:space="preserve">). </w:t>
      </w:r>
    </w:p>
    <w:p w14:paraId="6E0EFA91">
      <w:pPr>
        <w:rPr>
          <w:b/>
        </w:rPr>
      </w:pPr>
      <w:r>
        <w:rPr>
          <w:b/>
        </w:rPr>
        <w:t>2.2.1 The Introduction of Computerization</w:t>
      </w:r>
    </w:p>
    <w:p w14:paraId="4FAF8B4E">
      <w:pPr>
        <w:spacing w:line="480" w:lineRule="auto"/>
        <w:jc w:val="both"/>
      </w:pPr>
      <w:r>
        <w:t>The University of Ibadan first utilized microform technology in Nigerian libraries in 1948 when they acquired three microform readers.  In Nigeria, the initial utilization of computers occurred in 1963 when IBM established the African Education Centre at the University of Ibadan (UI Computing Centre). Additionally, computing services were introduced to Nigeria to analyze the 1962/63 national census. By 1977, the number of computer installations in Nigeria had reached 70, indicating a growing interest in this technology. Nevertheless, the integration of information and communications technology and its use as a facilitating tool was gradually incorporated into Nigeria's libraries at a slower pace. This is partly due to the prevailing perception that libraries are essentially repositories for books, despite the discussions surrounding the concept of "virtual libraries." The idea of relying solely on a virtual library to solve all information access issues is unrealistic, unless there is a strong and reliable infrastructure in place to support it (</w:t>
      </w:r>
      <w:r>
        <w:rPr>
          <w:color w:val="222222"/>
          <w:highlight w:val="white"/>
        </w:rPr>
        <w:t>Aguolu et al., 2006</w:t>
      </w:r>
      <w:r>
        <w:t>). In 2001, Nigeria formulated the National Policy for Information Technology (NPIT), a comprehensive policy aimed at fostering the growth of IT (or more broadly, information and communication technologies) in Nigeria. This policy encapsulates the Federal Government of Nigeria's viewpoints on ICTs, encompassing their functions, potential, methods of development and use, as well as the projected timeline for achieving ICT capacity in Nigeria by 2005 (Diso, 2005). The National Information Technology Development Agency (NITDA) was founded as the implementing agency with the primary objective of utilizing information technology for educational purposes, specifically inside and among Nigerian institutions. Regrettably, this enterprise nearly failed a few years after its establishment (</w:t>
      </w:r>
      <w:r>
        <w:rPr>
          <w:color w:val="222222"/>
          <w:highlight w:val="white"/>
        </w:rPr>
        <w:t>Amkpa and Tukur, 2009</w:t>
      </w:r>
      <w:r>
        <w:t xml:space="preserve">). Special and university libraries have embraced various technological improvements despite the numerous associated challenges. </w:t>
      </w:r>
    </w:p>
    <w:p w14:paraId="1C800847">
      <w:pPr>
        <w:pStyle w:val="3"/>
      </w:pPr>
      <w:bookmarkStart w:id="14" w:name="_Toc174208559"/>
      <w:r>
        <w:t>2.3 Undergraduates Use of Internet</w:t>
      </w:r>
      <w:bookmarkEnd w:id="14"/>
      <w:r>
        <w:t xml:space="preserve"> </w:t>
      </w:r>
    </w:p>
    <w:p w14:paraId="76CA5692">
      <w:pPr>
        <w:spacing w:line="480" w:lineRule="auto"/>
        <w:jc w:val="both"/>
      </w:pPr>
      <w:r>
        <w:rPr>
          <w:b/>
          <w:sz w:val="28"/>
          <w:szCs w:val="28"/>
        </w:rPr>
        <w:t xml:space="preserve"> </w:t>
      </w:r>
      <w:r>
        <w:t xml:space="preserve">The widespread adoption of ICT in recent decades has significantly altered or customized the job duties of many professionals, including librarians and information officers. The customary level of personnel, service quality, and access to resources in libraries is being changed by funding constraints and customer expectations (Casey &amp; Savastinuk, 2006). Librarians and information workers are increasingly being sought after for their expertise in ICT knowledge and skills. Therefore, research indicates that schools specializing in Library and Information Science should prioritize the cultivation of ICT knowledge and abilities in their students (Abubakar, 2010; Arif &amp; Mahmood, 2012).  </w:t>
      </w:r>
    </w:p>
    <w:p w14:paraId="4B680384">
      <w:pPr>
        <w:spacing w:line="480" w:lineRule="auto"/>
        <w:jc w:val="both"/>
      </w:pPr>
      <w:r>
        <w:t xml:space="preserve">The Internet is a global system of interconnected computer networks that use the standard Internet protocol suite to serve billions of users worldwide. It is a network of networks that consist of millions of private, public, academic, business, and government networks, of local to global scope, that are linked by a broad array of electronic, wireless, and optical networking technologies. The internet is one of the greatest recent advancements in the world of information technology and has become a useful instrument that has fostered the process of making the world a global village. Mathew and Schrum (2003) stated that the Internet provides several opportunities for academia; it is a mechanism for information dissemination and a medium for collaborative interaction between individuals and their computers without regard for the geographic limitation of space. </w:t>
      </w:r>
    </w:p>
    <w:p w14:paraId="705BCF1E">
      <w:pPr>
        <w:spacing w:line="480" w:lineRule="auto"/>
        <w:jc w:val="both"/>
      </w:pPr>
      <w:r>
        <w:t>The Internet carries an extensive range of information resources and services, such as the interlinked hypertext documents of the World Wide Web (www) and the infrastructure to support email which is mostly used by students (Robinson, 2005). Most traditional communications media including telephone, music, film, and television are reshaped or redefined by the internet, giving birth to new services such as voice over internet protocol (VoIP) and internet protocol Television (IPTV). Newspaper, book, and other print publishing are adapting to website technology, or are reshaped into blogging and web feeds. The Internet has enabled or accelerated new forms of human interactions through instant messaging, Internet forums, and social networking. Students use the internet for a couple of things such as looking up information on events, getting directions or telephone numbers, getting information on products, and shopping. This is evident in Bill Clinton, formal President of the US speech in San Francisco on September 21, 1995:</w:t>
      </w:r>
    </w:p>
    <w:p w14:paraId="0D25AEE2">
      <w:pPr>
        <w:spacing w:line="480" w:lineRule="auto"/>
        <w:ind w:right="39"/>
        <w:jc w:val="both"/>
        <w:rPr>
          <w:i/>
        </w:rPr>
      </w:pPr>
      <w:r>
        <w:rPr>
          <w:i/>
        </w:rPr>
        <w:t>"I challenge business and local government throughout our country to commit of time and resources so that by the year 2000 every classroom in America will be connected (to the Internet). . . I want to get the children of America hooked on education through computers.”</w:t>
      </w:r>
    </w:p>
    <w:p w14:paraId="79B2C6AD">
      <w:pPr>
        <w:spacing w:line="480" w:lineRule="auto"/>
      </w:pPr>
      <w:r>
        <w:t>Mathew and Schrum (2003) stated that some of the many useful tools available to the Internet user, and how they might be helpful to an educator or student include:</w:t>
      </w:r>
    </w:p>
    <w:p w14:paraId="5A7CCBFD">
      <w:pPr>
        <w:spacing w:line="480" w:lineRule="auto"/>
        <w:jc w:val="both"/>
      </w:pPr>
      <w:r>
        <w:t>E-mail:</w:t>
      </w:r>
      <w:r>
        <w:rPr>
          <w:b/>
          <w:i/>
        </w:rPr>
        <w:t xml:space="preserve"> </w:t>
      </w:r>
      <w:r>
        <w:t>Perhaps, the first step that many people have tried when using the Internet is e-mail. In theory, e-mail is an instantaneous electronic message from a sender to a recipient, (or multiple recipients). Compared to postal mail, (often called ‘snail-mail’ by Internet users), e-mail is probably the most used application on the Internet. With e-mail, the educator can let students set up Internet ‘pen pals’ with other students in nearby classrooms, in other states, in other countries, or even in other continents. This promotes computer usage and allows students to improve their language arts skills, such as their reading, writing, thinking, and listening abilities. Through e-mail, students can send messages to literally, professors, peers, library staff, thousands of businesses, or to private individuals. Students can ask experts in a certain field, say in politics or science, a list of questions to be answered. professors, peers, and library staff can use e-mail in the same way, by talking to colleagues thousands of miles away, comparing lesson plans, etc.</w:t>
      </w:r>
    </w:p>
    <w:p w14:paraId="00AA8D8B">
      <w:pPr>
        <w:spacing w:line="480" w:lineRule="auto"/>
        <w:jc w:val="both"/>
      </w:pPr>
      <w:r>
        <w:t>To use e-mail, the sender opens the e-mail program and types in an address, a subject, and the message in the body of the letter. Once the letter is ready to be sent, the user clicks a ‘send’ command, which instantly transmits to its destination. Research and Information gathering, accessing scholarly articles, journals, and e-books through databases like JSTOR, PubMed, and Google Scholar. Using institutional repositories and digital libraries for primary and secondary sources, getting online resources, utilizing websites, e-books, and digital archives for completing assignments, projects, and research papers, using online citation management tools like Zotero, EndNote, and Mendeley to organize and format references. Collaborating on group projects through shared documents and collaborative tools like Google Workspace and Microsoft Office 365. Learning Management Systems (LMS) enable students to access lecture notes, readings, and multimedia content through LMS platforms like Blackboard, Canvas, or Moodle. Submitting assignments and taking quizzes online. It also enhances professional Development by Attending webinars, online workshops, and virtual conferences to enhance professional skills and knowledge, connecting with professionals and organizations in the field through LinkedIn and other professional networks. Improving digital literacy skills through online tutorials, MOOCs (Massive Open Online Courses), and educational videos on platforms like Coursera and YouTube. Learning to use library management systems, digital cataloging tools, and other LIS-related software.</w:t>
      </w:r>
    </w:p>
    <w:p w14:paraId="2A04BECD">
      <w:pPr>
        <w:pStyle w:val="3"/>
      </w:pPr>
      <w:bookmarkStart w:id="15" w:name="_Toc174208560"/>
      <w:r>
        <w:rPr>
          <w:sz w:val="28"/>
          <w:szCs w:val="28"/>
        </w:rPr>
        <w:t xml:space="preserve">2.4 </w:t>
      </w:r>
      <w:r>
        <w:t>Method of ICT skills acquisition among undergraduates</w:t>
      </w:r>
      <w:bookmarkEnd w:id="15"/>
    </w:p>
    <w:p w14:paraId="131885E2">
      <w:pPr>
        <w:spacing w:line="480" w:lineRule="auto"/>
        <w:jc w:val="both"/>
      </w:pPr>
      <w:r>
        <w:t>ICT skills are the ability of an individual to identify the information required to satisfy their need, how to use a computer and digital systems to source the information as well as how to use the information collected to solve a felt need. Gilster (1997) noted that ICT skill is the ability to understand and use information in multiple formats from a wide range of sources when it is presented via computers. Computer and digital systems to source the information as well as how to use the information collected to solve a felt need. Gilster (1997) noted that ICT skill is the ability to understand and use information in multiple formats from a wide range of sources when it is presented via computers. The ability to identify the desired information depends on the knowledge and understanding of the use of ICT facilities such as the computer, internet, and e-mail. In the current digital age, ICT skills have inevitably been influenced extensively by technological development. The ICT skills that have become increasingly important in the pursuance of a degree-level education will affect both how students manipulate these e-learning resources and how they are used for learning. Thus, the ICT skills that students require increasingly revolve around knowledge creation and information sharing, insight and analysis, and collaboration. Hence, how these skills are acquired is of importance. Beebe (2004) noted that there are different methods by which students can acquire information and communication technology skills; from formal training sessions in school or at college, or informal tuition from friends. The ability to identify the desired information depends on the knowledge and understanding of the use of ICT facilities such as the computer, internet, and e-mail. In the current digital age, ICT skills have inevitably been influenced extensively by technological development. The ICT skills that have become increasingly important in the pursuance of a degree-level education will affect both how students manipulate these e-learning resources and how they are used for learning. Thus, the ICT skills that students require increasingly revolve around knowledge creation and information sharing, insight and analysis, and collaboration. Hence, how these skills are acquired is of importance. Consequently, Warschauer (2002) proposed four categories of resources necessary for the effective utilisation of ICT, such as physical resources about the tangible infrastructure required for accessing computers and telecommunication connections, digital resources refer to the digital content that can be accessed online, human resources refer to the collective knowledge and abilities possessed by individuals to effectively utilize ICT, and social resources refer to the assistance provided by the community, institutions, and societal structures to enable access to ICT Warschauer (2002).</w:t>
      </w:r>
    </w:p>
    <w:p w14:paraId="2ED4F20D">
      <w:pPr>
        <w:spacing w:line="480" w:lineRule="auto"/>
        <w:jc w:val="both"/>
      </w:pPr>
      <w:r>
        <w:t>Beebe (2004) noted that there are different methods in which students can acquire information and communication technology skills; from formal training sessions in school or at college, or informal tuition from friends, family or peers or students can also teach themselves with user manuals. Kumar and Kaur (2006) stated that ICT skills can be acquired through trial and error methods, guidance from colleagues and friends, training from college, self-instruction, and external courses. Harris (1996) noted that there is a growing acceptance among academics, education policy-makers, and employer groups that the development of graduate skills is a part of the role of higher education. Recent publications by educational associations are advocating for a more meaningful use of ICT in schools (ISTE, 2000). Educational technologists are clearly describing what students should know and be able to do with technology. There is increasing recognition that the result of ICT skills is not knowing how to operate computers, but using technology as a tool for organization, communication, research, and problem-solving. This is an important shift in approach and emphasis. In a bid to integrate ICT skills in schools, the Teachers Registration Council of Nigeria (TRCN) in July initiated a program tagged The National ICT Skills Acquisitions. The program was designed to provide the needed ICT skills for students.</w:t>
      </w:r>
    </w:p>
    <w:p w14:paraId="3A56AEBB">
      <w:pPr>
        <w:spacing w:line="480" w:lineRule="auto"/>
        <w:jc w:val="both"/>
      </w:pPr>
      <w:r>
        <w:t>These packages include MS Word, MS Excel, typesetting, and Internet browsing skills (The Guardian, 2003). Korte and Husing (2007) noted that higher institutions are moving from teaching isolated technology skills to an integrated approach. These skills are integrated effectively into the content area curriculum and in classroom assignments and are tied together in a logical and systematic information process model. Michael and Johnson (2004) noted that successful integrated ICT skills programs are designed around collaborative projects jointly planned and taught by teachers and library media professionals. Information and communication technology skills instruction can and should be embedded in such a curriculum. Library media specialists, computer teachers, and classroom teachers need to work together to develop units and lessons that will include technology skills, information skills, and content-area curriculum outcomes. Kilker (2003) noted that a meaningful, unified ICT skill curriculum must be more than a 'laundry list' of isolated skills, such as knowing the parts of the computer, writing drafts and final products with a word processor, and searching for information using the World Wide Web. While these specific skills are important for students to learn, the 'laundry list' approach does not provide an adequate model for students to transfer and apply skills from situation to situation. Rowland (2006) noted that the most common motivator to learn new technology skills appears to be instructor use, whether in class or as a requirement for projects or presentations. Mattheos et al. (2002) noted that students are generally exposed to some form of ICT literacy education in their university, for them to acquire ICT skills.</w:t>
      </w:r>
    </w:p>
    <w:p w14:paraId="2A7A2180">
      <w:pPr>
        <w:pStyle w:val="3"/>
      </w:pPr>
      <w:bookmarkStart w:id="16" w:name="_Toc174208561"/>
      <w:r>
        <w:rPr>
          <w:sz w:val="28"/>
          <w:szCs w:val="28"/>
        </w:rPr>
        <w:t xml:space="preserve">2.5 </w:t>
      </w:r>
      <w:r>
        <w:t>Undergraduates’ Information and Communication Technology Skills</w:t>
      </w:r>
      <w:bookmarkEnd w:id="16"/>
    </w:p>
    <w:p w14:paraId="2A63FA54">
      <w:pPr>
        <w:spacing w:line="480" w:lineRule="auto"/>
        <w:jc w:val="both"/>
      </w:pPr>
      <w:r>
        <w:t>ICT skills are those skills related to the use of computers, other technologies such as the ability to transmit stored information through line networks or through wireless phone networks (Attwell, 2005). The ability to use computers effectively has become an essential part of every student's education; these skills constitute a set of computerized practices that form the core ICT skills packages: spreadsheet, word processors, database and presentation (Haywood, 2003). In a rapidly changing world, information and communication technology skills are essential for students to be able to access and apply information. ICT skills are needed in this global village for students to function optimally. Consequently, there is continuing concern among universities, government and employers about undergraduates' ICT skills, because graduates are the leaders of change and innovation in many walks of life.</w:t>
      </w:r>
    </w:p>
    <w:p w14:paraId="58871F49">
      <w:pPr>
        <w:spacing w:line="480" w:lineRule="auto"/>
        <w:jc w:val="both"/>
      </w:pPr>
      <w:r>
        <w:t>ICT skills deal with the ability to apply ICT to specific purposes. It is not just about using software packages or using operating systems, neither is it concerned only with keyboarding skills and students' ability to copy type or follow instructions. Rather, key skills of ICT are about how students use their knowledge to find, develop and present information, whether it is text, image or numbers, or all of these in an integrated task. Tariq and Cochrane (2003) noted that in recent years, employers require graduate employees to be skilled in a range of areas including information and communication technology (ICT) and employers look to the higher education institutions to equip their graduates with these requisite skills. Haywood (2003) noted that for students to be successful in their academic pursuit, they must acquire various ICT skills that include but not limited to the following:</w:t>
      </w:r>
    </w:p>
    <w:p w14:paraId="52C82B41">
      <w:pPr>
        <w:numPr>
          <w:ilvl w:val="0"/>
          <w:numId w:val="5"/>
        </w:numPr>
        <w:spacing w:after="0" w:line="480" w:lineRule="auto"/>
        <w:jc w:val="both"/>
        <w:rPr>
          <w:color w:val="000000"/>
        </w:rPr>
      </w:pPr>
      <w:r>
        <w:rPr>
          <w:color w:val="000000"/>
        </w:rPr>
        <w:t>Must understand and be able to use a Computer to perform various tasks such as opening applications, creating and modifying documents, spreadsheets or presentations. Some basic typing skills will be necessary.</w:t>
      </w:r>
    </w:p>
    <w:p w14:paraId="6430407E">
      <w:pPr>
        <w:numPr>
          <w:ilvl w:val="0"/>
          <w:numId w:val="5"/>
        </w:numPr>
        <w:spacing w:after="0" w:line="480" w:lineRule="auto"/>
        <w:jc w:val="both"/>
        <w:rPr>
          <w:color w:val="000000"/>
        </w:rPr>
      </w:pPr>
      <w:r>
        <w:rPr>
          <w:color w:val="000000"/>
        </w:rPr>
        <w:t>Have the ability to identify various ICT technologies and their uses.</w:t>
      </w:r>
    </w:p>
    <w:p w14:paraId="2A27007C">
      <w:pPr>
        <w:numPr>
          <w:ilvl w:val="0"/>
          <w:numId w:val="5"/>
        </w:numPr>
        <w:spacing w:after="0" w:line="480" w:lineRule="auto"/>
        <w:jc w:val="both"/>
        <w:rPr>
          <w:color w:val="000000"/>
        </w:rPr>
      </w:pPr>
      <w:r>
        <w:rPr>
          <w:color w:val="000000"/>
        </w:rPr>
        <w:t>Understand ICT technologies and concepts and be able to decide which ICT technology will be suitable for a particular task.</w:t>
      </w:r>
    </w:p>
    <w:p w14:paraId="354A5F4D">
      <w:pPr>
        <w:numPr>
          <w:ilvl w:val="0"/>
          <w:numId w:val="5"/>
        </w:numPr>
        <w:spacing w:line="480" w:lineRule="auto"/>
        <w:jc w:val="both"/>
        <w:rPr>
          <w:color w:val="000000"/>
        </w:rPr>
      </w:pPr>
      <w:r>
        <w:rPr>
          <w:color w:val="000000"/>
        </w:rPr>
        <w:t>Be able to differentiate between various forms of information and understand how to use or manipulate them.</w:t>
      </w:r>
    </w:p>
    <w:p w14:paraId="0136E70A">
      <w:pPr>
        <w:spacing w:line="480" w:lineRule="auto"/>
        <w:jc w:val="both"/>
      </w:pPr>
      <w:r>
        <w:t xml:space="preserve">Tyler (2005) stated that in the world of higher education, virtually every aspect of scholarship has been influenced by technology. Students are conducting research through the web, drawing from academic journals, newspaper articles and speech transcripts. Some are receiving assignment online and e-mailing completed projects to their supervisors. Many are using spreadsheets, graph plotters, presentation programs and multimedia tools on a regular basis. Engeldinger (1998) stated that the purpose of higher education is the preparation of students for their future. If graduates of today and tomorrow are to flourish in the modern, fast-placed, high tech world, they must have information seeking and technology skills. The proliferation of distance education and e-learning has altered the traditional definition of classroom, consequently, a measure of success today is how well one can evaluate, manage and communicate all forms of information with a technological environment, through the skills acquired. Attwell (2005) stated that in order to provide both flexible and security in an era characterized by constant change, 21th century students need 'knowing how to learn' skills that enable them to acquire new knowledge and skills, connect new information to existing knowledge, analyze, develop habits of learning, and work with others to use information. And as technology increasingly becomes the medium for communicating and information sharing, students need to be capable of harnessing technology to perform learning skills, such as communicating effectively with presentation software or jugging personal responsibilities with a personal digital assistant. Iwona (2008) noted that in order to utilize the growing range of electronic resources, students must possess and practice the skills necessary to exploit them. These skills include basic knowledge of computer, proficiency in using productivity software, electronic communication skills as well as internet skills (Mentkowski &amp; Associates, 2000). In great Britain, National statistics (2004) published in June 2004 show that over 60% of students have ICT skills necessary to have used the internet at some time, most commonly for research purposes. There is a growing interest by universities to ensure that students possess the appropriate ICT skills required by providing e-learning resources for students to access and use outside of the conventional lecture theatre setting (Taylor et al., 2004). The current interest in the potential of e-learning is a common concern for universities all over the world. The ICT skills that have become increasingly important in the pursuance of a degree-level education will affect both how students manipulate these e-learning resources and how they are used for learning. loanna (2008) stated that there has been a great attempt by all universities to integrate ICT more and more in their study programmes in order to help undergraduate students to develop their ICT skills. Educators recognize the need to increase the proficiency skill level of all students pertaining to information technology. The goals of most introductory computer applications courses are to familiarize incoming college freshmen with computer operating systems, fundamental and intermediate word processing commands, spread-sheet applications, presentation graphics, and database management. </w:t>
      </w:r>
    </w:p>
    <w:p w14:paraId="324A2AD9">
      <w:pPr>
        <w:spacing w:line="480" w:lineRule="auto"/>
        <w:jc w:val="both"/>
      </w:pPr>
      <w:r>
        <w:t>These skills are necessary to successfully matriculate throughout the learning process as well as to complete and secure future employment (Keengwe, 2002). Therefore, the increased use of computers and the level of internet use by students is an important measure of technological development. This development has been heavily influenced by the introduction of ICTs and formal ICT training in the university. Online learning, using ICT and e-learning have become the norm across tertiary educational institutions where students have been identified as stakeholders in the development and implementation of e-online learning (Ling et al., 2001; Petrova &amp; Sinclair, 2005; Lee &amp; Nguyen, 2005). To support ICT skills and online learning, administrative and faculty offices at universities must utilize substantial proportions of their budgets to provide this technology for their students in the learning process</w:t>
      </w:r>
    </w:p>
    <w:p w14:paraId="625A93DC">
      <w:pPr>
        <w:pStyle w:val="3"/>
      </w:pPr>
      <w:bookmarkStart w:id="17" w:name="_Toc174208562"/>
      <w:r>
        <w:t>2.6 Propose Recommendations for Curriculum Modifications</w:t>
      </w:r>
      <w:bookmarkEnd w:id="17"/>
    </w:p>
    <w:p w14:paraId="47E739C6">
      <w:pPr>
        <w:spacing w:line="480" w:lineRule="auto"/>
        <w:jc w:val="both"/>
      </w:pPr>
      <w:r>
        <w:t xml:space="preserve">Proposing recommendations for curriculum modifications requires a structured and evidence-based approach. Korte and Husing (2007) recommend the following as curriculum modification for effective and efficient service delivery. Identify and Analyze the Gap: Clearly define the gap in the current curriculum. Use data from assessments, feedback from students and educators, industry trends, and academic research to support your analysis. Determine the root causes of the gap. Is it due to outdated content, lack of resources, teaching methods, or other factors?  Objectives should be specific, measurable, achievable, relevant, and time-bound (SMART), stakeholders in the process, including teachers, students, administrators, and industry professionals. Gather their input and feedback to ensure the proposed changes are relevant and feasible. Research Best Practices Investigate how other institutions have successfully addressed similar gaps. Look for case studies, academic papers, and best practice guidelines that can inform your recommendations. And outline specific changes to the curriculum that will bridge the identified gap Korte and Husing (2007). </w:t>
      </w:r>
    </w:p>
    <w:p w14:paraId="0CA030CF">
      <w:pPr>
        <w:spacing w:line="480" w:lineRule="auto"/>
        <w:jc w:val="both"/>
      </w:pPr>
      <w:r>
        <w:t>Alvermann (2008) states that in the era of digital technology, students are effectively utilizing computers and the Internet in their everyday activities. Nevertheless, research suggests that a significant number of students face difficulties when it comes to utilizing the Internet and other digital technologies for academic purposes in the advanced online setting (Grey, 2013). A significant number of students utilize uncomplicated methods when conducting internet research. They employ a limited number of ways to find information and seldom assess the credibility of the content they come across (Bennett, 2009; Dwyer, 2016). Many students in both developed and developing nations start university with insufficient information-seeking skills (Lwehabura, 2018).</w:t>
      </w:r>
    </w:p>
    <w:p w14:paraId="787D1A6F">
      <w:pPr>
        <w:spacing w:line="480" w:lineRule="auto"/>
        <w:jc w:val="both"/>
      </w:pPr>
      <w:r>
        <w:t xml:space="preserve">Information technology skills enable students to gain technical proficiency in utilizing computers and information technology technologies through exposure, training, or practice. The level of information technology proficiency that undergraduate students possess to efficiently locate and retrieve information is a talent that may be applied in various contexts. Undergraduate LIS students may benefit from acquiring information technology skills such as online searching, OPAC navigation, web surfing, word processing, email communication, and the use of Boolean techniques. Acquiring these skills can benefit students in their future endeavors and empower them to effectively and successfully utilize electronic information resources during their time in school (Tella, 2019). </w:t>
      </w:r>
    </w:p>
    <w:p w14:paraId="64B3D40E">
      <w:pPr>
        <w:spacing w:line="480" w:lineRule="auto"/>
        <w:jc w:val="both"/>
      </w:pPr>
    </w:p>
    <w:p w14:paraId="726C1F17">
      <w:pPr>
        <w:pStyle w:val="3"/>
      </w:pPr>
      <w:bookmarkStart w:id="18" w:name="_Toc174208563"/>
      <w:r>
        <w:t>2.7 Empirical Review</w:t>
      </w:r>
      <w:bookmarkEnd w:id="18"/>
    </w:p>
    <w:p w14:paraId="38F19E7B">
      <w:pPr>
        <w:pStyle w:val="13"/>
        <w:spacing w:before="0" w:beforeAutospacing="0" w:after="0" w:afterAutospacing="0" w:line="480" w:lineRule="auto"/>
        <w:jc w:val="both"/>
      </w:pPr>
      <w:r>
        <w:rPr>
          <w:color w:val="000000"/>
        </w:rPr>
        <w:t>In a survey conducted by Hossain and Sormunen (2019), the self-assessed general and task-specific ICT skills of Library and Information Science (LIS) students in Bangladesh were evaluated. The results revealed that students possess proficient computer and internet skills, but only possess an average degree of proficiency in advanced computer and internet tasks, as well as evaluating internet resources. Buarki et al. (2011) investigated the viewpoints of employers, teaching staff, and students regarding the ICT skills of students studying LIS in Kuwait. The study utilized a quantitative survey and conducted semi-structured interviews. The analysis revealed that the students have an intermediate level of ICT skills. On the other hand, the students frequently used the skill of searching and retrieving information from the internet. Furthermore, the outcome revealed that variables such as insufficient motivation, inadequate content in ICT courses, and inadequate training in ICT skills had a detrimental impact on the enhancement of students' ICT skills. </w:t>
      </w:r>
    </w:p>
    <w:p w14:paraId="2859A888">
      <w:pPr>
        <w:pStyle w:val="13"/>
        <w:spacing w:before="0" w:beforeAutospacing="0" w:after="0" w:afterAutospacing="0" w:line="480" w:lineRule="auto"/>
        <w:jc w:val="both"/>
      </w:pPr>
      <w:r>
        <w:rPr>
          <w:color w:val="000000"/>
        </w:rPr>
        <w:t>In their 2016 study, Fatima et al. conducted research to assess the proficiency of final year LIS students at the University of the Punjab, Lahore (PU) and the Islamia University of Bahawalpur (IUB) in terms of their ICT skills. The research design employed the survey approach, utilising both questionnaires and semi-structured interviews. The study revealed that the students of PU specialising in LIS demonstrated a somewhat superior proficiency in ICT abilities as compared to the students of IUB. The primary factors contributing to this disparity were the limited accessibility of ICT resources, including hardware, software, and internet speed, as well as inadequate IT infrastructure. Despite having comprehensive and current syllabi, the students had limited opportunities for practical, hands-on experience. The findings emphasised the need for both schools to enhance their IT infrastructure, create a conducive learning environment, and offer ICT facilities to LIS students in order to narrow the gap. </w:t>
      </w:r>
    </w:p>
    <w:p w14:paraId="12A326B3">
      <w:pPr>
        <w:pStyle w:val="13"/>
        <w:spacing w:before="0" w:beforeAutospacing="0" w:after="0" w:afterAutospacing="0" w:line="480" w:lineRule="auto"/>
        <w:jc w:val="both"/>
      </w:pPr>
      <w:r>
        <w:rPr>
          <w:color w:val="000000"/>
        </w:rPr>
        <w:t>Israel and Edesiri (2014) conducted a study on the information and communication technology (ICT) skills and Internet usage among undergraduate students in Library and Information Science Departments in Delta and Edo States. The study utilised a descriptive design. The findings indicated that the undergraduates demonstrated proficiency in ICT abilities and effectively utilised the Internet. The findings also indicated that the undergraduates mostly acquired ICT skills through self-teaching using manuals and handbooks, as well as through university courses and acquaintances. </w:t>
      </w:r>
    </w:p>
    <w:p w14:paraId="18106AD6">
      <w:pPr>
        <w:pStyle w:val="13"/>
        <w:spacing w:before="0" w:beforeAutospacing="0" w:after="0" w:afterAutospacing="0" w:line="480" w:lineRule="auto"/>
        <w:jc w:val="both"/>
      </w:pPr>
      <w:r>
        <w:rPr>
          <w:color w:val="000000"/>
        </w:rPr>
        <w:t>In a survey, Abubakar (2010) examined the level of ICT knowledge and abilities among the students of library and information science at Umaru Musa Yar’adua University in Katsina, Nigeria. The study's findings indicated that the department has sufficient courses incorporating ICT elements, as well as sufficient ICT infrastructures, however, students in the department lacked substantial knowledge and proficiency in search engines, computer applications, utilising and organising e-resources, and media resources. Suggestions involve enhancing the functionality of the department's information technology and audio visual laboratories by appointing laboratory attendants and allocating practical hours in the departmental lecture schedule. Additionally, it is recommended to review the department's curriculum to incorporate more core courses related to information and communication technology (ICT). Emeka (2017) aimed to assess the degree to which ICT is utilised in LIS courses in Nigeria. The study utilised a descriptive survey design. The results of this study indicate that LIS educators do not incorporate the ICT infrastructure into their teaching of ICT related courses due to factors such as huge class sizes, unreliable power supply, and insufficient infrastructure. This study suggested an increase in the number of ICT training infrastructure should be increased, raising awareness about the importance of applying ICT infrastructure in library school programs in Nigeria and standardising the types and number of training facilities and ensuring their actual implementation in teaching and learning.  Ikenwe et al. (2022) examined the digital literacy abilities of undergraduate students in the Library and Information Science program at Ambrose Alli University in Ekpoma, Nigeria. The study employed a descriptive survey design and the results indicated that the students demonstrated a high proficiency in locating, creating, and communicating digital content. Moreover, the results indicated that most students developed their digital skills by utilising social media and participating in online courses. </w:t>
      </w:r>
    </w:p>
    <w:p w14:paraId="48DF43FF">
      <w:pPr>
        <w:pStyle w:val="13"/>
        <w:spacing w:before="0" w:beforeAutospacing="0" w:after="0" w:afterAutospacing="0" w:line="480" w:lineRule="auto"/>
        <w:jc w:val="both"/>
      </w:pPr>
      <w:r>
        <w:rPr>
          <w:color w:val="000000"/>
        </w:rPr>
        <w:t>Adebayo et al. (2019) examined the condition of LIS education among students studying LIS at the University of Port-Harcourt and Rivers State University in Nigeria. The study utilised a descriptive survey research design. The results indicated that the knowledge of LIS students regarding developing subjects in the field was limited. Additionally, there were no hands-on activities focused on Information Literacy, Digitisation, and Indexing and Abstracting. </w:t>
      </w:r>
    </w:p>
    <w:p w14:paraId="38406694">
      <w:pPr>
        <w:pStyle w:val="13"/>
        <w:spacing w:before="0" w:beforeAutospacing="0" w:after="0" w:afterAutospacing="0" w:line="480" w:lineRule="auto"/>
        <w:jc w:val="both"/>
      </w:pPr>
      <w:r>
        <w:rPr>
          <w:color w:val="000000"/>
        </w:rPr>
        <w:t>Kamba (2011) conducted a literature review on the necessity of modifying the curriculum of library and information science schools in Nigeria to align with the ICT competency framework. The study revealed the urgent necessity to educate and train library and information professionals in order to develop a sustainable competency in ICT. The issues lie within the comprehensive ICT policies and infrastructures at both the national and institutional levels, as well as the insufficient money, suitable equipment, expertise, and administration in Nigeria and LIS schools specifically. </w:t>
      </w:r>
    </w:p>
    <w:p w14:paraId="19AC068C">
      <w:pPr>
        <w:pStyle w:val="13"/>
        <w:spacing w:before="0" w:beforeAutospacing="0" w:after="0" w:afterAutospacing="0" w:line="480" w:lineRule="auto"/>
        <w:jc w:val="both"/>
        <w:rPr>
          <w:color w:val="000000"/>
        </w:rPr>
      </w:pPr>
      <w:r>
        <w:rPr>
          <w:color w:val="000000"/>
        </w:rPr>
        <w:t>Toyo (2017) investigated the information literacy skills and use of technological resources among undergraduate students at Delta State University, Abraka, Nigeria. The study utilised the survey methodology and found that undergraduate LIS students at Delta State University, Abraka utilise a range of electronic resources and possess a strong command of information literacy abilities.</w:t>
      </w:r>
    </w:p>
    <w:p w14:paraId="7783E6F9">
      <w:pPr>
        <w:pStyle w:val="13"/>
        <w:spacing w:before="0" w:beforeAutospacing="0" w:after="0" w:afterAutospacing="0" w:line="480" w:lineRule="auto"/>
        <w:jc w:val="both"/>
        <w:rPr>
          <w:color w:val="000000"/>
        </w:rPr>
      </w:pPr>
      <w:r>
        <w:rPr>
          <w:color w:val="000000"/>
        </w:rPr>
        <w:t>They effectively leverage the vast amount of information accessible through electronic resources on the internet. Additionally, the study suggests that tertiary institutions should provide students with efficient communication channels to access electronic information resources. Furthermore, well-equipped information centres should be easily accessible to all students, regardless of their faculty or department. Regular awareness campaigns should also be organised to educate undergraduate students about the use and benefits of electronic information resources.</w:t>
      </w:r>
    </w:p>
    <w:p w14:paraId="1A40CE8D">
      <w:pPr>
        <w:pStyle w:val="3"/>
      </w:pPr>
      <w:bookmarkStart w:id="19" w:name="_Toc174208564"/>
      <w:r>
        <w:t>2.8 Appraisal of the Literature Review</w:t>
      </w:r>
      <w:bookmarkEnd w:id="19"/>
    </w:p>
    <w:p w14:paraId="4340C6DF">
      <w:pPr>
        <w:spacing w:line="480" w:lineRule="auto"/>
        <w:jc w:val="both"/>
      </w:pPr>
      <w:r>
        <w:t>The literature reviewed highlights a significant body of research that addresses the ICT skills of LIS students across various regions, offering empirical evidence from diverse geographical contexts, such as Bangladesh, Kuwait, Nigeria, and Pakistan, thereby broadening the understanding of ICT proficiency within LIS education. Hossain and Sormunen (2019) provide valuable insights into the self-assessed ICT skills of LIS students in Bangladesh, revealing a gap between general proficiency and advanced task-specific skills. Similarly, Buarki et al. (2011) highlight intermediate ICT skill levels among Kuwaiti students and identify factors like inadequate course content and motivation. Fatima et al. (2016) and Abubakar (2010) further contribute to the discourse by examining the impact of infrastructure and curriculum on ICT proficiency. Their findings emphasize the critical role of hands-on experience and adequate IT resources, echoing curriculum gaps. Moreover, Emeka (2017) and Kamba (2011) underscore the importance of integrating ICT infrastructure into LIS education, reinforcing the need for curriculum modifications.</w:t>
      </w:r>
    </w:p>
    <w:p w14:paraId="271A3613">
      <w:pPr>
        <w:spacing w:line="480" w:lineRule="auto"/>
        <w:jc w:val="both"/>
      </w:pPr>
      <w:r>
        <w:t>The studies by Israel and Edesiri (2014) and Ikenwe et al. (2022) introduce the aspect of self-teaching and social media as important factors in developing ICT skills, which adds a new dimension to the understanding of informal learning environments. These insights suggest that beyond formal education, alternative avenues like social media play a significant role in skill acquisition. Additionally, most studies reviewed, such as those by Hossain and Sormunen (2019) and Buarki et al. (2011), focus on broader national or regional contexts, without considering the specific institutional factors that may affect ICT skills development. Kwara State University may have unique infrastructural, curricular, or socio-economic conditions that influence students' ICT competencies, which are not addressed in the existing literature.</w:t>
      </w:r>
    </w:p>
    <w:p w14:paraId="3399414F">
      <w:pPr>
        <w:spacing w:line="480" w:lineRule="auto"/>
        <w:jc w:val="both"/>
      </w:pPr>
      <w:r>
        <w:t xml:space="preserve">While the literature reviewed covers a broad range of geographical contexts, including Nigeria, there is a lack of studies specifically focused on ICT skills and training among undergraduates at Kwara State University. This presents a gap in understanding the unique challenges and opportunities related to ICT education in this specific institution. Given these gaps, the proposed study on ICT skills and training among undergraduates at Kwara State University seeks to identify ICT skills within the specific context of Kwara State University will provide insights that are directly applicable to improving educational outcomes at this institution. This localized focus is crucial for developing tailored strategies that address the specific needs and challenges faced by students at the university. The findings of this study could contribute to enhancing the quality of ICT education not only at Kwara State University but potentially across similar institutions in the region. </w:t>
      </w:r>
    </w:p>
    <w:p w14:paraId="196B3557">
      <w:pPr>
        <w:spacing w:line="480" w:lineRule="auto"/>
        <w:jc w:val="both"/>
      </w:pPr>
      <w:r>
        <w:t>This study will fill a significant gap in the literature by providing empirical data on the state of ICT skills and training at Kwara State University. This data will be valuable for future researchers, educators, and policymakers aiming to enhance ICT education in similar contexts.</w:t>
      </w:r>
    </w:p>
    <w:p w14:paraId="40EA0294">
      <w:pPr>
        <w:rPr>
          <w:b/>
        </w:rPr>
      </w:pPr>
      <w:r>
        <w:rPr>
          <w:b/>
        </w:rPr>
        <w:br w:type="page"/>
      </w:r>
    </w:p>
    <w:p w14:paraId="6C71B58A">
      <w:pPr>
        <w:pStyle w:val="2"/>
      </w:pPr>
      <w:bookmarkStart w:id="20" w:name="_Toc174208565"/>
      <w:r>
        <w:t>CHAPTER THREE</w:t>
      </w:r>
      <w:bookmarkEnd w:id="20"/>
      <w:r>
        <w:t xml:space="preserve"> </w:t>
      </w:r>
    </w:p>
    <w:p w14:paraId="614E5DCD">
      <w:pPr>
        <w:pStyle w:val="2"/>
      </w:pPr>
      <w:bookmarkStart w:id="21" w:name="_Toc174208566"/>
      <w:r>
        <w:t>METHODOLOGY</w:t>
      </w:r>
      <w:bookmarkEnd w:id="21"/>
      <w:r>
        <w:t xml:space="preserve"> </w:t>
      </w:r>
    </w:p>
    <w:p w14:paraId="16716641">
      <w:pPr>
        <w:pStyle w:val="3"/>
      </w:pPr>
      <w:bookmarkStart w:id="22" w:name="_Toc174208567"/>
      <w:r>
        <w:t>3.1 Introduction</w:t>
      </w:r>
      <w:bookmarkEnd w:id="22"/>
    </w:p>
    <w:p w14:paraId="176C8ADB">
      <w:pPr>
        <w:spacing w:line="480" w:lineRule="auto"/>
      </w:pPr>
      <w:r>
        <w:t>This chapter outlines the research methods and approaches that will be employed in this study. The chapter is structured under the following subheading:</w:t>
      </w:r>
    </w:p>
    <w:p w14:paraId="3A17B2B9">
      <w:pPr>
        <w:numPr>
          <w:ilvl w:val="1"/>
          <w:numId w:val="6"/>
        </w:numPr>
        <w:spacing w:after="0" w:line="480" w:lineRule="auto"/>
        <w:jc w:val="both"/>
        <w:rPr>
          <w:color w:val="000000"/>
        </w:rPr>
      </w:pPr>
      <w:r>
        <w:rPr>
          <w:color w:val="000000"/>
        </w:rPr>
        <w:t>Research Design</w:t>
      </w:r>
    </w:p>
    <w:p w14:paraId="3A3041C4">
      <w:pPr>
        <w:numPr>
          <w:ilvl w:val="1"/>
          <w:numId w:val="6"/>
        </w:numPr>
        <w:spacing w:after="0" w:line="480" w:lineRule="auto"/>
        <w:jc w:val="both"/>
        <w:rPr>
          <w:color w:val="000000"/>
        </w:rPr>
      </w:pPr>
      <w:r>
        <w:rPr>
          <w:color w:val="000000"/>
        </w:rPr>
        <w:t>Population of the Study</w:t>
      </w:r>
    </w:p>
    <w:p w14:paraId="6857DEE2">
      <w:pPr>
        <w:numPr>
          <w:ilvl w:val="1"/>
          <w:numId w:val="6"/>
        </w:numPr>
        <w:spacing w:after="0" w:line="480" w:lineRule="auto"/>
        <w:jc w:val="both"/>
        <w:rPr>
          <w:color w:val="000000"/>
        </w:rPr>
      </w:pPr>
      <w:r>
        <w:rPr>
          <w:color w:val="000000"/>
        </w:rPr>
        <w:t>Sample Size</w:t>
      </w:r>
    </w:p>
    <w:p w14:paraId="0E0E6669">
      <w:pPr>
        <w:numPr>
          <w:ilvl w:val="1"/>
          <w:numId w:val="6"/>
        </w:numPr>
        <w:spacing w:after="0" w:line="480" w:lineRule="auto"/>
        <w:jc w:val="both"/>
        <w:rPr>
          <w:color w:val="000000"/>
        </w:rPr>
      </w:pPr>
      <w:r>
        <w:rPr>
          <w:color w:val="000000"/>
        </w:rPr>
        <w:t>Sampling Techniques</w:t>
      </w:r>
    </w:p>
    <w:p w14:paraId="597B899C">
      <w:pPr>
        <w:numPr>
          <w:ilvl w:val="1"/>
          <w:numId w:val="6"/>
        </w:numPr>
        <w:spacing w:after="0" w:line="480" w:lineRule="auto"/>
        <w:jc w:val="both"/>
        <w:rPr>
          <w:color w:val="000000"/>
        </w:rPr>
      </w:pPr>
      <w:r>
        <w:rPr>
          <w:color w:val="000000"/>
        </w:rPr>
        <w:t xml:space="preserve">Instrument for Data Collection </w:t>
      </w:r>
    </w:p>
    <w:p w14:paraId="735AF9BD">
      <w:pPr>
        <w:numPr>
          <w:ilvl w:val="1"/>
          <w:numId w:val="6"/>
        </w:numPr>
        <w:spacing w:after="0" w:line="480" w:lineRule="auto"/>
        <w:jc w:val="both"/>
      </w:pPr>
      <w:r>
        <w:t>Procedure for Data Collection</w:t>
      </w:r>
    </w:p>
    <w:p w14:paraId="042BC039">
      <w:pPr>
        <w:numPr>
          <w:ilvl w:val="1"/>
          <w:numId w:val="6"/>
        </w:numPr>
        <w:spacing w:after="0" w:line="480" w:lineRule="auto"/>
        <w:jc w:val="both"/>
        <w:rPr>
          <w:color w:val="000000"/>
        </w:rPr>
      </w:pPr>
      <w:r>
        <w:rPr>
          <w:color w:val="000000"/>
        </w:rPr>
        <w:t>Validity and Reliability of the Study</w:t>
      </w:r>
    </w:p>
    <w:p w14:paraId="1D7A083A">
      <w:pPr>
        <w:numPr>
          <w:ilvl w:val="1"/>
          <w:numId w:val="6"/>
        </w:numPr>
        <w:spacing w:line="480" w:lineRule="auto"/>
        <w:jc w:val="both"/>
        <w:rPr>
          <w:color w:val="000000"/>
        </w:rPr>
      </w:pPr>
      <w:r>
        <w:rPr>
          <w:color w:val="000000"/>
        </w:rPr>
        <w:t>Data Analysis Method</w:t>
      </w:r>
    </w:p>
    <w:p w14:paraId="6D9A516A">
      <w:pPr>
        <w:pStyle w:val="3"/>
      </w:pPr>
      <w:bookmarkStart w:id="23" w:name="_Toc174208568"/>
      <w:r>
        <w:t>3.2 Research Design</w:t>
      </w:r>
      <w:bookmarkEnd w:id="23"/>
    </w:p>
    <w:p w14:paraId="54324020">
      <w:pPr>
        <w:spacing w:line="480" w:lineRule="auto"/>
        <w:jc w:val="both"/>
      </w:pPr>
      <w:r>
        <w:t>The quantitative component of the research design for this study will be in the form of surveys to gather data on the use of the internet, knowledge of ICT skills, and the level of self-reported ICT skills among undergraduates of LIS in KWASU, as well as how such skills were acquired. The survey will consist of closed-ended questions aimed at gaining a more comprehensive knowledge of the factors that could impact the utilization of the Internet and the development of ICT skills among undergraduate students in the field of Library and Information Science. Fowler et al. (2013) define survey design as the systematic process of creating a series of questions that will precisely and efficiently gather the necessary information to address a research topic. A well-structured survey can yield important insights into the attitudes, behaviors, and beliefs of a certain group.</w:t>
      </w:r>
    </w:p>
    <w:p w14:paraId="26D2E5C4">
      <w:pPr>
        <w:pStyle w:val="3"/>
      </w:pPr>
      <w:bookmarkStart w:id="24" w:name="_Toc174208569"/>
      <w:r>
        <w:t>3.3 Population of the Study</w:t>
      </w:r>
      <w:bookmarkEnd w:id="24"/>
      <w:r>
        <w:t xml:space="preserve"> </w:t>
      </w:r>
    </w:p>
    <w:p w14:paraId="03C55764">
      <w:pPr>
        <w:spacing w:line="480" w:lineRule="auto"/>
        <w:jc w:val="both"/>
      </w:pPr>
      <w:r>
        <w:t>The population of this study will be undergraduate students of Library and Information Science at Kwara State University, Nigeria. The sample population will consist of undergraduate students from the 100 to 400 level who have been exposed to the learning curriculum of the Department of Library and Information Science.</w:t>
      </w:r>
    </w:p>
    <w:p w14:paraId="44B639DF">
      <w:pPr>
        <w:spacing w:line="480" w:lineRule="auto"/>
        <w:ind w:firstLine="720"/>
        <w:jc w:val="both"/>
      </w:pPr>
      <w:r>
        <w:t xml:space="preserve"> The total population however is 1479, According to the Head of Department. </w:t>
      </w:r>
    </w:p>
    <w:p w14:paraId="1DD6EFBD">
      <w:pPr>
        <w:pStyle w:val="3"/>
      </w:pPr>
      <w:bookmarkStart w:id="25" w:name="_Toc174208570"/>
      <w:r>
        <w:t xml:space="preserve">3.4 Sample size and Sampling </w:t>
      </w:r>
      <w:bookmarkEnd w:id="25"/>
      <w:r>
        <w:t>Technique</w:t>
      </w:r>
    </w:p>
    <w:p w14:paraId="59B7E353">
      <w:pPr>
        <w:spacing w:before="240" w:after="240" w:line="480" w:lineRule="auto"/>
        <w:jc w:val="both"/>
      </w:pPr>
      <w:r>
        <w:t>According to Mugenda and Mugenda (2003), a sample is a smaller group or sub-group obtained from that target population. It indicates the total number of people selected for the study.</w:t>
      </w:r>
      <w:r>
        <w:rPr>
          <w:b/>
        </w:rPr>
        <w:t xml:space="preserve"> </w:t>
      </w:r>
      <w:r>
        <w:t>It is not feasible for the researcher to approach the total population. The sample size drawn for this study is 1479 students.</w:t>
      </w:r>
      <w:r>
        <w:rPr>
          <w:b/>
        </w:rPr>
        <w:t xml:space="preserve"> </w:t>
      </w:r>
      <w:r>
        <w:t>The</w:t>
      </w:r>
      <w:r>
        <w:rPr>
          <w:color w:val="FF0000"/>
        </w:rPr>
        <w:t xml:space="preserve"> </w:t>
      </w:r>
      <w:r>
        <w:t xml:space="preserve">sample size for this study was determined and worked out using Taro Yamane’s formula for determining sample size. Yamane (1974) as cited by Evborokhai (2009) illustrated the formula as: </w:t>
      </w:r>
    </w:p>
    <w:p w14:paraId="7E98D3CB">
      <w:pPr>
        <w:spacing w:line="480" w:lineRule="auto"/>
        <w:jc w:val="both"/>
      </w:pPr>
      <w:r>
        <w:rPr>
          <w:b/>
        </w:rPr>
        <w:t>n</w:t>
      </w:r>
      <w:r>
        <w:t xml:space="preserve"> = </w:t>
      </w:r>
      <m:oMath>
        <m:f>
          <m:fPr>
            <m:ctrlPr>
              <w:rPr>
                <w:rFonts w:ascii="Cambria Math" w:hAnsi="Cambria Math" w:eastAsia="Cambria Math" w:cs="Cambria Math"/>
              </w:rPr>
            </m:ctrlPr>
          </m:fPr>
          <m:num>
            <m:r>
              <m:rPr/>
              <w:rPr>
                <w:rFonts w:ascii="Cambria Math" w:hAnsi="Cambria Math" w:eastAsia="Cambria Math" w:cs="Cambria Math"/>
              </w:rPr>
              <m:t>N</m:t>
            </m:r>
            <m:ctrlPr>
              <w:rPr>
                <w:rFonts w:ascii="Cambria Math" w:hAnsi="Cambria Math" w:eastAsia="Cambria Math" w:cs="Cambria Math"/>
              </w:rPr>
            </m:ctrlPr>
          </m:num>
          <m:den>
            <m:r>
              <m:rPr/>
              <w:rPr>
                <w:rFonts w:ascii="Cambria Math" w:hAnsi="Cambria Math" w:eastAsia="Cambria Math" w:cs="Cambria Math"/>
              </w:rPr>
              <m:t>(1+ N[e</m:t>
            </m:r>
            <m:sSup>
              <m:sSupPr>
                <m:ctrlPr>
                  <w:rPr>
                    <w:rFonts w:ascii="Cambria Math" w:hAnsi="Cambria Math" w:eastAsia="Cambria Math" w:cs="Cambria Math"/>
                  </w:rPr>
                </m:ctrlPr>
              </m:sSupPr>
              <m:e>
                <m:r>
                  <m:rPr/>
                  <w:rPr>
                    <w:rFonts w:ascii="Cambria Math" w:hAnsi="Cambria Math" w:eastAsia="Cambria Math" w:cs="Cambria Math"/>
                  </w:rPr>
                  <m:t>]</m:t>
                </m:r>
                <m:ctrlPr>
                  <w:rPr>
                    <w:rFonts w:ascii="Cambria Math" w:hAnsi="Cambria Math" w:eastAsia="Cambria Math" w:cs="Cambria Math"/>
                  </w:rPr>
                </m:ctrlPr>
              </m:e>
              <m:sup>
                <m:r>
                  <m:rPr/>
                  <w:rPr>
                    <w:rFonts w:ascii="Cambria Math" w:hAnsi="Cambria Math" w:eastAsia="Cambria Math" w:cs="Cambria Math"/>
                  </w:rPr>
                  <m:t>2</m:t>
                </m:r>
                <m:ctrlPr>
                  <w:rPr>
                    <w:rFonts w:ascii="Cambria Math" w:hAnsi="Cambria Math" w:eastAsia="Cambria Math" w:cs="Cambria Math"/>
                  </w:rPr>
                </m:ctrlPr>
              </m:sup>
            </m:sSup>
            <m:r>
              <m:rPr/>
              <w:rPr>
                <w:rFonts w:ascii="Cambria Math" w:hAnsi="Cambria Math" w:eastAsia="Cambria Math" w:cs="Cambria Math"/>
              </w:rPr>
              <m:t>)</m:t>
            </m:r>
            <m:ctrlPr>
              <w:rPr>
                <w:rFonts w:ascii="Cambria Math" w:hAnsi="Cambria Math" w:eastAsia="Cambria Math" w:cs="Cambria Math"/>
              </w:rPr>
            </m:ctrlPr>
          </m:den>
        </m:f>
      </m:oMath>
      <w:r>
        <w:t xml:space="preserve">   where n = sample size</w:t>
      </w:r>
    </w:p>
    <w:p w14:paraId="4802217C">
      <w:pPr>
        <w:spacing w:before="240" w:line="480" w:lineRule="auto"/>
        <w:jc w:val="both"/>
      </w:pPr>
      <w:r>
        <w:t xml:space="preserve">                                </w:t>
      </w:r>
      <w:r>
        <w:tab/>
      </w:r>
      <w:r>
        <w:t xml:space="preserve">  N = Population</w:t>
      </w:r>
    </w:p>
    <w:p w14:paraId="14CB6CF0">
      <w:pPr>
        <w:spacing w:before="240" w:line="480" w:lineRule="auto"/>
        <w:jc w:val="both"/>
      </w:pPr>
      <w:r>
        <w:t xml:space="preserve">                                </w:t>
      </w:r>
      <w:r>
        <w:tab/>
      </w:r>
      <w:r>
        <w:t xml:space="preserve">  1 = constant</w:t>
      </w:r>
    </w:p>
    <w:p w14:paraId="5B1EF353">
      <w:pPr>
        <w:spacing w:before="240" w:line="480" w:lineRule="auto"/>
        <w:jc w:val="both"/>
        <w:rPr>
          <w:b/>
        </w:rPr>
      </w:pPr>
      <w:r>
        <w:t xml:space="preserve">                    </w:t>
      </w:r>
      <w:r>
        <w:tab/>
      </w:r>
      <w:r>
        <w:t xml:space="preserve">               e = Level of Significance chosen (0.05)</w:t>
      </w:r>
      <w:r>
        <w:rPr>
          <w:b/>
        </w:rPr>
        <w:t>2</w:t>
      </w:r>
    </w:p>
    <w:p w14:paraId="4D69A393">
      <w:pPr>
        <w:spacing w:before="240" w:line="480" w:lineRule="auto"/>
        <w:jc w:val="both"/>
      </w:pPr>
      <w:r>
        <w:t>Using Taro Yamane’s formula, we have a sample size of:</w:t>
      </w:r>
    </w:p>
    <w:p w14:paraId="68B511DF">
      <w:pPr>
        <w:spacing w:line="480" w:lineRule="auto"/>
        <w:jc w:val="both"/>
      </w:pPr>
      <w:r>
        <w:rPr>
          <w:b/>
        </w:rPr>
        <w:t xml:space="preserve">      n</w:t>
      </w:r>
      <w:r>
        <w:t xml:space="preserve"> = </w:t>
      </w:r>
      <m:oMath>
        <m:f>
          <m:fPr>
            <m:ctrlPr>
              <w:rPr>
                <w:rFonts w:ascii="Cambria Math" w:hAnsi="Cambria Math" w:eastAsia="Cambria Math" w:cs="Cambria Math"/>
              </w:rPr>
            </m:ctrlPr>
          </m:fPr>
          <m:num>
            <m:r>
              <m:rPr/>
              <w:rPr>
                <w:rFonts w:ascii="Cambria Math" w:hAnsi="Cambria Math" w:eastAsia="Cambria Math" w:cs="Cambria Math"/>
              </w:rPr>
              <m:t>N</m:t>
            </m:r>
            <m:ctrlPr>
              <w:rPr>
                <w:rFonts w:ascii="Cambria Math" w:hAnsi="Cambria Math" w:eastAsia="Cambria Math" w:cs="Cambria Math"/>
              </w:rPr>
            </m:ctrlPr>
          </m:num>
          <m:den>
            <m:r>
              <m:rPr/>
              <w:rPr>
                <w:rFonts w:ascii="Cambria Math" w:hAnsi="Cambria Math" w:eastAsia="Cambria Math" w:cs="Cambria Math"/>
              </w:rPr>
              <m:t>(1+ N[e</m:t>
            </m:r>
            <m:sSup>
              <m:sSupPr>
                <m:ctrlPr>
                  <w:rPr>
                    <w:rFonts w:ascii="Cambria Math" w:hAnsi="Cambria Math" w:eastAsia="Cambria Math" w:cs="Cambria Math"/>
                  </w:rPr>
                </m:ctrlPr>
              </m:sSupPr>
              <m:e>
                <m:r>
                  <m:rPr/>
                  <w:rPr>
                    <w:rFonts w:ascii="Cambria Math" w:hAnsi="Cambria Math" w:eastAsia="Cambria Math" w:cs="Cambria Math"/>
                  </w:rPr>
                  <m:t>]</m:t>
                </m:r>
                <m:ctrlPr>
                  <w:rPr>
                    <w:rFonts w:ascii="Cambria Math" w:hAnsi="Cambria Math" w:eastAsia="Cambria Math" w:cs="Cambria Math"/>
                  </w:rPr>
                </m:ctrlPr>
              </m:e>
              <m:sup>
                <m:r>
                  <m:rPr/>
                  <w:rPr>
                    <w:rFonts w:ascii="Cambria Math" w:hAnsi="Cambria Math" w:eastAsia="Cambria Math" w:cs="Cambria Math"/>
                  </w:rPr>
                  <m:t>2</m:t>
                </m:r>
                <m:ctrlPr>
                  <w:rPr>
                    <w:rFonts w:ascii="Cambria Math" w:hAnsi="Cambria Math" w:eastAsia="Cambria Math" w:cs="Cambria Math"/>
                  </w:rPr>
                </m:ctrlPr>
              </m:sup>
            </m:sSup>
            <m:r>
              <m:rPr/>
              <w:rPr>
                <w:rFonts w:ascii="Cambria Math" w:hAnsi="Cambria Math" w:eastAsia="Cambria Math" w:cs="Cambria Math"/>
              </w:rPr>
              <m:t>)</m:t>
            </m:r>
            <m:ctrlPr>
              <w:rPr>
                <w:rFonts w:ascii="Cambria Math" w:hAnsi="Cambria Math" w:eastAsia="Cambria Math" w:cs="Cambria Math"/>
              </w:rPr>
            </m:ctrlPr>
          </m:den>
        </m:f>
      </m:oMath>
      <w:r>
        <w:t xml:space="preserve"> </w:t>
      </w:r>
    </w:p>
    <w:p w14:paraId="057B7F31">
      <w:pPr>
        <w:spacing w:line="480" w:lineRule="auto"/>
        <w:jc w:val="both"/>
        <w:rPr>
          <w:i/>
        </w:rPr>
      </w:pPr>
      <w:r>
        <w:t xml:space="preserve">           </w:t>
      </w:r>
      <m:oMath>
        <m:f>
          <m:fPr>
            <m:ctrlPr>
              <w:rPr>
                <w:rFonts w:ascii="Cambria Math" w:hAnsi="Cambria Math" w:eastAsia="Cambria Math" w:cs="Cambria Math"/>
              </w:rPr>
            </m:ctrlPr>
          </m:fPr>
          <m:num>
            <m:r>
              <m:rPr/>
              <w:rPr>
                <w:rFonts w:ascii="Cambria Math" w:hAnsi="Cambria Math" w:eastAsia="Cambria Math" w:cs="Cambria Math"/>
              </w:rPr>
              <m:t>1479</m:t>
            </m:r>
            <m:ctrlPr>
              <w:rPr>
                <w:rFonts w:ascii="Cambria Math" w:hAnsi="Cambria Math" w:eastAsia="Cambria Math" w:cs="Cambria Math"/>
              </w:rPr>
            </m:ctrlPr>
          </m:num>
          <m:den>
            <m:r>
              <m:rPr/>
              <w:rPr>
                <w:rFonts w:ascii="Cambria Math" w:hAnsi="Cambria Math" w:eastAsia="Cambria Math" w:cs="Cambria Math"/>
              </w:rPr>
              <m:t>(1+ 1479[0.05</m:t>
            </m:r>
            <m:sSup>
              <m:sSupPr>
                <m:ctrlPr>
                  <w:rPr>
                    <w:rFonts w:ascii="Cambria Math" w:hAnsi="Cambria Math" w:eastAsia="Cambria Math" w:cs="Cambria Math"/>
                  </w:rPr>
                </m:ctrlPr>
              </m:sSupPr>
              <m:e>
                <m:r>
                  <m:rPr/>
                  <w:rPr>
                    <w:rFonts w:ascii="Cambria Math" w:hAnsi="Cambria Math" w:eastAsia="Cambria Math" w:cs="Cambria Math"/>
                  </w:rPr>
                  <m:t>]</m:t>
                </m:r>
                <m:ctrlPr>
                  <w:rPr>
                    <w:rFonts w:ascii="Cambria Math" w:hAnsi="Cambria Math" w:eastAsia="Cambria Math" w:cs="Cambria Math"/>
                  </w:rPr>
                </m:ctrlPr>
              </m:e>
              <m:sup>
                <m:r>
                  <m:rPr/>
                  <w:rPr>
                    <w:rFonts w:ascii="Cambria Math" w:hAnsi="Cambria Math" w:eastAsia="Cambria Math" w:cs="Cambria Math"/>
                  </w:rPr>
                  <m:t>2</m:t>
                </m:r>
                <m:ctrlPr>
                  <w:rPr>
                    <w:rFonts w:ascii="Cambria Math" w:hAnsi="Cambria Math" w:eastAsia="Cambria Math" w:cs="Cambria Math"/>
                  </w:rPr>
                </m:ctrlPr>
              </m:sup>
            </m:sSup>
            <m:r>
              <m:rPr/>
              <w:rPr>
                <w:rFonts w:ascii="Cambria Math" w:hAnsi="Cambria Math" w:eastAsia="Cambria Math" w:cs="Cambria Math"/>
              </w:rPr>
              <m:t>)</m:t>
            </m:r>
            <m:ctrlPr>
              <w:rPr>
                <w:rFonts w:ascii="Cambria Math" w:hAnsi="Cambria Math" w:eastAsia="Cambria Math" w:cs="Cambria Math"/>
              </w:rPr>
            </m:ctrlPr>
          </m:den>
        </m:f>
      </m:oMath>
      <w:r>
        <w:rPr>
          <w:i/>
        </w:rPr>
        <w:t xml:space="preserve"> </w:t>
      </w:r>
    </w:p>
    <w:p w14:paraId="6DCB32D8">
      <w:pPr>
        <w:spacing w:line="480" w:lineRule="auto"/>
        <w:jc w:val="both"/>
        <w:rPr>
          <w:i/>
        </w:rPr>
      </w:pPr>
      <w:r>
        <w:rPr>
          <w:i/>
        </w:rPr>
        <w:t xml:space="preserve">        </w:t>
      </w:r>
      <m:oMath>
        <m:r>
          <m:rPr/>
          <w:rPr>
            <w:rFonts w:ascii="Cambria Math" w:hAnsi="Cambria Math" w:eastAsia="Cambria Math" w:cs="Cambria Math"/>
          </w:rPr>
          <m:t xml:space="preserve"> </m:t>
        </m:r>
        <m:f>
          <m:fPr>
            <m:ctrlPr>
              <w:rPr>
                <w:rFonts w:ascii="Cambria Math" w:hAnsi="Cambria Math" w:eastAsia="Cambria Math" w:cs="Cambria Math"/>
              </w:rPr>
            </m:ctrlPr>
          </m:fPr>
          <m:num>
            <m:r>
              <m:rPr/>
              <w:rPr>
                <w:rFonts w:ascii="Cambria Math" w:hAnsi="Cambria Math" w:eastAsia="Cambria Math" w:cs="Cambria Math"/>
              </w:rPr>
              <m:t>1479</m:t>
            </m:r>
            <m:ctrlPr>
              <w:rPr>
                <w:rFonts w:ascii="Cambria Math" w:hAnsi="Cambria Math" w:eastAsia="Cambria Math" w:cs="Cambria Math"/>
              </w:rPr>
            </m:ctrlPr>
          </m:num>
          <m:den>
            <m:r>
              <m:rPr/>
              <w:rPr>
                <w:rFonts w:ascii="Cambria Math" w:hAnsi="Cambria Math" w:eastAsia="Cambria Math" w:cs="Cambria Math"/>
              </w:rPr>
              <m:t>1+ 1479(0.0025)</m:t>
            </m:r>
            <m:ctrlPr>
              <w:rPr>
                <w:rFonts w:ascii="Cambria Math" w:hAnsi="Cambria Math" w:eastAsia="Cambria Math" w:cs="Cambria Math"/>
              </w:rPr>
            </m:ctrlPr>
          </m:den>
        </m:f>
      </m:oMath>
    </w:p>
    <w:p w14:paraId="276A8394">
      <w:pPr>
        <w:spacing w:line="480" w:lineRule="auto"/>
        <w:jc w:val="both"/>
        <w:rPr>
          <w:i/>
        </w:rPr>
      </w:pPr>
      <w:r>
        <w:rPr>
          <w:i/>
        </w:rPr>
        <w:t xml:space="preserve">        </w:t>
      </w:r>
      <m:oMath>
        <m:r>
          <m:rPr/>
          <w:rPr>
            <w:rFonts w:ascii="Cambria Math" w:hAnsi="Cambria Math" w:eastAsia="Cambria Math" w:cs="Cambria Math"/>
          </w:rPr>
          <m:t xml:space="preserve"> </m:t>
        </m:r>
        <m:f>
          <m:fPr>
            <m:ctrlPr>
              <w:rPr>
                <w:rFonts w:ascii="Cambria Math" w:hAnsi="Cambria Math" w:eastAsia="Cambria Math" w:cs="Cambria Math"/>
              </w:rPr>
            </m:ctrlPr>
          </m:fPr>
          <m:num>
            <m:r>
              <m:rPr/>
              <w:rPr>
                <w:rFonts w:ascii="Cambria Math" w:hAnsi="Cambria Math" w:eastAsia="Cambria Math" w:cs="Cambria Math"/>
              </w:rPr>
              <m:t>1479</m:t>
            </m:r>
            <m:ctrlPr>
              <w:rPr>
                <w:rFonts w:ascii="Cambria Math" w:hAnsi="Cambria Math" w:eastAsia="Cambria Math" w:cs="Cambria Math"/>
              </w:rPr>
            </m:ctrlPr>
          </m:num>
          <m:den>
            <m:r>
              <m:rPr/>
              <w:rPr>
                <w:rFonts w:ascii="Cambria Math" w:hAnsi="Cambria Math" w:eastAsia="Cambria Math" w:cs="Cambria Math"/>
              </w:rPr>
              <m:t>1+ 3.69</m:t>
            </m:r>
            <m:ctrlPr>
              <w:rPr>
                <w:rFonts w:ascii="Cambria Math" w:hAnsi="Cambria Math" w:eastAsia="Cambria Math" w:cs="Cambria Math"/>
              </w:rPr>
            </m:ctrlPr>
          </m:den>
        </m:f>
      </m:oMath>
      <w:r>
        <w:rPr>
          <w:i/>
        </w:rPr>
        <w:t xml:space="preserve"> </w:t>
      </w:r>
    </w:p>
    <w:p w14:paraId="3C468907">
      <w:pPr>
        <w:spacing w:line="480" w:lineRule="auto"/>
        <w:jc w:val="both"/>
        <w:rPr>
          <w:i/>
        </w:rPr>
      </w:pPr>
      <w:r>
        <w:rPr>
          <w:i/>
        </w:rPr>
        <w:t xml:space="preserve">        </w:t>
      </w:r>
      <m:oMath>
        <m:r>
          <m:rPr/>
          <w:rPr>
            <w:rFonts w:ascii="Cambria Math" w:hAnsi="Cambria Math" w:eastAsia="Cambria Math" w:cs="Cambria Math"/>
          </w:rPr>
          <m:t xml:space="preserve"> </m:t>
        </m:r>
        <m:f>
          <m:fPr>
            <m:ctrlPr>
              <w:rPr>
                <w:rFonts w:ascii="Cambria Math" w:hAnsi="Cambria Math" w:eastAsia="Cambria Math" w:cs="Cambria Math"/>
              </w:rPr>
            </m:ctrlPr>
          </m:fPr>
          <m:num>
            <m:r>
              <m:rPr/>
              <w:rPr>
                <w:rFonts w:ascii="Cambria Math" w:hAnsi="Cambria Math" w:eastAsia="Cambria Math" w:cs="Cambria Math"/>
              </w:rPr>
              <m:t>1479</m:t>
            </m:r>
            <m:ctrlPr>
              <w:rPr>
                <w:rFonts w:ascii="Cambria Math" w:hAnsi="Cambria Math" w:eastAsia="Cambria Math" w:cs="Cambria Math"/>
              </w:rPr>
            </m:ctrlPr>
          </m:num>
          <m:den>
            <m:r>
              <m:rPr/>
              <w:rPr>
                <w:rFonts w:ascii="Cambria Math" w:hAnsi="Cambria Math" w:eastAsia="Cambria Math" w:cs="Cambria Math"/>
              </w:rPr>
              <m:t xml:space="preserve"> 4.69</m:t>
            </m:r>
            <m:ctrlPr>
              <w:rPr>
                <w:rFonts w:ascii="Cambria Math" w:hAnsi="Cambria Math" w:eastAsia="Cambria Math" w:cs="Cambria Math"/>
              </w:rPr>
            </m:ctrlPr>
          </m:den>
        </m:f>
      </m:oMath>
    </w:p>
    <w:p w14:paraId="79039739">
      <w:pPr>
        <w:spacing w:line="480" w:lineRule="auto"/>
        <w:jc w:val="both"/>
        <w:rPr>
          <w:i/>
        </w:rPr>
      </w:pPr>
      <w:r>
        <w:rPr>
          <w:i/>
        </w:rPr>
        <w:t xml:space="preserve">       </w:t>
      </w:r>
      <w:r>
        <w:rPr>
          <w:b/>
          <w:i/>
        </w:rPr>
        <w:t>n</w:t>
      </w:r>
      <w:r>
        <w:rPr>
          <w:i/>
        </w:rPr>
        <w:t xml:space="preserve"> = 315</w:t>
      </w:r>
    </w:p>
    <w:p w14:paraId="19CD6311">
      <w:pPr>
        <w:spacing w:line="480" w:lineRule="auto"/>
        <w:jc w:val="both"/>
      </w:pPr>
      <w:r>
        <w:t>To assure the sample's representativeness of the population of LIS undergraduates at Kwara State University, a random sampling technique such as stratified random sampling will be suitable for this research. Dennis (2012) defines random sampling as a statistical method employed in research to choose a representative sample of individuals from a broader population. This technique ensures that every individual in the population has an equal opportunity to be chosen for the sample. The selection procedure is entirely random and free from any bias.</w:t>
      </w:r>
    </w:p>
    <w:p w14:paraId="775E324D">
      <w:pPr>
        <w:pStyle w:val="3"/>
      </w:pPr>
      <w:bookmarkStart w:id="26" w:name="_Toc174208571"/>
      <w:r>
        <w:t>3.5 Instrument for Data Collection</w:t>
      </w:r>
      <w:bookmarkEnd w:id="26"/>
    </w:p>
    <w:p w14:paraId="73BCBDD6">
      <w:pPr>
        <w:spacing w:line="480" w:lineRule="auto"/>
        <w:jc w:val="both"/>
      </w:pPr>
      <w:r>
        <w:t xml:space="preserve">The chosen tool for data collection in this research will be the Questionnaire. This is because it may be utilized to collect numerical data on the variables that might impact the utilization of the Internet and the understanding, perception, and acquisition of ICT skills among undergraduate students studying Library and Information Science at KWASU. The surveys will be constructed to incorporate closed-ended questions that provide respondents with a range of options to select from. The questionnaire will be categorized into two distinct categories: Category A and Category B. Category A will encompass the demographic information of the respondents, whereas Category B will include the primary research questions that the respondents are expected to answer. </w:t>
      </w:r>
    </w:p>
    <w:p w14:paraId="2ACBC357">
      <w:pPr>
        <w:pStyle w:val="3"/>
      </w:pPr>
      <w:bookmarkStart w:id="27" w:name="_Toc174208572"/>
      <w:r>
        <w:t>3.6 Procedure for Data Collection</w:t>
      </w:r>
      <w:bookmarkEnd w:id="27"/>
    </w:p>
    <w:p w14:paraId="6611992D">
      <w:pPr>
        <w:spacing w:line="480" w:lineRule="auto"/>
        <w:jc w:val="both"/>
        <w:rPr>
          <w:bCs/>
        </w:rPr>
      </w:pPr>
      <w:r>
        <w:rPr>
          <w:bCs/>
        </w:rPr>
        <w:t>To collect data for this study, the researchers administered questionnaire to undergraduate Library and Information Science students in Kwara State University, Malete. This was done physically at the university LIS department. The questionnaire statements aligned with the research objectives, covering areas such: how LIS undergraduates make use of the internet, how the undergraduate LIS students acquire their ICT skills, how the undergraduates possess their ICT skills and recommendations for curriculum modifications to bridge the identified gap.</w:t>
      </w:r>
    </w:p>
    <w:p w14:paraId="4C2E3282">
      <w:pPr>
        <w:pStyle w:val="3"/>
      </w:pPr>
      <w:bookmarkStart w:id="28" w:name="_Toc174208573"/>
      <w:r>
        <w:t>3.7 Validity of the Study</w:t>
      </w:r>
      <w:bookmarkEnd w:id="28"/>
    </w:p>
    <w:p w14:paraId="235472EE">
      <w:pPr>
        <w:spacing w:line="480" w:lineRule="auto"/>
        <w:jc w:val="both"/>
      </w:pPr>
      <w:r>
        <w:t>The study instrument's content undergo a validity test to assess the accuracy of measuring the intended variables. To guarantee the validity of the content in this study, the research instrument will be created by thoroughly examining the pertinent literature and seeking opinions from experts in digital libraries. Face validity will be assessed by soliciting feedback from a representative sample of the target group, including undergraduate LIS students, independent researchers, and the project supervisor. This process aims to ensure that the questions in the research instrument are unambiguous and pertinent.</w:t>
      </w:r>
    </w:p>
    <w:p w14:paraId="79C9D5CC">
      <w:pPr>
        <w:spacing w:line="480" w:lineRule="auto"/>
        <w:jc w:val="both"/>
      </w:pPr>
      <w:r>
        <w:t>The study instrument evaluated for construct validity to verify that it accurately assesses the underlying constructs or ideas of interest, such as internet use, ICT training, and skills.</w:t>
      </w:r>
    </w:p>
    <w:p w14:paraId="4F1BDBEF">
      <w:pPr>
        <w:spacing w:line="480" w:lineRule="auto"/>
        <w:jc w:val="both"/>
      </w:pPr>
      <w:r>
        <w:t>Test-retest reliability refers to the ability of a research instrument to consistently give the same results when administered multiple times over a period of time. To establish the test-retest reliability of this study, the research instrument will be given to a subset of the intended population on two different occasions, and the outcomes will be compared.</w:t>
      </w:r>
    </w:p>
    <w:p w14:paraId="7AD13E28">
      <w:pPr>
        <w:pStyle w:val="3"/>
      </w:pPr>
      <w:bookmarkStart w:id="29" w:name="_Toc174208574"/>
      <w:r>
        <w:t>3.8 Data Analysis Method</w:t>
      </w:r>
      <w:bookmarkEnd w:id="29"/>
    </w:p>
    <w:p w14:paraId="484A78AC">
      <w:pPr>
        <w:spacing w:line="480" w:lineRule="auto"/>
        <w:jc w:val="both"/>
      </w:pPr>
      <w:r>
        <w:t>The responses provided by the participants will be assessed and computed using the latest version of the IBM Statistical Package for Social Science (SPSS) tool. The findings will be displayed in the form of a table utilizing frequency distribution. This enables the researcher to offer a lucid and succinct depiction of the data collected from the field.</w:t>
      </w:r>
    </w:p>
    <w:p w14:paraId="6C0426F0">
      <w:pPr>
        <w:rPr>
          <w:b/>
        </w:rPr>
      </w:pPr>
      <w:r>
        <w:rPr>
          <w:b/>
        </w:rPr>
        <w:br w:type="page"/>
      </w:r>
    </w:p>
    <w:p w14:paraId="7656B7D3">
      <w:pPr>
        <w:pStyle w:val="2"/>
      </w:pPr>
      <w:bookmarkStart w:id="30" w:name="_Toc174208575"/>
      <w:r>
        <w:t>CHAPTER FOUR</w:t>
      </w:r>
      <w:bookmarkEnd w:id="30"/>
      <w:r>
        <w:t xml:space="preserve"> </w:t>
      </w:r>
    </w:p>
    <w:p w14:paraId="77D7168E">
      <w:pPr>
        <w:pStyle w:val="2"/>
      </w:pPr>
      <w:bookmarkStart w:id="31" w:name="_Toc174208576"/>
      <w:r>
        <w:t>DATA ANALYSIS, PRESENTATION AND INTEPRETATION</w:t>
      </w:r>
      <w:bookmarkEnd w:id="31"/>
      <w:r>
        <w:t xml:space="preserve"> </w:t>
      </w:r>
    </w:p>
    <w:p w14:paraId="11893E00">
      <w:pPr>
        <w:rPr>
          <w:b/>
        </w:rPr>
      </w:pPr>
    </w:p>
    <w:p w14:paraId="591C3594">
      <w:pPr>
        <w:pStyle w:val="3"/>
      </w:pPr>
      <w:bookmarkStart w:id="32" w:name="_Toc174208577"/>
      <w:r>
        <w:t>4.1</w:t>
      </w:r>
      <w:r>
        <w:tab/>
      </w:r>
      <w:r>
        <w:t>Introduction</w:t>
      </w:r>
      <w:bookmarkEnd w:id="32"/>
      <w:r>
        <w:t xml:space="preserve"> </w:t>
      </w:r>
    </w:p>
    <w:p w14:paraId="2A4055B8">
      <w:pPr>
        <w:spacing w:after="240" w:line="480" w:lineRule="auto"/>
        <w:jc w:val="both"/>
      </w:pPr>
      <w:bookmarkStart w:id="33" w:name="_heading=h.17dp8vu" w:colFirst="0" w:colLast="0"/>
      <w:bookmarkEnd w:id="33"/>
      <w:r>
        <w:t xml:space="preserve"> This section of the chapter is dedicated to interpreting and discussing the collected data. The gathered data underwent analysis using the Statistical Package for Social Science (SPSS). Percentage tables and frequency tables were utilized to systematically organize and present the data. A total of 315 questionnaires were administered to undergraduate’s students of LIS at Kwara State University, and the collected data were used for the analysis.</w:t>
      </w:r>
    </w:p>
    <w:p w14:paraId="01253D5A">
      <w:pPr>
        <w:numPr>
          <w:ilvl w:val="1"/>
          <w:numId w:val="5"/>
        </w:numPr>
        <w:spacing w:after="0" w:line="480" w:lineRule="auto"/>
        <w:jc w:val="both"/>
      </w:pPr>
      <w:r>
        <w:rPr>
          <w:color w:val="000000"/>
        </w:rPr>
        <w:t>Return Rate</w:t>
      </w:r>
    </w:p>
    <w:p w14:paraId="0CAF6071">
      <w:pPr>
        <w:numPr>
          <w:ilvl w:val="1"/>
          <w:numId w:val="5"/>
        </w:numPr>
        <w:spacing w:after="0" w:line="480" w:lineRule="auto"/>
        <w:jc w:val="both"/>
      </w:pPr>
      <w:r>
        <w:rPr>
          <w:color w:val="000000"/>
        </w:rPr>
        <w:t xml:space="preserve">Data Presentation and Analysis </w:t>
      </w:r>
    </w:p>
    <w:p w14:paraId="3F13921D">
      <w:pPr>
        <w:numPr>
          <w:ilvl w:val="1"/>
          <w:numId w:val="5"/>
        </w:numPr>
        <w:spacing w:after="200" w:line="480" w:lineRule="auto"/>
        <w:jc w:val="both"/>
      </w:pPr>
      <w:r>
        <w:rPr>
          <w:color w:val="000000"/>
        </w:rPr>
        <w:t xml:space="preserve">Discussion of the Findings </w:t>
      </w:r>
    </w:p>
    <w:p w14:paraId="6CD93750">
      <w:pPr>
        <w:pStyle w:val="3"/>
      </w:pPr>
      <w:bookmarkStart w:id="34" w:name="_Toc174208578"/>
      <w:r>
        <w:t>4.2</w:t>
      </w:r>
      <w:r>
        <w:tab/>
      </w:r>
      <w:r>
        <w:t xml:space="preserve"> Return Rate</w:t>
      </w:r>
      <w:bookmarkEnd w:id="34"/>
      <w:r>
        <w:t xml:space="preserve"> </w:t>
      </w:r>
    </w:p>
    <w:p w14:paraId="642BF93D">
      <w:pPr>
        <w:spacing w:line="480" w:lineRule="auto"/>
        <w:jc w:val="both"/>
      </w:pPr>
      <w:r>
        <w:t>The total sample of the study is three hundred and fifteen (315) copies of the questionnaire were administered on the respondents. This indicates 100% return rate. The analysis of the collected copies of the questionnaire are presented as follows</w:t>
      </w:r>
    </w:p>
    <w:p w14:paraId="060578B3">
      <w:pPr>
        <w:spacing w:line="480" w:lineRule="auto"/>
        <w:ind w:firstLine="204"/>
        <w:jc w:val="both"/>
      </w:pPr>
    </w:p>
    <w:p w14:paraId="1AF40ED8">
      <w:pPr>
        <w:spacing w:line="480" w:lineRule="auto"/>
        <w:ind w:firstLine="204"/>
        <w:jc w:val="both"/>
      </w:pPr>
    </w:p>
    <w:p w14:paraId="1FEA4791">
      <w:pPr>
        <w:spacing w:line="480" w:lineRule="auto"/>
        <w:ind w:firstLine="204"/>
        <w:jc w:val="both"/>
      </w:pPr>
    </w:p>
    <w:p w14:paraId="79C84A02">
      <w:pPr>
        <w:spacing w:line="480" w:lineRule="auto"/>
        <w:ind w:firstLine="204"/>
        <w:jc w:val="both"/>
      </w:pPr>
    </w:p>
    <w:p w14:paraId="13CC21BF">
      <w:pPr>
        <w:spacing w:line="480" w:lineRule="auto"/>
        <w:ind w:firstLine="204"/>
        <w:jc w:val="both"/>
      </w:pPr>
    </w:p>
    <w:p w14:paraId="193748F9">
      <w:pPr>
        <w:spacing w:line="480" w:lineRule="auto"/>
        <w:ind w:firstLine="204"/>
        <w:jc w:val="both"/>
      </w:pPr>
    </w:p>
    <w:p w14:paraId="78F72EDA">
      <w:pPr>
        <w:pStyle w:val="75"/>
        <w:numPr>
          <w:ilvl w:val="1"/>
          <w:numId w:val="7"/>
        </w:numPr>
        <w:spacing w:line="480" w:lineRule="auto"/>
        <w:rPr>
          <w:b/>
        </w:rPr>
      </w:pPr>
      <w:r>
        <w:rPr>
          <w:b/>
        </w:rPr>
        <w:t>Data Presentation and Analysis</w:t>
      </w:r>
      <w:bookmarkStart w:id="35" w:name="_Toc173915155"/>
    </w:p>
    <w:bookmarkEnd w:id="35"/>
    <w:tbl>
      <w:tblPr>
        <w:tblStyle w:val="52"/>
        <w:tblW w:w="737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1808"/>
        <w:gridCol w:w="2268"/>
        <w:gridCol w:w="1987"/>
        <w:gridCol w:w="564"/>
      </w:tblGrid>
      <w:tr w14:paraId="0A60A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64" w:type="dxa"/>
          <w:cantSplit/>
        </w:trPr>
        <w:tc>
          <w:tcPr>
            <w:tcW w:w="6807" w:type="dxa"/>
            <w:gridSpan w:val="4"/>
            <w:tcBorders>
              <w:top w:val="nil"/>
              <w:left w:val="nil"/>
              <w:bottom w:val="nil"/>
              <w:right w:val="nil"/>
            </w:tcBorders>
            <w:shd w:val="clear" w:color="auto" w:fill="FFFFFF"/>
            <w:vAlign w:val="center"/>
          </w:tcPr>
          <w:p w14:paraId="3DCD5C74">
            <w:pPr>
              <w:spacing w:after="0" w:line="480" w:lineRule="auto"/>
              <w:ind w:right="60"/>
            </w:pPr>
            <w:r>
              <w:rPr>
                <w:b/>
              </w:rPr>
              <w:t>Table 4.1: Respondents Demographic Information</w:t>
            </w:r>
          </w:p>
        </w:tc>
      </w:tr>
      <w:tr w14:paraId="5D9D9F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552" w:type="dxa"/>
            <w:gridSpan w:val="2"/>
            <w:tcBorders>
              <w:top w:val="single" w:color="000000" w:sz="4" w:space="0"/>
              <w:left w:val="nil"/>
              <w:bottom w:val="single" w:color="000000" w:sz="4" w:space="0"/>
              <w:right w:val="nil"/>
            </w:tcBorders>
            <w:vAlign w:val="bottom"/>
          </w:tcPr>
          <w:p w14:paraId="37F3E70C">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22F38F1A">
            <w:pPr>
              <w:spacing w:after="0" w:line="360" w:lineRule="auto"/>
              <w:ind w:left="60" w:right="60"/>
              <w:jc w:val="center"/>
              <w:rPr>
                <w:b/>
              </w:rPr>
            </w:pPr>
            <w:r>
              <w:rPr>
                <w:b/>
              </w:rPr>
              <w:t>Frequency</w:t>
            </w:r>
          </w:p>
        </w:tc>
        <w:tc>
          <w:tcPr>
            <w:tcW w:w="2551" w:type="dxa"/>
            <w:gridSpan w:val="2"/>
            <w:tcBorders>
              <w:top w:val="single" w:color="000000" w:sz="4" w:space="0"/>
              <w:left w:val="nil"/>
              <w:bottom w:val="single" w:color="000000" w:sz="4" w:space="0"/>
              <w:right w:val="nil"/>
            </w:tcBorders>
            <w:vAlign w:val="bottom"/>
          </w:tcPr>
          <w:p w14:paraId="74C5A6D1">
            <w:pPr>
              <w:spacing w:after="0" w:line="360" w:lineRule="auto"/>
              <w:ind w:left="60" w:right="60"/>
              <w:jc w:val="center"/>
              <w:rPr>
                <w:b/>
              </w:rPr>
            </w:pPr>
            <w:r>
              <w:rPr>
                <w:b/>
              </w:rPr>
              <w:t>Percent</w:t>
            </w:r>
          </w:p>
        </w:tc>
      </w:tr>
      <w:tr w14:paraId="1C1C0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552" w:type="dxa"/>
            <w:gridSpan w:val="2"/>
            <w:tcBorders>
              <w:top w:val="single" w:color="000000" w:sz="4" w:space="0"/>
              <w:left w:val="nil"/>
              <w:bottom w:val="nil"/>
              <w:right w:val="nil"/>
            </w:tcBorders>
            <w:vAlign w:val="bottom"/>
          </w:tcPr>
          <w:p w14:paraId="030F23FF">
            <w:pPr>
              <w:spacing w:after="0" w:line="360" w:lineRule="auto"/>
              <w:rPr>
                <w:b/>
              </w:rPr>
            </w:pPr>
            <w:r>
              <w:rPr>
                <w:b/>
              </w:rPr>
              <w:t xml:space="preserve">Gender of respondents </w:t>
            </w:r>
          </w:p>
        </w:tc>
        <w:tc>
          <w:tcPr>
            <w:tcW w:w="2268" w:type="dxa"/>
            <w:tcBorders>
              <w:top w:val="single" w:color="000000" w:sz="4" w:space="0"/>
              <w:left w:val="nil"/>
              <w:bottom w:val="nil"/>
              <w:right w:val="nil"/>
            </w:tcBorders>
            <w:vAlign w:val="bottom"/>
          </w:tcPr>
          <w:p w14:paraId="76E4AFDF">
            <w:pPr>
              <w:spacing w:after="0" w:line="360" w:lineRule="auto"/>
              <w:ind w:left="60" w:right="60"/>
              <w:jc w:val="center"/>
              <w:rPr>
                <w:b/>
              </w:rPr>
            </w:pPr>
          </w:p>
        </w:tc>
        <w:tc>
          <w:tcPr>
            <w:tcW w:w="2551" w:type="dxa"/>
            <w:gridSpan w:val="2"/>
            <w:tcBorders>
              <w:top w:val="single" w:color="000000" w:sz="4" w:space="0"/>
              <w:left w:val="nil"/>
              <w:bottom w:val="nil"/>
              <w:right w:val="nil"/>
            </w:tcBorders>
            <w:vAlign w:val="bottom"/>
          </w:tcPr>
          <w:p w14:paraId="3E3BEDBC">
            <w:pPr>
              <w:spacing w:after="0" w:line="360" w:lineRule="auto"/>
              <w:ind w:left="60" w:right="60"/>
              <w:jc w:val="center"/>
              <w:rPr>
                <w:b/>
              </w:rPr>
            </w:pPr>
          </w:p>
        </w:tc>
      </w:tr>
      <w:tr w14:paraId="5FE4EF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4" w:type="dxa"/>
            <w:vMerge w:val="restart"/>
            <w:tcBorders>
              <w:top w:val="nil"/>
              <w:left w:val="nil"/>
              <w:bottom w:val="nil"/>
              <w:right w:val="nil"/>
            </w:tcBorders>
          </w:tcPr>
          <w:p w14:paraId="7A963968">
            <w:pPr>
              <w:spacing w:after="0" w:line="360" w:lineRule="auto"/>
              <w:ind w:left="60" w:right="60"/>
              <w:jc w:val="center"/>
            </w:pPr>
          </w:p>
        </w:tc>
        <w:tc>
          <w:tcPr>
            <w:tcW w:w="1808" w:type="dxa"/>
            <w:tcBorders>
              <w:top w:val="nil"/>
              <w:left w:val="nil"/>
              <w:bottom w:val="nil"/>
              <w:right w:val="nil"/>
            </w:tcBorders>
          </w:tcPr>
          <w:p w14:paraId="70253A7F">
            <w:pPr>
              <w:spacing w:after="0" w:line="360" w:lineRule="auto"/>
              <w:ind w:left="60" w:right="60"/>
              <w:jc w:val="center"/>
            </w:pPr>
            <w:r>
              <w:t>Male</w:t>
            </w:r>
          </w:p>
        </w:tc>
        <w:tc>
          <w:tcPr>
            <w:tcW w:w="2268" w:type="dxa"/>
            <w:tcBorders>
              <w:top w:val="nil"/>
              <w:left w:val="nil"/>
              <w:bottom w:val="nil"/>
              <w:right w:val="nil"/>
            </w:tcBorders>
          </w:tcPr>
          <w:p w14:paraId="5F4213BE">
            <w:pPr>
              <w:spacing w:after="0" w:line="360" w:lineRule="auto"/>
              <w:ind w:left="60" w:right="60"/>
              <w:jc w:val="center"/>
            </w:pPr>
            <w:r>
              <w:t>105</w:t>
            </w:r>
          </w:p>
        </w:tc>
        <w:tc>
          <w:tcPr>
            <w:tcW w:w="2551" w:type="dxa"/>
            <w:gridSpan w:val="2"/>
            <w:tcBorders>
              <w:top w:val="nil"/>
              <w:left w:val="nil"/>
              <w:bottom w:val="nil"/>
              <w:right w:val="nil"/>
            </w:tcBorders>
          </w:tcPr>
          <w:p w14:paraId="04FC58BD">
            <w:pPr>
              <w:spacing w:after="0" w:line="360" w:lineRule="auto"/>
              <w:ind w:left="60" w:right="60"/>
              <w:jc w:val="center"/>
            </w:pPr>
            <w:r>
              <w:t>33.3</w:t>
            </w:r>
          </w:p>
        </w:tc>
      </w:tr>
      <w:tr w14:paraId="58AE7E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4" w:type="dxa"/>
            <w:vMerge w:val="continue"/>
            <w:tcBorders>
              <w:top w:val="single" w:color="000000" w:sz="4" w:space="0"/>
              <w:left w:val="nil"/>
              <w:bottom w:val="nil"/>
              <w:right w:val="nil"/>
            </w:tcBorders>
          </w:tcPr>
          <w:p w14:paraId="6CCB8F58">
            <w:pPr>
              <w:widowControl w:val="0"/>
              <w:spacing w:after="0" w:line="360" w:lineRule="auto"/>
            </w:pPr>
          </w:p>
        </w:tc>
        <w:tc>
          <w:tcPr>
            <w:tcW w:w="1808" w:type="dxa"/>
            <w:tcBorders>
              <w:top w:val="nil"/>
              <w:left w:val="nil"/>
              <w:bottom w:val="nil"/>
              <w:right w:val="nil"/>
            </w:tcBorders>
          </w:tcPr>
          <w:p w14:paraId="58471875">
            <w:pPr>
              <w:spacing w:after="0" w:line="360" w:lineRule="auto"/>
              <w:ind w:left="60" w:right="60"/>
              <w:jc w:val="center"/>
            </w:pPr>
            <w:r>
              <w:t>Female</w:t>
            </w:r>
          </w:p>
        </w:tc>
        <w:tc>
          <w:tcPr>
            <w:tcW w:w="2268" w:type="dxa"/>
            <w:tcBorders>
              <w:top w:val="nil"/>
              <w:left w:val="nil"/>
              <w:bottom w:val="nil"/>
              <w:right w:val="nil"/>
            </w:tcBorders>
          </w:tcPr>
          <w:p w14:paraId="3A821327">
            <w:pPr>
              <w:spacing w:after="0" w:line="360" w:lineRule="auto"/>
              <w:ind w:left="60" w:right="60"/>
              <w:jc w:val="center"/>
            </w:pPr>
            <w:r>
              <w:t>210</w:t>
            </w:r>
          </w:p>
        </w:tc>
        <w:tc>
          <w:tcPr>
            <w:tcW w:w="2551" w:type="dxa"/>
            <w:gridSpan w:val="2"/>
            <w:tcBorders>
              <w:top w:val="nil"/>
              <w:left w:val="nil"/>
              <w:bottom w:val="nil"/>
              <w:right w:val="nil"/>
            </w:tcBorders>
          </w:tcPr>
          <w:p w14:paraId="2B25800F">
            <w:pPr>
              <w:spacing w:after="0" w:line="360" w:lineRule="auto"/>
              <w:ind w:left="60" w:right="60"/>
              <w:jc w:val="center"/>
            </w:pPr>
            <w:r>
              <w:t>66.7</w:t>
            </w:r>
          </w:p>
        </w:tc>
      </w:tr>
    </w:tbl>
    <w:tbl>
      <w:tblPr>
        <w:tblStyle w:val="53"/>
        <w:tblW w:w="737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3"/>
        <w:gridCol w:w="1667"/>
        <w:gridCol w:w="2410"/>
        <w:gridCol w:w="2476"/>
        <w:gridCol w:w="75"/>
      </w:tblGrid>
      <w:tr w14:paraId="77D475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75" w:type="dxa"/>
          <w:cantSplit/>
        </w:trPr>
        <w:tc>
          <w:tcPr>
            <w:tcW w:w="7296" w:type="dxa"/>
            <w:gridSpan w:val="4"/>
            <w:tcBorders>
              <w:top w:val="nil"/>
              <w:left w:val="nil"/>
              <w:bottom w:val="nil"/>
              <w:right w:val="nil"/>
            </w:tcBorders>
            <w:shd w:val="clear" w:color="auto" w:fill="FFFFFF"/>
            <w:vAlign w:val="center"/>
          </w:tcPr>
          <w:p w14:paraId="39366BDB">
            <w:pPr>
              <w:spacing w:after="0" w:line="480" w:lineRule="auto"/>
              <w:ind w:right="60"/>
              <w:jc w:val="both"/>
            </w:pPr>
            <w:r>
              <w:rPr>
                <w:b/>
              </w:rPr>
              <w:t xml:space="preserve">Age of respondents </w:t>
            </w:r>
          </w:p>
        </w:tc>
      </w:tr>
      <w:tr w14:paraId="0F3D64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3" w:type="dxa"/>
            <w:vMerge w:val="restart"/>
            <w:tcBorders>
              <w:top w:val="nil"/>
              <w:left w:val="nil"/>
              <w:bottom w:val="nil"/>
              <w:right w:val="nil"/>
            </w:tcBorders>
          </w:tcPr>
          <w:p w14:paraId="2C9DE175">
            <w:pPr>
              <w:spacing w:after="0" w:line="480" w:lineRule="auto"/>
              <w:ind w:left="60" w:right="60"/>
              <w:jc w:val="center"/>
            </w:pPr>
          </w:p>
        </w:tc>
        <w:tc>
          <w:tcPr>
            <w:tcW w:w="1667" w:type="dxa"/>
            <w:tcBorders>
              <w:top w:val="nil"/>
              <w:left w:val="nil"/>
              <w:bottom w:val="nil"/>
              <w:right w:val="nil"/>
            </w:tcBorders>
          </w:tcPr>
          <w:p w14:paraId="3FDF0C29">
            <w:pPr>
              <w:spacing w:after="0" w:line="480" w:lineRule="auto"/>
              <w:ind w:left="60" w:right="60"/>
              <w:jc w:val="center"/>
            </w:pPr>
            <w:r>
              <w:t>16-20 years</w:t>
            </w:r>
          </w:p>
        </w:tc>
        <w:tc>
          <w:tcPr>
            <w:tcW w:w="2410" w:type="dxa"/>
            <w:tcBorders>
              <w:top w:val="nil"/>
              <w:left w:val="nil"/>
              <w:bottom w:val="nil"/>
              <w:right w:val="nil"/>
            </w:tcBorders>
          </w:tcPr>
          <w:p w14:paraId="6AE265BF">
            <w:pPr>
              <w:spacing w:after="0" w:line="480" w:lineRule="auto"/>
              <w:ind w:left="60" w:right="60"/>
              <w:jc w:val="center"/>
            </w:pPr>
            <w:r>
              <w:t>160</w:t>
            </w:r>
          </w:p>
        </w:tc>
        <w:tc>
          <w:tcPr>
            <w:tcW w:w="2551" w:type="dxa"/>
            <w:gridSpan w:val="2"/>
            <w:tcBorders>
              <w:top w:val="nil"/>
              <w:left w:val="nil"/>
              <w:bottom w:val="nil"/>
              <w:right w:val="nil"/>
            </w:tcBorders>
          </w:tcPr>
          <w:p w14:paraId="0A663CF6">
            <w:pPr>
              <w:spacing w:after="0" w:line="480" w:lineRule="auto"/>
              <w:ind w:left="60" w:right="60"/>
              <w:jc w:val="center"/>
            </w:pPr>
            <w:r>
              <w:t>50.8</w:t>
            </w:r>
          </w:p>
        </w:tc>
      </w:tr>
      <w:tr w14:paraId="54E831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3" w:type="dxa"/>
            <w:vMerge w:val="continue"/>
            <w:tcBorders>
              <w:top w:val="single" w:color="000000" w:sz="4" w:space="0"/>
              <w:left w:val="nil"/>
              <w:bottom w:val="nil"/>
              <w:right w:val="nil"/>
            </w:tcBorders>
          </w:tcPr>
          <w:p w14:paraId="4144CEF3">
            <w:pPr>
              <w:widowControl w:val="0"/>
              <w:spacing w:after="0" w:line="276" w:lineRule="auto"/>
            </w:pPr>
          </w:p>
        </w:tc>
        <w:tc>
          <w:tcPr>
            <w:tcW w:w="1667" w:type="dxa"/>
            <w:tcBorders>
              <w:top w:val="nil"/>
              <w:left w:val="nil"/>
              <w:bottom w:val="nil"/>
              <w:right w:val="nil"/>
            </w:tcBorders>
          </w:tcPr>
          <w:p w14:paraId="07C41B52">
            <w:pPr>
              <w:spacing w:after="0" w:line="480" w:lineRule="auto"/>
              <w:ind w:left="60" w:right="60"/>
              <w:jc w:val="center"/>
            </w:pPr>
            <w:r>
              <w:t>21-25 years</w:t>
            </w:r>
          </w:p>
        </w:tc>
        <w:tc>
          <w:tcPr>
            <w:tcW w:w="2410" w:type="dxa"/>
            <w:tcBorders>
              <w:top w:val="nil"/>
              <w:left w:val="nil"/>
              <w:bottom w:val="nil"/>
              <w:right w:val="nil"/>
            </w:tcBorders>
          </w:tcPr>
          <w:p w14:paraId="0958C081">
            <w:pPr>
              <w:spacing w:after="0" w:line="480" w:lineRule="auto"/>
              <w:ind w:left="60" w:right="60"/>
              <w:jc w:val="center"/>
            </w:pPr>
            <w:r>
              <w:t>105</w:t>
            </w:r>
          </w:p>
        </w:tc>
        <w:tc>
          <w:tcPr>
            <w:tcW w:w="2551" w:type="dxa"/>
            <w:gridSpan w:val="2"/>
            <w:tcBorders>
              <w:top w:val="nil"/>
              <w:left w:val="nil"/>
              <w:bottom w:val="nil"/>
              <w:right w:val="nil"/>
            </w:tcBorders>
          </w:tcPr>
          <w:p w14:paraId="2CDDD2AE">
            <w:pPr>
              <w:spacing w:after="0" w:line="480" w:lineRule="auto"/>
              <w:ind w:left="60" w:right="60"/>
              <w:jc w:val="center"/>
            </w:pPr>
            <w:r>
              <w:t>33.3</w:t>
            </w:r>
          </w:p>
        </w:tc>
      </w:tr>
      <w:tr w14:paraId="02A7BE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3" w:type="dxa"/>
            <w:vMerge w:val="continue"/>
            <w:tcBorders>
              <w:top w:val="single" w:color="000000" w:sz="4" w:space="0"/>
              <w:left w:val="nil"/>
              <w:bottom w:val="nil"/>
              <w:right w:val="nil"/>
            </w:tcBorders>
          </w:tcPr>
          <w:p w14:paraId="6ABD2917">
            <w:pPr>
              <w:widowControl w:val="0"/>
              <w:spacing w:after="0" w:line="276" w:lineRule="auto"/>
            </w:pPr>
          </w:p>
        </w:tc>
        <w:tc>
          <w:tcPr>
            <w:tcW w:w="1667" w:type="dxa"/>
            <w:tcBorders>
              <w:top w:val="nil"/>
              <w:left w:val="nil"/>
              <w:bottom w:val="nil"/>
              <w:right w:val="nil"/>
            </w:tcBorders>
          </w:tcPr>
          <w:p w14:paraId="75DE5947">
            <w:pPr>
              <w:spacing w:after="0" w:line="480" w:lineRule="auto"/>
              <w:ind w:left="60" w:right="60"/>
              <w:jc w:val="center"/>
            </w:pPr>
            <w:r>
              <w:t>26 and above</w:t>
            </w:r>
          </w:p>
        </w:tc>
        <w:tc>
          <w:tcPr>
            <w:tcW w:w="2410" w:type="dxa"/>
            <w:tcBorders>
              <w:top w:val="nil"/>
              <w:left w:val="nil"/>
              <w:bottom w:val="nil"/>
              <w:right w:val="nil"/>
            </w:tcBorders>
          </w:tcPr>
          <w:p w14:paraId="6E13F7A5">
            <w:pPr>
              <w:spacing w:after="0" w:line="480" w:lineRule="auto"/>
              <w:ind w:left="60" w:right="60"/>
              <w:jc w:val="center"/>
            </w:pPr>
            <w:r>
              <w:t>50</w:t>
            </w:r>
          </w:p>
        </w:tc>
        <w:tc>
          <w:tcPr>
            <w:tcW w:w="2551" w:type="dxa"/>
            <w:gridSpan w:val="2"/>
            <w:tcBorders>
              <w:top w:val="nil"/>
              <w:left w:val="nil"/>
              <w:bottom w:val="nil"/>
              <w:right w:val="nil"/>
            </w:tcBorders>
          </w:tcPr>
          <w:p w14:paraId="0F1062B7">
            <w:pPr>
              <w:spacing w:after="0" w:line="480" w:lineRule="auto"/>
              <w:ind w:left="60" w:right="60"/>
              <w:jc w:val="center"/>
            </w:pPr>
            <w:r>
              <w:t>15.9</w:t>
            </w:r>
          </w:p>
        </w:tc>
      </w:tr>
    </w:tbl>
    <w:tbl>
      <w:tblPr>
        <w:tblStyle w:val="54"/>
        <w:tblW w:w="737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3"/>
        <w:gridCol w:w="1507"/>
        <w:gridCol w:w="2569"/>
        <w:gridCol w:w="1788"/>
        <w:gridCol w:w="763"/>
      </w:tblGrid>
      <w:tr w14:paraId="0974C5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763" w:type="dxa"/>
          <w:cantSplit/>
        </w:trPr>
        <w:tc>
          <w:tcPr>
            <w:tcW w:w="6607" w:type="dxa"/>
            <w:gridSpan w:val="4"/>
            <w:tcBorders>
              <w:top w:val="nil"/>
              <w:left w:val="nil"/>
              <w:bottom w:val="nil"/>
              <w:right w:val="nil"/>
            </w:tcBorders>
            <w:shd w:val="clear" w:color="auto" w:fill="FFFFFF"/>
            <w:vAlign w:val="center"/>
          </w:tcPr>
          <w:p w14:paraId="7830F6B0">
            <w:pPr>
              <w:spacing w:after="0" w:line="480" w:lineRule="auto"/>
              <w:ind w:right="60"/>
              <w:jc w:val="both"/>
            </w:pPr>
            <w:r>
              <w:rPr>
                <w:b/>
              </w:rPr>
              <w:t xml:space="preserve">Level of respondents </w:t>
            </w:r>
          </w:p>
        </w:tc>
      </w:tr>
      <w:tr w14:paraId="53C5C9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3" w:type="dxa"/>
            <w:vMerge w:val="restart"/>
            <w:tcBorders>
              <w:top w:val="nil"/>
              <w:left w:val="nil"/>
              <w:bottom w:val="nil"/>
              <w:right w:val="nil"/>
            </w:tcBorders>
          </w:tcPr>
          <w:p w14:paraId="5FC34756">
            <w:pPr>
              <w:spacing w:after="0" w:line="360" w:lineRule="auto"/>
              <w:ind w:left="60" w:right="60"/>
            </w:pPr>
          </w:p>
        </w:tc>
        <w:tc>
          <w:tcPr>
            <w:tcW w:w="1507" w:type="dxa"/>
            <w:tcBorders>
              <w:top w:val="nil"/>
              <w:left w:val="nil"/>
              <w:bottom w:val="nil"/>
              <w:right w:val="nil"/>
            </w:tcBorders>
          </w:tcPr>
          <w:p w14:paraId="619498F0">
            <w:pPr>
              <w:spacing w:after="0" w:line="360" w:lineRule="auto"/>
              <w:ind w:left="60" w:right="60"/>
              <w:jc w:val="center"/>
            </w:pPr>
            <w:r>
              <w:t>100</w:t>
            </w:r>
          </w:p>
        </w:tc>
        <w:tc>
          <w:tcPr>
            <w:tcW w:w="2569" w:type="dxa"/>
            <w:tcBorders>
              <w:top w:val="nil"/>
              <w:left w:val="nil"/>
              <w:bottom w:val="nil"/>
              <w:right w:val="nil"/>
            </w:tcBorders>
          </w:tcPr>
          <w:p w14:paraId="1CBC2234">
            <w:pPr>
              <w:spacing w:after="0" w:line="360" w:lineRule="auto"/>
              <w:ind w:left="60" w:right="60"/>
              <w:jc w:val="center"/>
            </w:pPr>
            <w:r>
              <w:t>53</w:t>
            </w:r>
          </w:p>
        </w:tc>
        <w:tc>
          <w:tcPr>
            <w:tcW w:w="2551" w:type="dxa"/>
            <w:gridSpan w:val="2"/>
            <w:tcBorders>
              <w:top w:val="nil"/>
              <w:left w:val="nil"/>
              <w:bottom w:val="nil"/>
              <w:right w:val="nil"/>
            </w:tcBorders>
          </w:tcPr>
          <w:p w14:paraId="7878F7C2">
            <w:pPr>
              <w:spacing w:after="0" w:line="360" w:lineRule="auto"/>
              <w:ind w:left="60" w:right="60"/>
              <w:jc w:val="center"/>
            </w:pPr>
            <w:r>
              <w:t>16.8</w:t>
            </w:r>
          </w:p>
        </w:tc>
      </w:tr>
      <w:tr w14:paraId="69D9E1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3" w:type="dxa"/>
            <w:vMerge w:val="continue"/>
            <w:tcBorders>
              <w:top w:val="single" w:color="000000" w:sz="4" w:space="0"/>
              <w:left w:val="nil"/>
              <w:bottom w:val="nil"/>
              <w:right w:val="nil"/>
            </w:tcBorders>
          </w:tcPr>
          <w:p w14:paraId="65D524F0">
            <w:pPr>
              <w:widowControl w:val="0"/>
              <w:spacing w:after="0" w:line="360" w:lineRule="auto"/>
            </w:pPr>
          </w:p>
        </w:tc>
        <w:tc>
          <w:tcPr>
            <w:tcW w:w="1507" w:type="dxa"/>
            <w:tcBorders>
              <w:top w:val="nil"/>
              <w:left w:val="nil"/>
              <w:bottom w:val="nil"/>
              <w:right w:val="nil"/>
            </w:tcBorders>
          </w:tcPr>
          <w:p w14:paraId="3CF70A44">
            <w:pPr>
              <w:spacing w:after="0" w:line="360" w:lineRule="auto"/>
              <w:ind w:left="60" w:right="60"/>
              <w:jc w:val="center"/>
            </w:pPr>
            <w:r>
              <w:t>200</w:t>
            </w:r>
          </w:p>
        </w:tc>
        <w:tc>
          <w:tcPr>
            <w:tcW w:w="2569" w:type="dxa"/>
            <w:tcBorders>
              <w:top w:val="nil"/>
              <w:left w:val="nil"/>
              <w:bottom w:val="nil"/>
              <w:right w:val="nil"/>
            </w:tcBorders>
          </w:tcPr>
          <w:p w14:paraId="6C51AEF0">
            <w:pPr>
              <w:spacing w:after="0" w:line="360" w:lineRule="auto"/>
              <w:ind w:left="60" w:right="60"/>
              <w:jc w:val="center"/>
            </w:pPr>
            <w:r>
              <w:t>77</w:t>
            </w:r>
          </w:p>
        </w:tc>
        <w:tc>
          <w:tcPr>
            <w:tcW w:w="2551" w:type="dxa"/>
            <w:gridSpan w:val="2"/>
            <w:tcBorders>
              <w:top w:val="nil"/>
              <w:left w:val="nil"/>
              <w:bottom w:val="nil"/>
              <w:right w:val="nil"/>
            </w:tcBorders>
          </w:tcPr>
          <w:p w14:paraId="14B11E08">
            <w:pPr>
              <w:spacing w:after="0" w:line="360" w:lineRule="auto"/>
              <w:ind w:left="60" w:right="60"/>
              <w:jc w:val="center"/>
            </w:pPr>
            <w:r>
              <w:t>24.4</w:t>
            </w:r>
          </w:p>
        </w:tc>
      </w:tr>
      <w:tr w14:paraId="6C245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3" w:type="dxa"/>
            <w:vMerge w:val="continue"/>
            <w:tcBorders>
              <w:top w:val="single" w:color="000000" w:sz="4" w:space="0"/>
              <w:left w:val="nil"/>
              <w:bottom w:val="nil"/>
              <w:right w:val="nil"/>
            </w:tcBorders>
          </w:tcPr>
          <w:p w14:paraId="66B2F88B">
            <w:pPr>
              <w:widowControl w:val="0"/>
              <w:spacing w:after="0" w:line="360" w:lineRule="auto"/>
            </w:pPr>
          </w:p>
        </w:tc>
        <w:tc>
          <w:tcPr>
            <w:tcW w:w="1507" w:type="dxa"/>
            <w:tcBorders>
              <w:top w:val="nil"/>
              <w:left w:val="nil"/>
              <w:bottom w:val="nil"/>
              <w:right w:val="nil"/>
            </w:tcBorders>
          </w:tcPr>
          <w:p w14:paraId="7AF5D8C4">
            <w:pPr>
              <w:spacing w:after="0" w:line="360" w:lineRule="auto"/>
              <w:ind w:left="60" w:right="60"/>
              <w:jc w:val="center"/>
            </w:pPr>
            <w:r>
              <w:t>300</w:t>
            </w:r>
          </w:p>
        </w:tc>
        <w:tc>
          <w:tcPr>
            <w:tcW w:w="2569" w:type="dxa"/>
            <w:tcBorders>
              <w:top w:val="nil"/>
              <w:left w:val="nil"/>
              <w:bottom w:val="nil"/>
              <w:right w:val="nil"/>
            </w:tcBorders>
          </w:tcPr>
          <w:p w14:paraId="4489C31A">
            <w:pPr>
              <w:spacing w:after="0" w:line="360" w:lineRule="auto"/>
              <w:ind w:left="60" w:right="60"/>
              <w:jc w:val="center"/>
            </w:pPr>
            <w:r>
              <w:t>87</w:t>
            </w:r>
          </w:p>
        </w:tc>
        <w:tc>
          <w:tcPr>
            <w:tcW w:w="2551" w:type="dxa"/>
            <w:gridSpan w:val="2"/>
            <w:tcBorders>
              <w:top w:val="nil"/>
              <w:left w:val="nil"/>
              <w:bottom w:val="nil"/>
              <w:right w:val="nil"/>
            </w:tcBorders>
          </w:tcPr>
          <w:p w14:paraId="740E857F">
            <w:pPr>
              <w:spacing w:after="0" w:line="360" w:lineRule="auto"/>
              <w:ind w:left="60" w:right="60"/>
              <w:jc w:val="center"/>
            </w:pPr>
            <w:r>
              <w:t>27.6</w:t>
            </w:r>
          </w:p>
        </w:tc>
      </w:tr>
      <w:tr w14:paraId="79ADE1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3" w:type="dxa"/>
            <w:vMerge w:val="continue"/>
            <w:tcBorders>
              <w:top w:val="single" w:color="000000" w:sz="4" w:space="0"/>
              <w:left w:val="nil"/>
              <w:bottom w:val="nil"/>
              <w:right w:val="nil"/>
            </w:tcBorders>
          </w:tcPr>
          <w:p w14:paraId="4A16C9D5">
            <w:pPr>
              <w:widowControl w:val="0"/>
              <w:spacing w:after="0" w:line="360" w:lineRule="auto"/>
            </w:pPr>
          </w:p>
        </w:tc>
        <w:tc>
          <w:tcPr>
            <w:tcW w:w="1507" w:type="dxa"/>
            <w:tcBorders>
              <w:top w:val="nil"/>
              <w:left w:val="nil"/>
              <w:bottom w:val="nil"/>
              <w:right w:val="nil"/>
            </w:tcBorders>
          </w:tcPr>
          <w:p w14:paraId="6749C56C">
            <w:pPr>
              <w:spacing w:after="0" w:line="360" w:lineRule="auto"/>
              <w:ind w:left="60" w:right="60"/>
              <w:jc w:val="center"/>
            </w:pPr>
            <w:r>
              <w:t>400</w:t>
            </w:r>
          </w:p>
        </w:tc>
        <w:tc>
          <w:tcPr>
            <w:tcW w:w="2569" w:type="dxa"/>
            <w:tcBorders>
              <w:top w:val="nil"/>
              <w:left w:val="nil"/>
              <w:bottom w:val="nil"/>
              <w:right w:val="nil"/>
            </w:tcBorders>
          </w:tcPr>
          <w:p w14:paraId="1427A04C">
            <w:pPr>
              <w:spacing w:after="0" w:line="360" w:lineRule="auto"/>
              <w:ind w:left="60" w:right="60"/>
              <w:jc w:val="center"/>
            </w:pPr>
            <w:r>
              <w:t>98</w:t>
            </w:r>
          </w:p>
        </w:tc>
        <w:tc>
          <w:tcPr>
            <w:tcW w:w="2551" w:type="dxa"/>
            <w:gridSpan w:val="2"/>
            <w:tcBorders>
              <w:top w:val="nil"/>
              <w:left w:val="nil"/>
              <w:bottom w:val="nil"/>
              <w:right w:val="nil"/>
            </w:tcBorders>
          </w:tcPr>
          <w:p w14:paraId="4F3D31D7">
            <w:pPr>
              <w:spacing w:after="0" w:line="360" w:lineRule="auto"/>
              <w:ind w:left="60" w:right="60"/>
              <w:jc w:val="center"/>
            </w:pPr>
            <w:r>
              <w:t>31.1</w:t>
            </w:r>
          </w:p>
        </w:tc>
      </w:tr>
      <w:tr w14:paraId="279D0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3" w:type="dxa"/>
            <w:vMerge w:val="continue"/>
            <w:tcBorders>
              <w:top w:val="single" w:color="000000" w:sz="4" w:space="0"/>
              <w:left w:val="nil"/>
              <w:bottom w:val="single" w:color="auto" w:sz="4" w:space="0"/>
              <w:right w:val="nil"/>
            </w:tcBorders>
          </w:tcPr>
          <w:p w14:paraId="1EB916CE">
            <w:pPr>
              <w:widowControl w:val="0"/>
              <w:spacing w:after="0" w:line="360" w:lineRule="auto"/>
            </w:pPr>
          </w:p>
        </w:tc>
        <w:tc>
          <w:tcPr>
            <w:tcW w:w="1507" w:type="dxa"/>
            <w:tcBorders>
              <w:top w:val="nil"/>
              <w:left w:val="nil"/>
              <w:bottom w:val="single" w:color="auto" w:sz="4" w:space="0"/>
              <w:right w:val="nil"/>
            </w:tcBorders>
          </w:tcPr>
          <w:p w14:paraId="3DAC90E9">
            <w:pPr>
              <w:spacing w:after="0" w:line="360" w:lineRule="auto"/>
              <w:ind w:left="60" w:right="60"/>
              <w:jc w:val="center"/>
              <w:rPr>
                <w:b/>
              </w:rPr>
            </w:pPr>
            <w:r>
              <w:rPr>
                <w:b/>
              </w:rPr>
              <w:t>Total</w:t>
            </w:r>
          </w:p>
        </w:tc>
        <w:tc>
          <w:tcPr>
            <w:tcW w:w="2569" w:type="dxa"/>
            <w:tcBorders>
              <w:top w:val="nil"/>
              <w:left w:val="nil"/>
              <w:bottom w:val="single" w:color="auto" w:sz="4" w:space="0"/>
              <w:right w:val="nil"/>
            </w:tcBorders>
          </w:tcPr>
          <w:p w14:paraId="20401DB4">
            <w:pPr>
              <w:spacing w:after="0" w:line="360" w:lineRule="auto"/>
              <w:ind w:left="60" w:right="60"/>
              <w:jc w:val="center"/>
              <w:rPr>
                <w:b/>
              </w:rPr>
            </w:pPr>
            <w:r>
              <w:rPr>
                <w:b/>
              </w:rPr>
              <w:t>315</w:t>
            </w:r>
          </w:p>
        </w:tc>
        <w:tc>
          <w:tcPr>
            <w:tcW w:w="2551" w:type="dxa"/>
            <w:gridSpan w:val="2"/>
            <w:tcBorders>
              <w:top w:val="nil"/>
              <w:left w:val="nil"/>
              <w:bottom w:val="single" w:color="000000" w:sz="4" w:space="0"/>
              <w:right w:val="nil"/>
            </w:tcBorders>
          </w:tcPr>
          <w:p w14:paraId="56C03AD0">
            <w:pPr>
              <w:spacing w:after="0" w:line="360" w:lineRule="auto"/>
              <w:ind w:left="60" w:right="60"/>
              <w:jc w:val="center"/>
              <w:rPr>
                <w:b/>
              </w:rPr>
            </w:pPr>
            <w:r>
              <w:rPr>
                <w:b/>
              </w:rPr>
              <w:t>100.0</w:t>
            </w:r>
          </w:p>
        </w:tc>
      </w:tr>
    </w:tbl>
    <w:p w14:paraId="4F4D0A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jc w:val="both"/>
        <w:rPr>
          <w:rFonts w:hint="default"/>
          <w:b/>
          <w:bCs/>
          <w:lang w:val="en-US"/>
        </w:rPr>
      </w:pPr>
      <w:bookmarkStart w:id="36" w:name="_heading=h.3rdcrjn" w:colFirst="0" w:colLast="0"/>
      <w:bookmarkEnd w:id="36"/>
      <w:r>
        <w:rPr>
          <w:b/>
        </w:rPr>
        <w:t xml:space="preserve"> </w:t>
      </w:r>
      <w:r>
        <w:rPr>
          <w:b/>
          <w:bCs/>
        </w:rPr>
        <w:t>Field Survey, 202</w:t>
      </w:r>
      <w:r>
        <w:rPr>
          <w:rFonts w:hint="default"/>
          <w:b/>
          <w:bCs/>
          <w:lang w:val="en-US"/>
        </w:rPr>
        <w:t>5</w:t>
      </w:r>
    </w:p>
    <w:p w14:paraId="59AA66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240" w:after="0" w:line="480" w:lineRule="auto"/>
        <w:jc w:val="both"/>
      </w:pPr>
      <w:r>
        <w:tab/>
      </w:r>
      <w:r>
        <w:t>The analysis in Table 1 shows that majority of the respondents 66.7% representing (N=210) were females while 33.3% (N=105) were males. This implies that more females participated in the survey.</w:t>
      </w:r>
    </w:p>
    <w:p w14:paraId="7A1E1B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jc w:val="both"/>
      </w:pPr>
      <w:r>
        <w:t>The result above shows that majority of the respondents 50.8% representing (N=160) fall between the ages of 16-20 years, while 33.3% (N=105) fall between ages 21-25 and 15.9% (N=50) are 26 years and above. This means that half of the respondents were between the ages of 16-20 years.</w:t>
      </w:r>
    </w:p>
    <w:p w14:paraId="700C35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jc w:val="both"/>
      </w:pPr>
      <w:r>
        <w:t>The analysis above revealed that majority of the respondents 31.1% (N=98) were 400 Level students, compared to students from 300, 200 and 100 Level which represented 27.6%, 24.4% and 16.8% respectively. This suggests that students in the 400-level demonstrated greater participation in the survey compared to students in other academic years</w:t>
      </w:r>
    </w:p>
    <w:p w14:paraId="1F5EAF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sz w:val="22"/>
          <w:szCs w:val="22"/>
          <w:lang w:val="en"/>
        </w:rPr>
      </w:pPr>
    </w:p>
    <w:p w14:paraId="0E8413A6">
      <w:pPr>
        <w:spacing w:line="480" w:lineRule="auto"/>
        <w:rPr>
          <w:b/>
        </w:rPr>
      </w:pPr>
      <w:r>
        <w:rPr>
          <w:b/>
        </w:rPr>
        <w:t>Presentation of ICT usage among LIS undergraduates at KWASU</w:t>
      </w:r>
    </w:p>
    <w:tbl>
      <w:tblPr>
        <w:tblStyle w:val="55"/>
        <w:tblW w:w="795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2"/>
        <w:gridCol w:w="2235"/>
        <w:gridCol w:w="2410"/>
        <w:gridCol w:w="1984"/>
        <w:gridCol w:w="583"/>
      </w:tblGrid>
      <w:tr w14:paraId="1F3AC9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54" w:type="dxa"/>
            <w:gridSpan w:val="5"/>
            <w:tcBorders>
              <w:top w:val="nil"/>
              <w:left w:val="nil"/>
              <w:bottom w:val="nil"/>
              <w:right w:val="nil"/>
            </w:tcBorders>
            <w:shd w:val="clear" w:color="auto" w:fill="FFFFFF"/>
            <w:vAlign w:val="center"/>
          </w:tcPr>
          <w:p w14:paraId="7BF27336">
            <w:pPr>
              <w:spacing w:after="0" w:line="480" w:lineRule="auto"/>
              <w:ind w:left="60" w:right="60"/>
            </w:pPr>
            <w:r>
              <w:rPr>
                <w:b/>
              </w:rPr>
              <w:t>Table 4.2: How often do you use the internet for your studies?</w:t>
            </w:r>
          </w:p>
        </w:tc>
      </w:tr>
      <w:tr w14:paraId="5DE66A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83" w:type="dxa"/>
          <w:cantSplit/>
        </w:trPr>
        <w:tc>
          <w:tcPr>
            <w:tcW w:w="2977" w:type="dxa"/>
            <w:gridSpan w:val="2"/>
            <w:tcBorders>
              <w:top w:val="single" w:color="000000" w:sz="4" w:space="0"/>
              <w:left w:val="nil"/>
              <w:bottom w:val="single" w:color="000000" w:sz="4" w:space="0"/>
              <w:right w:val="nil"/>
            </w:tcBorders>
            <w:vAlign w:val="bottom"/>
          </w:tcPr>
          <w:p w14:paraId="2D4CD506">
            <w:pPr>
              <w:spacing w:after="0" w:line="360" w:lineRule="auto"/>
              <w:jc w:val="center"/>
              <w:rPr>
                <w:b/>
              </w:rPr>
            </w:pPr>
          </w:p>
        </w:tc>
        <w:tc>
          <w:tcPr>
            <w:tcW w:w="2410" w:type="dxa"/>
            <w:tcBorders>
              <w:top w:val="single" w:color="000000" w:sz="4" w:space="0"/>
              <w:left w:val="nil"/>
              <w:bottom w:val="single" w:color="000000" w:sz="4" w:space="0"/>
              <w:right w:val="nil"/>
            </w:tcBorders>
            <w:vAlign w:val="bottom"/>
          </w:tcPr>
          <w:p w14:paraId="77951CE5">
            <w:pPr>
              <w:spacing w:after="0" w:line="360" w:lineRule="auto"/>
              <w:ind w:left="60" w:right="60"/>
              <w:jc w:val="center"/>
              <w:rPr>
                <w:b/>
              </w:rPr>
            </w:pPr>
            <w:r>
              <w:rPr>
                <w:b/>
              </w:rPr>
              <w:t>Frequency</w:t>
            </w:r>
          </w:p>
        </w:tc>
        <w:tc>
          <w:tcPr>
            <w:tcW w:w="1984" w:type="dxa"/>
            <w:tcBorders>
              <w:top w:val="single" w:color="000000" w:sz="4" w:space="0"/>
              <w:left w:val="nil"/>
              <w:bottom w:val="single" w:color="000000" w:sz="4" w:space="0"/>
              <w:right w:val="nil"/>
            </w:tcBorders>
            <w:vAlign w:val="bottom"/>
          </w:tcPr>
          <w:p w14:paraId="2E82759A">
            <w:pPr>
              <w:spacing w:after="0" w:line="360" w:lineRule="auto"/>
              <w:ind w:left="60" w:right="60"/>
              <w:jc w:val="center"/>
              <w:rPr>
                <w:b/>
              </w:rPr>
            </w:pPr>
            <w:r>
              <w:rPr>
                <w:b/>
              </w:rPr>
              <w:t>Percent</w:t>
            </w:r>
          </w:p>
        </w:tc>
      </w:tr>
      <w:tr w14:paraId="142AF3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83" w:type="dxa"/>
          <w:cantSplit/>
        </w:trPr>
        <w:tc>
          <w:tcPr>
            <w:tcW w:w="742" w:type="dxa"/>
            <w:vMerge w:val="restart"/>
            <w:tcBorders>
              <w:top w:val="single" w:color="000000" w:sz="4" w:space="0"/>
              <w:left w:val="nil"/>
              <w:bottom w:val="nil"/>
              <w:right w:val="nil"/>
            </w:tcBorders>
          </w:tcPr>
          <w:p w14:paraId="6B9F6D6A">
            <w:pPr>
              <w:spacing w:after="0" w:line="360" w:lineRule="auto"/>
              <w:ind w:left="60" w:right="60"/>
              <w:jc w:val="center"/>
            </w:pPr>
          </w:p>
        </w:tc>
        <w:tc>
          <w:tcPr>
            <w:tcW w:w="2235" w:type="dxa"/>
            <w:tcBorders>
              <w:top w:val="single" w:color="000000" w:sz="4" w:space="0"/>
              <w:left w:val="nil"/>
              <w:bottom w:val="nil"/>
              <w:right w:val="nil"/>
            </w:tcBorders>
          </w:tcPr>
          <w:p w14:paraId="5E356B60">
            <w:pPr>
              <w:spacing w:after="0" w:line="360" w:lineRule="auto"/>
              <w:ind w:left="60" w:right="60"/>
              <w:jc w:val="center"/>
            </w:pPr>
            <w:r>
              <w:t>Daily</w:t>
            </w:r>
          </w:p>
        </w:tc>
        <w:tc>
          <w:tcPr>
            <w:tcW w:w="2410" w:type="dxa"/>
            <w:tcBorders>
              <w:top w:val="single" w:color="000000" w:sz="4" w:space="0"/>
              <w:left w:val="nil"/>
              <w:bottom w:val="nil"/>
              <w:right w:val="nil"/>
            </w:tcBorders>
          </w:tcPr>
          <w:p w14:paraId="4265230F">
            <w:pPr>
              <w:spacing w:after="0" w:line="360" w:lineRule="auto"/>
              <w:ind w:left="60" w:right="60"/>
              <w:jc w:val="center"/>
            </w:pPr>
            <w:r>
              <w:t>187</w:t>
            </w:r>
          </w:p>
        </w:tc>
        <w:tc>
          <w:tcPr>
            <w:tcW w:w="1984" w:type="dxa"/>
            <w:tcBorders>
              <w:top w:val="single" w:color="000000" w:sz="4" w:space="0"/>
              <w:left w:val="nil"/>
              <w:bottom w:val="nil"/>
              <w:right w:val="nil"/>
            </w:tcBorders>
          </w:tcPr>
          <w:p w14:paraId="3CFEC07B">
            <w:pPr>
              <w:spacing w:after="0" w:line="360" w:lineRule="auto"/>
              <w:ind w:left="60" w:right="60"/>
              <w:jc w:val="center"/>
            </w:pPr>
            <w:r>
              <w:t>59.4</w:t>
            </w:r>
          </w:p>
        </w:tc>
      </w:tr>
      <w:tr w14:paraId="66491E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83" w:type="dxa"/>
          <w:cantSplit/>
        </w:trPr>
        <w:tc>
          <w:tcPr>
            <w:tcW w:w="742" w:type="dxa"/>
            <w:vMerge w:val="continue"/>
            <w:tcBorders>
              <w:top w:val="single" w:color="000000" w:sz="4" w:space="0"/>
              <w:left w:val="nil"/>
              <w:bottom w:val="nil"/>
              <w:right w:val="nil"/>
            </w:tcBorders>
          </w:tcPr>
          <w:p w14:paraId="4ED9720B">
            <w:pPr>
              <w:widowControl w:val="0"/>
              <w:spacing w:after="0" w:line="360" w:lineRule="auto"/>
            </w:pPr>
          </w:p>
        </w:tc>
        <w:tc>
          <w:tcPr>
            <w:tcW w:w="2235" w:type="dxa"/>
            <w:tcBorders>
              <w:top w:val="nil"/>
              <w:left w:val="nil"/>
              <w:bottom w:val="nil"/>
              <w:right w:val="nil"/>
            </w:tcBorders>
          </w:tcPr>
          <w:p w14:paraId="06F90244">
            <w:pPr>
              <w:spacing w:after="0" w:line="360" w:lineRule="auto"/>
              <w:ind w:left="60" w:right="60"/>
              <w:jc w:val="center"/>
            </w:pPr>
            <w:r>
              <w:t>Several times a week</w:t>
            </w:r>
          </w:p>
        </w:tc>
        <w:tc>
          <w:tcPr>
            <w:tcW w:w="2410" w:type="dxa"/>
            <w:tcBorders>
              <w:top w:val="nil"/>
              <w:left w:val="nil"/>
              <w:bottom w:val="nil"/>
              <w:right w:val="nil"/>
            </w:tcBorders>
          </w:tcPr>
          <w:p w14:paraId="19D89E42">
            <w:pPr>
              <w:spacing w:after="0" w:line="360" w:lineRule="auto"/>
              <w:ind w:left="60" w:right="60"/>
              <w:jc w:val="center"/>
            </w:pPr>
            <w:r>
              <w:t>88</w:t>
            </w:r>
          </w:p>
        </w:tc>
        <w:tc>
          <w:tcPr>
            <w:tcW w:w="1984" w:type="dxa"/>
            <w:tcBorders>
              <w:top w:val="nil"/>
              <w:left w:val="nil"/>
              <w:bottom w:val="nil"/>
              <w:right w:val="nil"/>
            </w:tcBorders>
          </w:tcPr>
          <w:p w14:paraId="263BFC41">
            <w:pPr>
              <w:spacing w:after="0" w:line="360" w:lineRule="auto"/>
              <w:ind w:left="60" w:right="60"/>
              <w:jc w:val="center"/>
            </w:pPr>
            <w:r>
              <w:t>27.9</w:t>
            </w:r>
          </w:p>
        </w:tc>
      </w:tr>
      <w:tr w14:paraId="119506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83" w:type="dxa"/>
          <w:cantSplit/>
        </w:trPr>
        <w:tc>
          <w:tcPr>
            <w:tcW w:w="742" w:type="dxa"/>
            <w:vMerge w:val="continue"/>
            <w:tcBorders>
              <w:top w:val="single" w:color="000000" w:sz="4" w:space="0"/>
              <w:left w:val="nil"/>
              <w:bottom w:val="nil"/>
              <w:right w:val="nil"/>
            </w:tcBorders>
          </w:tcPr>
          <w:p w14:paraId="1E3292B4">
            <w:pPr>
              <w:widowControl w:val="0"/>
              <w:spacing w:after="0" w:line="360" w:lineRule="auto"/>
            </w:pPr>
          </w:p>
        </w:tc>
        <w:tc>
          <w:tcPr>
            <w:tcW w:w="2235" w:type="dxa"/>
            <w:tcBorders>
              <w:top w:val="nil"/>
              <w:left w:val="nil"/>
              <w:bottom w:val="nil"/>
              <w:right w:val="nil"/>
            </w:tcBorders>
          </w:tcPr>
          <w:p w14:paraId="1532CBA0">
            <w:pPr>
              <w:spacing w:after="0" w:line="360" w:lineRule="auto"/>
              <w:ind w:left="60" w:right="60"/>
              <w:jc w:val="center"/>
            </w:pPr>
            <w:r>
              <w:t>Weekly</w:t>
            </w:r>
          </w:p>
        </w:tc>
        <w:tc>
          <w:tcPr>
            <w:tcW w:w="2410" w:type="dxa"/>
            <w:tcBorders>
              <w:top w:val="nil"/>
              <w:left w:val="nil"/>
              <w:bottom w:val="nil"/>
              <w:right w:val="nil"/>
            </w:tcBorders>
          </w:tcPr>
          <w:p w14:paraId="58BA707F">
            <w:pPr>
              <w:spacing w:after="0" w:line="360" w:lineRule="auto"/>
              <w:ind w:left="60" w:right="60"/>
              <w:jc w:val="center"/>
            </w:pPr>
            <w:r>
              <w:t>27</w:t>
            </w:r>
          </w:p>
        </w:tc>
        <w:tc>
          <w:tcPr>
            <w:tcW w:w="1984" w:type="dxa"/>
            <w:tcBorders>
              <w:top w:val="nil"/>
              <w:left w:val="nil"/>
              <w:bottom w:val="nil"/>
              <w:right w:val="nil"/>
            </w:tcBorders>
          </w:tcPr>
          <w:p w14:paraId="037A9AE5">
            <w:pPr>
              <w:spacing w:after="0" w:line="360" w:lineRule="auto"/>
              <w:ind w:left="60" w:right="60"/>
              <w:jc w:val="center"/>
            </w:pPr>
            <w:r>
              <w:t>8.6</w:t>
            </w:r>
          </w:p>
        </w:tc>
      </w:tr>
      <w:tr w14:paraId="5EEDBC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83" w:type="dxa"/>
          <w:cantSplit/>
        </w:trPr>
        <w:tc>
          <w:tcPr>
            <w:tcW w:w="742" w:type="dxa"/>
            <w:vMerge w:val="continue"/>
            <w:tcBorders>
              <w:top w:val="single" w:color="000000" w:sz="4" w:space="0"/>
              <w:left w:val="nil"/>
              <w:bottom w:val="nil"/>
              <w:right w:val="nil"/>
            </w:tcBorders>
          </w:tcPr>
          <w:p w14:paraId="1D17F527">
            <w:pPr>
              <w:widowControl w:val="0"/>
              <w:spacing w:after="0" w:line="360" w:lineRule="auto"/>
            </w:pPr>
          </w:p>
        </w:tc>
        <w:tc>
          <w:tcPr>
            <w:tcW w:w="2235" w:type="dxa"/>
            <w:tcBorders>
              <w:top w:val="nil"/>
              <w:left w:val="nil"/>
              <w:bottom w:val="nil"/>
              <w:right w:val="nil"/>
            </w:tcBorders>
          </w:tcPr>
          <w:p w14:paraId="3B24AD9D">
            <w:pPr>
              <w:spacing w:after="0" w:line="360" w:lineRule="auto"/>
              <w:ind w:left="60" w:right="60"/>
              <w:jc w:val="center"/>
            </w:pPr>
            <w:r>
              <w:t>Monthly</w:t>
            </w:r>
          </w:p>
        </w:tc>
        <w:tc>
          <w:tcPr>
            <w:tcW w:w="2410" w:type="dxa"/>
            <w:tcBorders>
              <w:top w:val="nil"/>
              <w:left w:val="nil"/>
              <w:bottom w:val="nil"/>
              <w:right w:val="nil"/>
            </w:tcBorders>
          </w:tcPr>
          <w:p w14:paraId="09252EB7">
            <w:pPr>
              <w:spacing w:after="0" w:line="360" w:lineRule="auto"/>
              <w:ind w:left="60" w:right="60"/>
              <w:jc w:val="center"/>
            </w:pPr>
            <w:r>
              <w:t>7</w:t>
            </w:r>
          </w:p>
        </w:tc>
        <w:tc>
          <w:tcPr>
            <w:tcW w:w="1984" w:type="dxa"/>
            <w:tcBorders>
              <w:top w:val="nil"/>
              <w:left w:val="nil"/>
              <w:bottom w:val="nil"/>
              <w:right w:val="nil"/>
            </w:tcBorders>
          </w:tcPr>
          <w:p w14:paraId="727DCB50">
            <w:pPr>
              <w:spacing w:after="0" w:line="360" w:lineRule="auto"/>
              <w:ind w:left="60" w:right="60"/>
              <w:jc w:val="center"/>
            </w:pPr>
            <w:r>
              <w:t>2.2</w:t>
            </w:r>
          </w:p>
        </w:tc>
      </w:tr>
      <w:tr w14:paraId="36BA6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83" w:type="dxa"/>
          <w:cantSplit/>
        </w:trPr>
        <w:tc>
          <w:tcPr>
            <w:tcW w:w="742" w:type="dxa"/>
            <w:vMerge w:val="continue"/>
            <w:tcBorders>
              <w:top w:val="single" w:color="000000" w:sz="4" w:space="0"/>
              <w:left w:val="nil"/>
              <w:bottom w:val="nil"/>
              <w:right w:val="nil"/>
            </w:tcBorders>
          </w:tcPr>
          <w:p w14:paraId="6153AEC3">
            <w:pPr>
              <w:widowControl w:val="0"/>
              <w:spacing w:after="0" w:line="360" w:lineRule="auto"/>
            </w:pPr>
          </w:p>
        </w:tc>
        <w:tc>
          <w:tcPr>
            <w:tcW w:w="2235" w:type="dxa"/>
            <w:tcBorders>
              <w:top w:val="nil"/>
              <w:left w:val="nil"/>
              <w:bottom w:val="nil"/>
              <w:right w:val="nil"/>
            </w:tcBorders>
          </w:tcPr>
          <w:p w14:paraId="62645497">
            <w:pPr>
              <w:spacing w:after="0" w:line="360" w:lineRule="auto"/>
              <w:ind w:left="60" w:right="60"/>
              <w:jc w:val="center"/>
            </w:pPr>
            <w:r>
              <w:t>Rarely</w:t>
            </w:r>
          </w:p>
        </w:tc>
        <w:tc>
          <w:tcPr>
            <w:tcW w:w="2410" w:type="dxa"/>
            <w:tcBorders>
              <w:top w:val="nil"/>
              <w:left w:val="nil"/>
              <w:bottom w:val="nil"/>
              <w:right w:val="nil"/>
            </w:tcBorders>
          </w:tcPr>
          <w:p w14:paraId="3E0E1852">
            <w:pPr>
              <w:spacing w:after="0" w:line="360" w:lineRule="auto"/>
              <w:ind w:left="60" w:right="60"/>
              <w:jc w:val="center"/>
            </w:pPr>
            <w:r>
              <w:t>6</w:t>
            </w:r>
          </w:p>
        </w:tc>
        <w:tc>
          <w:tcPr>
            <w:tcW w:w="1984" w:type="dxa"/>
            <w:tcBorders>
              <w:top w:val="nil"/>
              <w:left w:val="nil"/>
              <w:bottom w:val="nil"/>
              <w:right w:val="nil"/>
            </w:tcBorders>
          </w:tcPr>
          <w:p w14:paraId="3DC7D81B">
            <w:pPr>
              <w:spacing w:after="0" w:line="360" w:lineRule="auto"/>
              <w:ind w:left="60" w:right="60"/>
              <w:jc w:val="center"/>
            </w:pPr>
            <w:r>
              <w:t>1.9</w:t>
            </w:r>
          </w:p>
        </w:tc>
      </w:tr>
      <w:tr w14:paraId="64A003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83" w:type="dxa"/>
          <w:cantSplit/>
        </w:trPr>
        <w:tc>
          <w:tcPr>
            <w:tcW w:w="742" w:type="dxa"/>
            <w:vMerge w:val="continue"/>
            <w:tcBorders>
              <w:top w:val="single" w:color="000000" w:sz="4" w:space="0"/>
              <w:left w:val="nil"/>
              <w:bottom w:val="nil"/>
              <w:right w:val="nil"/>
            </w:tcBorders>
          </w:tcPr>
          <w:p w14:paraId="28176A6D">
            <w:pPr>
              <w:widowControl w:val="0"/>
              <w:spacing w:after="0" w:line="360" w:lineRule="auto"/>
            </w:pPr>
          </w:p>
        </w:tc>
        <w:tc>
          <w:tcPr>
            <w:tcW w:w="2235" w:type="dxa"/>
            <w:tcBorders>
              <w:top w:val="nil"/>
              <w:left w:val="nil"/>
              <w:bottom w:val="single" w:color="000000" w:sz="4" w:space="0"/>
              <w:right w:val="nil"/>
            </w:tcBorders>
          </w:tcPr>
          <w:p w14:paraId="255A9437">
            <w:pPr>
              <w:spacing w:after="0" w:line="360" w:lineRule="auto"/>
              <w:ind w:left="60" w:right="60"/>
              <w:jc w:val="center"/>
              <w:rPr>
                <w:b/>
              </w:rPr>
            </w:pPr>
            <w:r>
              <w:rPr>
                <w:b/>
              </w:rPr>
              <w:t>Total</w:t>
            </w:r>
          </w:p>
        </w:tc>
        <w:tc>
          <w:tcPr>
            <w:tcW w:w="2410" w:type="dxa"/>
            <w:tcBorders>
              <w:top w:val="nil"/>
              <w:left w:val="nil"/>
              <w:bottom w:val="single" w:color="000000" w:sz="4" w:space="0"/>
              <w:right w:val="nil"/>
            </w:tcBorders>
          </w:tcPr>
          <w:p w14:paraId="1EF4D9CC">
            <w:pPr>
              <w:spacing w:after="0" w:line="360" w:lineRule="auto"/>
              <w:ind w:left="60" w:right="60"/>
              <w:jc w:val="center"/>
              <w:rPr>
                <w:b/>
              </w:rPr>
            </w:pPr>
            <w:r>
              <w:rPr>
                <w:b/>
              </w:rPr>
              <w:t>315</w:t>
            </w:r>
          </w:p>
        </w:tc>
        <w:tc>
          <w:tcPr>
            <w:tcW w:w="1984" w:type="dxa"/>
            <w:tcBorders>
              <w:top w:val="nil"/>
              <w:left w:val="nil"/>
              <w:bottom w:val="single" w:color="000000" w:sz="4" w:space="0"/>
              <w:right w:val="nil"/>
            </w:tcBorders>
          </w:tcPr>
          <w:p w14:paraId="32543C74">
            <w:pPr>
              <w:spacing w:after="0" w:line="360" w:lineRule="auto"/>
              <w:ind w:left="60" w:right="60"/>
              <w:jc w:val="center"/>
              <w:rPr>
                <w:b/>
              </w:rPr>
            </w:pPr>
            <w:r>
              <w:rPr>
                <w:b/>
              </w:rPr>
              <w:t>100.0</w:t>
            </w:r>
          </w:p>
        </w:tc>
      </w:tr>
    </w:tbl>
    <w:p w14:paraId="69BB213A">
      <w:pPr>
        <w:spacing w:line="360" w:lineRule="auto"/>
        <w:rPr>
          <w:rFonts w:hint="default"/>
          <w:b/>
          <w:lang w:val="en-US"/>
        </w:rPr>
      </w:pPr>
      <w:r>
        <w:rPr>
          <w:b/>
        </w:rPr>
        <w:t>Field survey, 202</w:t>
      </w:r>
      <w:r>
        <w:rPr>
          <w:rFonts w:hint="default"/>
          <w:b/>
          <w:lang w:val="en-US"/>
        </w:rPr>
        <w:t>5</w:t>
      </w:r>
    </w:p>
    <w:p w14:paraId="4AF68C2E">
      <w:pPr>
        <w:spacing w:line="480" w:lineRule="auto"/>
        <w:jc w:val="both"/>
      </w:pPr>
      <w:bookmarkStart w:id="37" w:name="_heading=h.26in1rg" w:colFirst="0" w:colLast="0"/>
      <w:bookmarkEnd w:id="37"/>
      <w:r>
        <w:t xml:space="preserve">The result in Table 4 showed that majority of the respondents 59.4% (N=187) use the internet daily for their studies, while 27.9% use the internet several times a week, 8.6% use the internet weekly, 2.2% use the internet monthly and 1.9% of the respondents rarely use the internet for their studies. This implies that more than half of the respondents use the internet daily for their studies. </w:t>
      </w:r>
    </w:p>
    <w:p w14:paraId="6F6C9FF1">
      <w:pPr>
        <w:spacing w:line="480" w:lineRule="auto"/>
      </w:pPr>
      <w:r>
        <w:rPr>
          <w:b/>
        </w:rPr>
        <w:t>Presentation of Data on ICT skills of LIS undergraduates</w:t>
      </w:r>
    </w:p>
    <w:tbl>
      <w:tblPr>
        <w:tblStyle w:val="56"/>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1950"/>
        <w:gridCol w:w="2268"/>
        <w:gridCol w:w="2409"/>
        <w:gridCol w:w="292"/>
      </w:tblGrid>
      <w:tr w14:paraId="1434C6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3540DB96">
            <w:pPr>
              <w:spacing w:after="0" w:line="480" w:lineRule="auto"/>
              <w:ind w:left="60" w:right="60"/>
            </w:pPr>
            <w:r>
              <w:rPr>
                <w:b/>
              </w:rPr>
              <w:t>Table 4.3: I can start up, log on, and shut down a computer system properly</w:t>
            </w:r>
          </w:p>
        </w:tc>
      </w:tr>
      <w:tr w14:paraId="1D5969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694" w:type="dxa"/>
            <w:gridSpan w:val="2"/>
            <w:tcBorders>
              <w:top w:val="single" w:color="000000" w:sz="4" w:space="0"/>
              <w:left w:val="nil"/>
              <w:bottom w:val="single" w:color="000000" w:sz="4" w:space="0"/>
              <w:right w:val="nil"/>
            </w:tcBorders>
            <w:vAlign w:val="bottom"/>
          </w:tcPr>
          <w:p w14:paraId="47BDB6B2">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54169D29">
            <w:pPr>
              <w:spacing w:after="0" w:line="360" w:lineRule="auto"/>
              <w:ind w:left="60" w:right="60"/>
              <w:jc w:val="center"/>
              <w:rPr>
                <w:b/>
              </w:rPr>
            </w:pPr>
            <w:r>
              <w:rPr>
                <w:b/>
              </w:rPr>
              <w:t>Frequency</w:t>
            </w:r>
          </w:p>
        </w:tc>
        <w:tc>
          <w:tcPr>
            <w:tcW w:w="2409" w:type="dxa"/>
            <w:tcBorders>
              <w:top w:val="single" w:color="000000" w:sz="4" w:space="0"/>
              <w:left w:val="nil"/>
              <w:bottom w:val="single" w:color="000000" w:sz="4" w:space="0"/>
              <w:right w:val="nil"/>
            </w:tcBorders>
            <w:vAlign w:val="bottom"/>
          </w:tcPr>
          <w:p w14:paraId="02980737">
            <w:pPr>
              <w:spacing w:after="0" w:line="360" w:lineRule="auto"/>
              <w:ind w:left="60" w:right="60"/>
              <w:jc w:val="center"/>
              <w:rPr>
                <w:b/>
              </w:rPr>
            </w:pPr>
            <w:r>
              <w:rPr>
                <w:b/>
              </w:rPr>
              <w:t>Percent</w:t>
            </w:r>
          </w:p>
        </w:tc>
      </w:tr>
      <w:tr w14:paraId="5E9376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0A3F8641">
            <w:pPr>
              <w:spacing w:after="0" w:line="360" w:lineRule="auto"/>
              <w:ind w:left="60" w:right="60"/>
            </w:pPr>
          </w:p>
        </w:tc>
        <w:tc>
          <w:tcPr>
            <w:tcW w:w="1950" w:type="dxa"/>
            <w:tcBorders>
              <w:top w:val="single" w:color="000000" w:sz="4" w:space="0"/>
              <w:left w:val="nil"/>
              <w:bottom w:val="nil"/>
              <w:right w:val="nil"/>
            </w:tcBorders>
          </w:tcPr>
          <w:p w14:paraId="420E27DB">
            <w:pPr>
              <w:spacing w:after="0" w:line="360" w:lineRule="auto"/>
              <w:ind w:left="60" w:right="60"/>
              <w:jc w:val="center"/>
            </w:pPr>
            <w:r>
              <w:t>Strongly Agree</w:t>
            </w:r>
          </w:p>
        </w:tc>
        <w:tc>
          <w:tcPr>
            <w:tcW w:w="2268" w:type="dxa"/>
            <w:tcBorders>
              <w:top w:val="single" w:color="000000" w:sz="4" w:space="0"/>
              <w:left w:val="nil"/>
              <w:bottom w:val="nil"/>
              <w:right w:val="nil"/>
            </w:tcBorders>
          </w:tcPr>
          <w:p w14:paraId="341BD7E6">
            <w:pPr>
              <w:spacing w:after="0" w:line="360" w:lineRule="auto"/>
              <w:ind w:left="60" w:right="60"/>
              <w:jc w:val="center"/>
            </w:pPr>
            <w:r>
              <w:t>148</w:t>
            </w:r>
          </w:p>
        </w:tc>
        <w:tc>
          <w:tcPr>
            <w:tcW w:w="2409" w:type="dxa"/>
            <w:tcBorders>
              <w:top w:val="single" w:color="000000" w:sz="4" w:space="0"/>
              <w:left w:val="nil"/>
              <w:bottom w:val="nil"/>
              <w:right w:val="nil"/>
            </w:tcBorders>
          </w:tcPr>
          <w:p w14:paraId="2B365624">
            <w:pPr>
              <w:spacing w:after="0" w:line="360" w:lineRule="auto"/>
              <w:ind w:left="60" w:right="60"/>
              <w:jc w:val="center"/>
            </w:pPr>
            <w:r>
              <w:t>47.0</w:t>
            </w:r>
          </w:p>
        </w:tc>
      </w:tr>
      <w:tr w14:paraId="1DA17F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5A405FA5">
            <w:pPr>
              <w:widowControl w:val="0"/>
              <w:spacing w:after="0" w:line="360" w:lineRule="auto"/>
            </w:pPr>
          </w:p>
        </w:tc>
        <w:tc>
          <w:tcPr>
            <w:tcW w:w="1950" w:type="dxa"/>
            <w:tcBorders>
              <w:top w:val="nil"/>
              <w:left w:val="nil"/>
              <w:bottom w:val="nil"/>
              <w:right w:val="nil"/>
            </w:tcBorders>
          </w:tcPr>
          <w:p w14:paraId="72A23559">
            <w:pPr>
              <w:spacing w:after="0" w:line="360" w:lineRule="auto"/>
              <w:ind w:left="60" w:right="60"/>
              <w:jc w:val="center"/>
            </w:pPr>
            <w:r>
              <w:t>Agree</w:t>
            </w:r>
          </w:p>
        </w:tc>
        <w:tc>
          <w:tcPr>
            <w:tcW w:w="2268" w:type="dxa"/>
            <w:tcBorders>
              <w:top w:val="nil"/>
              <w:left w:val="nil"/>
              <w:bottom w:val="nil"/>
              <w:right w:val="nil"/>
            </w:tcBorders>
          </w:tcPr>
          <w:p w14:paraId="53E59390">
            <w:pPr>
              <w:spacing w:after="0" w:line="360" w:lineRule="auto"/>
              <w:ind w:left="60" w:right="60"/>
              <w:jc w:val="center"/>
            </w:pPr>
            <w:r>
              <w:t>77</w:t>
            </w:r>
          </w:p>
        </w:tc>
        <w:tc>
          <w:tcPr>
            <w:tcW w:w="2409" w:type="dxa"/>
            <w:tcBorders>
              <w:top w:val="nil"/>
              <w:left w:val="nil"/>
              <w:bottom w:val="nil"/>
              <w:right w:val="nil"/>
            </w:tcBorders>
          </w:tcPr>
          <w:p w14:paraId="295ADB72">
            <w:pPr>
              <w:spacing w:after="0" w:line="360" w:lineRule="auto"/>
              <w:ind w:left="60" w:right="60"/>
              <w:jc w:val="center"/>
            </w:pPr>
            <w:r>
              <w:t>24.4</w:t>
            </w:r>
          </w:p>
        </w:tc>
      </w:tr>
      <w:tr w14:paraId="36F396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57B7724F">
            <w:pPr>
              <w:widowControl w:val="0"/>
              <w:spacing w:after="0" w:line="360" w:lineRule="auto"/>
            </w:pPr>
          </w:p>
        </w:tc>
        <w:tc>
          <w:tcPr>
            <w:tcW w:w="1950" w:type="dxa"/>
            <w:tcBorders>
              <w:top w:val="nil"/>
              <w:left w:val="nil"/>
              <w:bottom w:val="nil"/>
              <w:right w:val="nil"/>
            </w:tcBorders>
          </w:tcPr>
          <w:p w14:paraId="33A92E65">
            <w:pPr>
              <w:spacing w:after="0" w:line="360" w:lineRule="auto"/>
              <w:ind w:left="60" w:right="60"/>
              <w:jc w:val="center"/>
            </w:pPr>
            <w:r>
              <w:t>Disagree</w:t>
            </w:r>
          </w:p>
        </w:tc>
        <w:tc>
          <w:tcPr>
            <w:tcW w:w="2268" w:type="dxa"/>
            <w:tcBorders>
              <w:top w:val="nil"/>
              <w:left w:val="nil"/>
              <w:bottom w:val="nil"/>
              <w:right w:val="nil"/>
            </w:tcBorders>
          </w:tcPr>
          <w:p w14:paraId="7C65AF88">
            <w:pPr>
              <w:spacing w:after="0" w:line="360" w:lineRule="auto"/>
              <w:ind w:left="60" w:right="60"/>
              <w:jc w:val="center"/>
            </w:pPr>
            <w:r>
              <w:t>54</w:t>
            </w:r>
          </w:p>
        </w:tc>
        <w:tc>
          <w:tcPr>
            <w:tcW w:w="2409" w:type="dxa"/>
            <w:tcBorders>
              <w:top w:val="nil"/>
              <w:left w:val="nil"/>
              <w:bottom w:val="nil"/>
              <w:right w:val="nil"/>
            </w:tcBorders>
          </w:tcPr>
          <w:p w14:paraId="640BE240">
            <w:pPr>
              <w:spacing w:after="0" w:line="360" w:lineRule="auto"/>
              <w:ind w:left="60" w:right="60"/>
              <w:jc w:val="center"/>
            </w:pPr>
            <w:r>
              <w:t>17.1</w:t>
            </w:r>
          </w:p>
        </w:tc>
      </w:tr>
      <w:tr w14:paraId="52B94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39D52FE3">
            <w:pPr>
              <w:widowControl w:val="0"/>
              <w:spacing w:after="0" w:line="360" w:lineRule="auto"/>
            </w:pPr>
          </w:p>
        </w:tc>
        <w:tc>
          <w:tcPr>
            <w:tcW w:w="1950" w:type="dxa"/>
            <w:tcBorders>
              <w:top w:val="nil"/>
              <w:left w:val="nil"/>
              <w:bottom w:val="nil"/>
              <w:right w:val="nil"/>
            </w:tcBorders>
          </w:tcPr>
          <w:p w14:paraId="429AF4C0">
            <w:pPr>
              <w:spacing w:after="0" w:line="360" w:lineRule="auto"/>
              <w:ind w:left="60" w:right="60"/>
              <w:jc w:val="center"/>
            </w:pPr>
            <w:r>
              <w:t>Strongly Disagree</w:t>
            </w:r>
          </w:p>
        </w:tc>
        <w:tc>
          <w:tcPr>
            <w:tcW w:w="2268" w:type="dxa"/>
            <w:tcBorders>
              <w:top w:val="nil"/>
              <w:left w:val="nil"/>
              <w:bottom w:val="nil"/>
              <w:right w:val="nil"/>
            </w:tcBorders>
          </w:tcPr>
          <w:p w14:paraId="4DAC490F">
            <w:pPr>
              <w:spacing w:after="0" w:line="360" w:lineRule="auto"/>
              <w:ind w:left="60" w:right="60"/>
              <w:jc w:val="center"/>
            </w:pPr>
            <w:r>
              <w:t>36</w:t>
            </w:r>
          </w:p>
        </w:tc>
        <w:tc>
          <w:tcPr>
            <w:tcW w:w="2409" w:type="dxa"/>
            <w:tcBorders>
              <w:top w:val="nil"/>
              <w:left w:val="nil"/>
              <w:bottom w:val="nil"/>
              <w:right w:val="nil"/>
            </w:tcBorders>
          </w:tcPr>
          <w:p w14:paraId="657BA016">
            <w:pPr>
              <w:spacing w:after="0" w:line="360" w:lineRule="auto"/>
              <w:ind w:left="60" w:right="60"/>
              <w:jc w:val="center"/>
            </w:pPr>
            <w:r>
              <w:t>11.4</w:t>
            </w:r>
          </w:p>
        </w:tc>
      </w:tr>
      <w:tr w14:paraId="43E5A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2990645A">
            <w:pPr>
              <w:widowControl w:val="0"/>
              <w:spacing w:after="0" w:line="360" w:lineRule="auto"/>
            </w:pPr>
          </w:p>
        </w:tc>
        <w:tc>
          <w:tcPr>
            <w:tcW w:w="1950" w:type="dxa"/>
            <w:tcBorders>
              <w:top w:val="nil"/>
              <w:left w:val="nil"/>
              <w:bottom w:val="single" w:color="000000" w:sz="4" w:space="0"/>
              <w:right w:val="nil"/>
            </w:tcBorders>
          </w:tcPr>
          <w:p w14:paraId="2366A7EA">
            <w:pPr>
              <w:spacing w:after="0" w:line="360" w:lineRule="auto"/>
              <w:ind w:left="60" w:right="60"/>
              <w:jc w:val="center"/>
              <w:rPr>
                <w:b/>
              </w:rPr>
            </w:pPr>
            <w:r>
              <w:rPr>
                <w:b/>
              </w:rPr>
              <w:t>Total</w:t>
            </w:r>
          </w:p>
        </w:tc>
        <w:tc>
          <w:tcPr>
            <w:tcW w:w="2268" w:type="dxa"/>
            <w:tcBorders>
              <w:top w:val="nil"/>
              <w:left w:val="nil"/>
              <w:bottom w:val="single" w:color="000000" w:sz="4" w:space="0"/>
              <w:right w:val="nil"/>
            </w:tcBorders>
          </w:tcPr>
          <w:p w14:paraId="34447FF8">
            <w:pPr>
              <w:spacing w:after="0" w:line="360" w:lineRule="auto"/>
              <w:ind w:left="60" w:right="60"/>
              <w:jc w:val="center"/>
              <w:rPr>
                <w:b/>
              </w:rPr>
            </w:pPr>
            <w:r>
              <w:rPr>
                <w:b/>
              </w:rPr>
              <w:t>315</w:t>
            </w:r>
          </w:p>
        </w:tc>
        <w:tc>
          <w:tcPr>
            <w:tcW w:w="2409" w:type="dxa"/>
            <w:tcBorders>
              <w:top w:val="nil"/>
              <w:left w:val="nil"/>
              <w:bottom w:val="single" w:color="000000" w:sz="4" w:space="0"/>
              <w:right w:val="nil"/>
            </w:tcBorders>
          </w:tcPr>
          <w:p w14:paraId="42EE1D44">
            <w:pPr>
              <w:spacing w:after="0" w:line="360" w:lineRule="auto"/>
              <w:ind w:left="60" w:right="60"/>
              <w:jc w:val="center"/>
              <w:rPr>
                <w:b/>
              </w:rPr>
            </w:pPr>
            <w:r>
              <w:rPr>
                <w:b/>
              </w:rPr>
              <w:t>100.0</w:t>
            </w:r>
          </w:p>
        </w:tc>
      </w:tr>
    </w:tbl>
    <w:p w14:paraId="5B6535A1">
      <w:pPr>
        <w:spacing w:line="480" w:lineRule="auto"/>
        <w:rPr>
          <w:rFonts w:hint="default"/>
          <w:b/>
          <w:lang w:val="en-US"/>
        </w:rPr>
      </w:pPr>
      <w:r>
        <w:rPr>
          <w:b/>
        </w:rPr>
        <w:t>Field survey, 202</w:t>
      </w:r>
      <w:r>
        <w:rPr>
          <w:rFonts w:hint="default"/>
          <w:b/>
          <w:lang w:val="en-US"/>
        </w:rPr>
        <w:t>5</w:t>
      </w:r>
    </w:p>
    <w:p w14:paraId="54C74C1C">
      <w:pPr>
        <w:spacing w:line="480" w:lineRule="auto"/>
        <w:jc w:val="both"/>
      </w:pPr>
      <w:bookmarkStart w:id="38" w:name="_heading=h.lnxbz9" w:colFirst="0" w:colLast="0"/>
      <w:bookmarkEnd w:id="38"/>
      <w:r>
        <w:t>The result above revealed that a significant majority of the respondents 71.4% (N=225) agree with being able to start up, log on and shut down a computer system properly while 28.5% disagreed. This means that majority of the respondents can start up, log on, and shut down a computer system properly.</w:t>
      </w:r>
    </w:p>
    <w:tbl>
      <w:tblPr>
        <w:tblStyle w:val="57"/>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2268"/>
        <w:gridCol w:w="2268"/>
        <w:gridCol w:w="292"/>
      </w:tblGrid>
      <w:tr w14:paraId="6257CD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7CBFBA37">
            <w:pPr>
              <w:spacing w:after="0" w:line="360" w:lineRule="auto"/>
              <w:ind w:left="60" w:right="60"/>
            </w:pPr>
            <w:r>
              <w:rPr>
                <w:b/>
              </w:rPr>
              <w:t>Table 4.4: I can use a mouse, pointing device and keyboard</w:t>
            </w:r>
          </w:p>
        </w:tc>
      </w:tr>
      <w:tr w14:paraId="4B948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835" w:type="dxa"/>
            <w:gridSpan w:val="2"/>
            <w:tcBorders>
              <w:top w:val="single" w:color="000000" w:sz="4" w:space="0"/>
              <w:left w:val="nil"/>
              <w:bottom w:val="single" w:color="000000" w:sz="4" w:space="0"/>
              <w:right w:val="nil"/>
            </w:tcBorders>
            <w:vAlign w:val="bottom"/>
          </w:tcPr>
          <w:p w14:paraId="5D6D31BC">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4119DCCD">
            <w:pPr>
              <w:spacing w:after="0" w:line="360" w:lineRule="auto"/>
              <w:ind w:left="60" w:right="60"/>
              <w:jc w:val="center"/>
              <w:rPr>
                <w:b/>
              </w:rPr>
            </w:pPr>
            <w:r>
              <w:rPr>
                <w:b/>
              </w:rPr>
              <w:t>Frequency</w:t>
            </w:r>
          </w:p>
        </w:tc>
        <w:tc>
          <w:tcPr>
            <w:tcW w:w="2268" w:type="dxa"/>
            <w:tcBorders>
              <w:top w:val="single" w:color="000000" w:sz="4" w:space="0"/>
              <w:left w:val="nil"/>
              <w:bottom w:val="single" w:color="000000" w:sz="4" w:space="0"/>
              <w:right w:val="nil"/>
            </w:tcBorders>
            <w:vAlign w:val="bottom"/>
          </w:tcPr>
          <w:p w14:paraId="183886B5">
            <w:pPr>
              <w:spacing w:after="0" w:line="360" w:lineRule="auto"/>
              <w:ind w:left="60" w:right="60"/>
              <w:jc w:val="center"/>
              <w:rPr>
                <w:b/>
              </w:rPr>
            </w:pPr>
            <w:r>
              <w:rPr>
                <w:b/>
              </w:rPr>
              <w:t>Percent</w:t>
            </w:r>
          </w:p>
        </w:tc>
      </w:tr>
      <w:tr w14:paraId="289C6F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1BEF1D71">
            <w:pPr>
              <w:spacing w:after="0" w:line="360" w:lineRule="auto"/>
              <w:ind w:left="60" w:right="60"/>
              <w:jc w:val="center"/>
            </w:pPr>
          </w:p>
        </w:tc>
        <w:tc>
          <w:tcPr>
            <w:tcW w:w="2091" w:type="dxa"/>
            <w:tcBorders>
              <w:top w:val="single" w:color="000000" w:sz="4" w:space="0"/>
              <w:left w:val="nil"/>
              <w:bottom w:val="nil"/>
              <w:right w:val="nil"/>
            </w:tcBorders>
          </w:tcPr>
          <w:p w14:paraId="3F4949DF">
            <w:pPr>
              <w:spacing w:after="0" w:line="360" w:lineRule="auto"/>
              <w:ind w:left="60" w:right="60"/>
              <w:jc w:val="center"/>
            </w:pPr>
            <w:r>
              <w:t>Strongly Agree</w:t>
            </w:r>
          </w:p>
        </w:tc>
        <w:tc>
          <w:tcPr>
            <w:tcW w:w="2268" w:type="dxa"/>
            <w:tcBorders>
              <w:top w:val="single" w:color="000000" w:sz="4" w:space="0"/>
              <w:left w:val="nil"/>
              <w:bottom w:val="nil"/>
              <w:right w:val="nil"/>
            </w:tcBorders>
          </w:tcPr>
          <w:p w14:paraId="79A3D756">
            <w:pPr>
              <w:spacing w:after="0" w:line="360" w:lineRule="auto"/>
              <w:ind w:left="60" w:right="60"/>
              <w:jc w:val="center"/>
            </w:pPr>
            <w:r>
              <w:t>172</w:t>
            </w:r>
          </w:p>
        </w:tc>
        <w:tc>
          <w:tcPr>
            <w:tcW w:w="2268" w:type="dxa"/>
            <w:tcBorders>
              <w:top w:val="single" w:color="000000" w:sz="4" w:space="0"/>
              <w:left w:val="nil"/>
              <w:bottom w:val="nil"/>
              <w:right w:val="nil"/>
            </w:tcBorders>
          </w:tcPr>
          <w:p w14:paraId="1D88EA97">
            <w:pPr>
              <w:spacing w:after="0" w:line="360" w:lineRule="auto"/>
              <w:ind w:left="60" w:right="60"/>
              <w:jc w:val="center"/>
            </w:pPr>
            <w:r>
              <w:t>54.6</w:t>
            </w:r>
          </w:p>
        </w:tc>
      </w:tr>
      <w:tr w14:paraId="0E7C1E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146EA11A">
            <w:pPr>
              <w:widowControl w:val="0"/>
              <w:spacing w:after="0" w:line="360" w:lineRule="auto"/>
            </w:pPr>
          </w:p>
        </w:tc>
        <w:tc>
          <w:tcPr>
            <w:tcW w:w="2091" w:type="dxa"/>
            <w:tcBorders>
              <w:top w:val="nil"/>
              <w:left w:val="nil"/>
              <w:bottom w:val="nil"/>
              <w:right w:val="nil"/>
            </w:tcBorders>
          </w:tcPr>
          <w:p w14:paraId="732711DF">
            <w:pPr>
              <w:spacing w:after="0" w:line="360" w:lineRule="auto"/>
              <w:ind w:left="60" w:right="60"/>
              <w:jc w:val="center"/>
            </w:pPr>
            <w:r>
              <w:t>Agree</w:t>
            </w:r>
          </w:p>
        </w:tc>
        <w:tc>
          <w:tcPr>
            <w:tcW w:w="2268" w:type="dxa"/>
            <w:tcBorders>
              <w:top w:val="nil"/>
              <w:left w:val="nil"/>
              <w:bottom w:val="nil"/>
              <w:right w:val="nil"/>
            </w:tcBorders>
          </w:tcPr>
          <w:p w14:paraId="3CE59764">
            <w:pPr>
              <w:spacing w:after="0" w:line="360" w:lineRule="auto"/>
              <w:ind w:left="60" w:right="60"/>
              <w:jc w:val="center"/>
            </w:pPr>
            <w:r>
              <w:t>118</w:t>
            </w:r>
          </w:p>
        </w:tc>
        <w:tc>
          <w:tcPr>
            <w:tcW w:w="2268" w:type="dxa"/>
            <w:tcBorders>
              <w:top w:val="nil"/>
              <w:left w:val="nil"/>
              <w:bottom w:val="nil"/>
              <w:right w:val="nil"/>
            </w:tcBorders>
          </w:tcPr>
          <w:p w14:paraId="4EEDA913">
            <w:pPr>
              <w:spacing w:after="0" w:line="360" w:lineRule="auto"/>
              <w:ind w:left="60" w:right="60"/>
              <w:jc w:val="center"/>
            </w:pPr>
            <w:r>
              <w:t>37.5</w:t>
            </w:r>
          </w:p>
        </w:tc>
      </w:tr>
      <w:tr w14:paraId="63923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4AA1BA72">
            <w:pPr>
              <w:widowControl w:val="0"/>
              <w:spacing w:after="0" w:line="360" w:lineRule="auto"/>
            </w:pPr>
          </w:p>
        </w:tc>
        <w:tc>
          <w:tcPr>
            <w:tcW w:w="2091" w:type="dxa"/>
            <w:tcBorders>
              <w:top w:val="nil"/>
              <w:left w:val="nil"/>
              <w:bottom w:val="nil"/>
              <w:right w:val="nil"/>
            </w:tcBorders>
          </w:tcPr>
          <w:p w14:paraId="397A738B">
            <w:pPr>
              <w:spacing w:after="0" w:line="360" w:lineRule="auto"/>
              <w:ind w:left="60" w:right="60"/>
              <w:jc w:val="center"/>
            </w:pPr>
            <w:r>
              <w:t>Disagree</w:t>
            </w:r>
          </w:p>
        </w:tc>
        <w:tc>
          <w:tcPr>
            <w:tcW w:w="2268" w:type="dxa"/>
            <w:tcBorders>
              <w:top w:val="nil"/>
              <w:left w:val="nil"/>
              <w:bottom w:val="nil"/>
              <w:right w:val="nil"/>
            </w:tcBorders>
          </w:tcPr>
          <w:p w14:paraId="29AF63F4">
            <w:pPr>
              <w:spacing w:after="0" w:line="360" w:lineRule="auto"/>
              <w:ind w:left="60" w:right="60"/>
              <w:jc w:val="center"/>
            </w:pPr>
            <w:r>
              <w:t>20</w:t>
            </w:r>
          </w:p>
        </w:tc>
        <w:tc>
          <w:tcPr>
            <w:tcW w:w="2268" w:type="dxa"/>
            <w:tcBorders>
              <w:top w:val="nil"/>
              <w:left w:val="nil"/>
              <w:bottom w:val="nil"/>
              <w:right w:val="nil"/>
            </w:tcBorders>
          </w:tcPr>
          <w:p w14:paraId="489A53EB">
            <w:pPr>
              <w:spacing w:after="0" w:line="360" w:lineRule="auto"/>
              <w:ind w:left="60" w:right="60"/>
              <w:jc w:val="center"/>
            </w:pPr>
            <w:r>
              <w:t>6.3</w:t>
            </w:r>
          </w:p>
        </w:tc>
      </w:tr>
      <w:tr w14:paraId="439C0B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7AFF073C">
            <w:pPr>
              <w:widowControl w:val="0"/>
              <w:spacing w:after="0" w:line="360" w:lineRule="auto"/>
            </w:pPr>
          </w:p>
        </w:tc>
        <w:tc>
          <w:tcPr>
            <w:tcW w:w="2091" w:type="dxa"/>
            <w:tcBorders>
              <w:top w:val="nil"/>
              <w:left w:val="nil"/>
              <w:bottom w:val="nil"/>
              <w:right w:val="nil"/>
            </w:tcBorders>
          </w:tcPr>
          <w:p w14:paraId="24C5864E">
            <w:pPr>
              <w:spacing w:after="0" w:line="360" w:lineRule="auto"/>
              <w:ind w:left="60" w:right="60"/>
              <w:jc w:val="center"/>
            </w:pPr>
            <w:r>
              <w:t>Strongly Disagree</w:t>
            </w:r>
          </w:p>
        </w:tc>
        <w:tc>
          <w:tcPr>
            <w:tcW w:w="2268" w:type="dxa"/>
            <w:tcBorders>
              <w:top w:val="nil"/>
              <w:left w:val="nil"/>
              <w:bottom w:val="nil"/>
              <w:right w:val="nil"/>
            </w:tcBorders>
          </w:tcPr>
          <w:p w14:paraId="48BE1B67">
            <w:pPr>
              <w:spacing w:after="0" w:line="360" w:lineRule="auto"/>
              <w:ind w:left="60" w:right="60"/>
              <w:jc w:val="center"/>
            </w:pPr>
            <w:r>
              <w:t>5</w:t>
            </w:r>
          </w:p>
        </w:tc>
        <w:tc>
          <w:tcPr>
            <w:tcW w:w="2268" w:type="dxa"/>
            <w:tcBorders>
              <w:top w:val="nil"/>
              <w:left w:val="nil"/>
              <w:bottom w:val="nil"/>
              <w:right w:val="nil"/>
            </w:tcBorders>
          </w:tcPr>
          <w:p w14:paraId="402E19AE">
            <w:pPr>
              <w:spacing w:after="0" w:line="360" w:lineRule="auto"/>
              <w:ind w:left="60" w:right="60"/>
              <w:jc w:val="center"/>
            </w:pPr>
            <w:r>
              <w:t>1.6</w:t>
            </w:r>
          </w:p>
        </w:tc>
      </w:tr>
      <w:tr w14:paraId="38E309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54662E9E">
            <w:pPr>
              <w:widowControl w:val="0"/>
              <w:spacing w:after="0" w:line="360" w:lineRule="auto"/>
            </w:pPr>
          </w:p>
        </w:tc>
        <w:tc>
          <w:tcPr>
            <w:tcW w:w="2091" w:type="dxa"/>
            <w:tcBorders>
              <w:top w:val="nil"/>
              <w:left w:val="nil"/>
              <w:bottom w:val="single" w:color="000000" w:sz="4" w:space="0"/>
              <w:right w:val="nil"/>
            </w:tcBorders>
          </w:tcPr>
          <w:p w14:paraId="6F1738BD">
            <w:pPr>
              <w:spacing w:after="0" w:line="360" w:lineRule="auto"/>
              <w:ind w:left="60" w:right="60"/>
              <w:jc w:val="center"/>
              <w:rPr>
                <w:b/>
              </w:rPr>
            </w:pPr>
            <w:r>
              <w:rPr>
                <w:b/>
              </w:rPr>
              <w:t>Total</w:t>
            </w:r>
          </w:p>
        </w:tc>
        <w:tc>
          <w:tcPr>
            <w:tcW w:w="2268" w:type="dxa"/>
            <w:tcBorders>
              <w:top w:val="nil"/>
              <w:left w:val="nil"/>
              <w:bottom w:val="single" w:color="000000" w:sz="4" w:space="0"/>
              <w:right w:val="nil"/>
            </w:tcBorders>
          </w:tcPr>
          <w:p w14:paraId="68E8A697">
            <w:pPr>
              <w:spacing w:after="0" w:line="360" w:lineRule="auto"/>
              <w:ind w:left="60" w:right="60"/>
              <w:jc w:val="center"/>
              <w:rPr>
                <w:b/>
              </w:rPr>
            </w:pPr>
            <w:r>
              <w:rPr>
                <w:b/>
              </w:rPr>
              <w:t>315</w:t>
            </w:r>
          </w:p>
        </w:tc>
        <w:tc>
          <w:tcPr>
            <w:tcW w:w="2268" w:type="dxa"/>
            <w:tcBorders>
              <w:top w:val="nil"/>
              <w:left w:val="nil"/>
              <w:bottom w:val="single" w:color="000000" w:sz="4" w:space="0"/>
              <w:right w:val="nil"/>
            </w:tcBorders>
          </w:tcPr>
          <w:p w14:paraId="404BD97B">
            <w:pPr>
              <w:spacing w:after="0" w:line="360" w:lineRule="auto"/>
              <w:ind w:left="60" w:right="60"/>
              <w:jc w:val="center"/>
              <w:rPr>
                <w:b/>
              </w:rPr>
            </w:pPr>
            <w:r>
              <w:rPr>
                <w:b/>
              </w:rPr>
              <w:t>100.0</w:t>
            </w:r>
          </w:p>
        </w:tc>
      </w:tr>
    </w:tbl>
    <w:p w14:paraId="78EB3223">
      <w:pPr>
        <w:spacing w:line="480" w:lineRule="auto"/>
        <w:rPr>
          <w:rFonts w:hint="default"/>
          <w:b/>
          <w:lang w:val="en-US"/>
        </w:rPr>
      </w:pPr>
      <w:r>
        <w:rPr>
          <w:b/>
        </w:rPr>
        <w:t>Field survey, 202</w:t>
      </w:r>
      <w:r>
        <w:rPr>
          <w:rFonts w:hint="default"/>
          <w:b/>
          <w:lang w:val="en-US"/>
        </w:rPr>
        <w:t>5</w:t>
      </w:r>
    </w:p>
    <w:p w14:paraId="71EF647E">
      <w:pPr>
        <w:spacing w:line="480" w:lineRule="auto"/>
        <w:jc w:val="both"/>
      </w:pPr>
      <w:bookmarkStart w:id="39" w:name="_heading=h.35nkun2" w:colFirst="0" w:colLast="0"/>
      <w:bookmarkEnd w:id="39"/>
      <w:r>
        <w:t>The analysis above revealed that a significant majority of the respondents 92.1% (N=290) agreed with the fact that they can use a mouse, pointing device and keyboard while 7.9% disagreed. This implies that almost all the respondents can use a mouse, pointing device and keyboard.</w:t>
      </w:r>
    </w:p>
    <w:p w14:paraId="3AAAE449">
      <w:pPr>
        <w:spacing w:line="480" w:lineRule="auto"/>
        <w:jc w:val="both"/>
      </w:pPr>
    </w:p>
    <w:p w14:paraId="0ED82D1A">
      <w:pPr>
        <w:spacing w:line="480" w:lineRule="auto"/>
        <w:jc w:val="both"/>
      </w:pPr>
    </w:p>
    <w:p w14:paraId="0ED09AC5">
      <w:pPr>
        <w:spacing w:line="480" w:lineRule="auto"/>
        <w:jc w:val="both"/>
      </w:pPr>
    </w:p>
    <w:tbl>
      <w:tblPr>
        <w:tblStyle w:val="58"/>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2268"/>
        <w:gridCol w:w="2268"/>
        <w:gridCol w:w="292"/>
      </w:tblGrid>
      <w:tr w14:paraId="7F5E04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07EF38AD">
            <w:pPr>
              <w:spacing w:after="0" w:line="480" w:lineRule="auto"/>
              <w:ind w:left="60" w:right="60"/>
              <w:jc w:val="both"/>
            </w:pPr>
            <w:bookmarkStart w:id="40" w:name="_heading=h.1ksv4uv" w:colFirst="0" w:colLast="0"/>
            <w:bookmarkEnd w:id="40"/>
            <w:r>
              <w:rPr>
                <w:b/>
              </w:rPr>
              <w:t>Table 4.5: I can identify and use icons (folders, files, applications and shortcuts/aliases)</w:t>
            </w:r>
          </w:p>
        </w:tc>
      </w:tr>
      <w:tr w14:paraId="1CEF99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835" w:type="dxa"/>
            <w:gridSpan w:val="2"/>
            <w:tcBorders>
              <w:top w:val="single" w:color="000000" w:sz="4" w:space="0"/>
              <w:left w:val="nil"/>
              <w:bottom w:val="single" w:color="000000" w:sz="4" w:space="0"/>
              <w:right w:val="nil"/>
            </w:tcBorders>
            <w:vAlign w:val="bottom"/>
          </w:tcPr>
          <w:p w14:paraId="54EF4419">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7A144AD2">
            <w:pPr>
              <w:spacing w:after="0" w:line="360" w:lineRule="auto"/>
              <w:ind w:left="60" w:right="60"/>
              <w:jc w:val="center"/>
              <w:rPr>
                <w:b/>
              </w:rPr>
            </w:pPr>
            <w:r>
              <w:rPr>
                <w:b/>
              </w:rPr>
              <w:t>Frequency</w:t>
            </w:r>
          </w:p>
        </w:tc>
        <w:tc>
          <w:tcPr>
            <w:tcW w:w="2268" w:type="dxa"/>
            <w:tcBorders>
              <w:top w:val="single" w:color="000000" w:sz="4" w:space="0"/>
              <w:left w:val="nil"/>
              <w:bottom w:val="single" w:color="000000" w:sz="4" w:space="0"/>
              <w:right w:val="nil"/>
            </w:tcBorders>
            <w:vAlign w:val="bottom"/>
          </w:tcPr>
          <w:p w14:paraId="77874F06">
            <w:pPr>
              <w:spacing w:after="0" w:line="360" w:lineRule="auto"/>
              <w:ind w:left="60" w:right="60"/>
              <w:jc w:val="center"/>
              <w:rPr>
                <w:b/>
              </w:rPr>
            </w:pPr>
            <w:r>
              <w:rPr>
                <w:b/>
              </w:rPr>
              <w:t>Percent</w:t>
            </w:r>
          </w:p>
        </w:tc>
      </w:tr>
      <w:tr w14:paraId="450DC4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2EDC165A">
            <w:pPr>
              <w:spacing w:after="0" w:line="360" w:lineRule="auto"/>
              <w:ind w:left="60" w:right="60"/>
            </w:pPr>
          </w:p>
        </w:tc>
        <w:tc>
          <w:tcPr>
            <w:tcW w:w="2091" w:type="dxa"/>
            <w:tcBorders>
              <w:top w:val="single" w:color="000000" w:sz="4" w:space="0"/>
              <w:left w:val="nil"/>
              <w:bottom w:val="nil"/>
              <w:right w:val="nil"/>
            </w:tcBorders>
          </w:tcPr>
          <w:p w14:paraId="4C5234B0">
            <w:pPr>
              <w:spacing w:after="0" w:line="360" w:lineRule="auto"/>
              <w:ind w:left="60" w:right="60"/>
              <w:jc w:val="center"/>
            </w:pPr>
            <w:r>
              <w:t>Strongly Agree</w:t>
            </w:r>
          </w:p>
        </w:tc>
        <w:tc>
          <w:tcPr>
            <w:tcW w:w="2268" w:type="dxa"/>
            <w:tcBorders>
              <w:top w:val="single" w:color="000000" w:sz="4" w:space="0"/>
              <w:left w:val="nil"/>
              <w:bottom w:val="nil"/>
              <w:right w:val="nil"/>
            </w:tcBorders>
          </w:tcPr>
          <w:p w14:paraId="08BC3469">
            <w:pPr>
              <w:spacing w:after="0" w:line="360" w:lineRule="auto"/>
              <w:ind w:left="60" w:right="60"/>
              <w:jc w:val="center"/>
            </w:pPr>
            <w:r>
              <w:t>160</w:t>
            </w:r>
          </w:p>
        </w:tc>
        <w:tc>
          <w:tcPr>
            <w:tcW w:w="2268" w:type="dxa"/>
            <w:tcBorders>
              <w:top w:val="single" w:color="000000" w:sz="4" w:space="0"/>
              <w:left w:val="nil"/>
              <w:bottom w:val="nil"/>
              <w:right w:val="nil"/>
            </w:tcBorders>
          </w:tcPr>
          <w:p w14:paraId="373345E9">
            <w:pPr>
              <w:spacing w:after="0" w:line="360" w:lineRule="auto"/>
              <w:ind w:left="60" w:right="60"/>
              <w:jc w:val="center"/>
            </w:pPr>
            <w:r>
              <w:t>50.8</w:t>
            </w:r>
          </w:p>
        </w:tc>
      </w:tr>
      <w:tr w14:paraId="6D8D06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3C28E5B9">
            <w:pPr>
              <w:widowControl w:val="0"/>
              <w:spacing w:after="0" w:line="360" w:lineRule="auto"/>
            </w:pPr>
          </w:p>
        </w:tc>
        <w:tc>
          <w:tcPr>
            <w:tcW w:w="2091" w:type="dxa"/>
            <w:tcBorders>
              <w:top w:val="nil"/>
              <w:left w:val="nil"/>
              <w:bottom w:val="nil"/>
              <w:right w:val="nil"/>
            </w:tcBorders>
          </w:tcPr>
          <w:p w14:paraId="0801C09A">
            <w:pPr>
              <w:spacing w:after="0" w:line="360" w:lineRule="auto"/>
              <w:ind w:left="60" w:right="60"/>
              <w:jc w:val="center"/>
            </w:pPr>
            <w:r>
              <w:t>Agree</w:t>
            </w:r>
          </w:p>
        </w:tc>
        <w:tc>
          <w:tcPr>
            <w:tcW w:w="2268" w:type="dxa"/>
            <w:tcBorders>
              <w:top w:val="nil"/>
              <w:left w:val="nil"/>
              <w:bottom w:val="nil"/>
              <w:right w:val="nil"/>
            </w:tcBorders>
          </w:tcPr>
          <w:p w14:paraId="464697FB">
            <w:pPr>
              <w:spacing w:after="0" w:line="360" w:lineRule="auto"/>
              <w:ind w:left="60" w:right="60"/>
              <w:jc w:val="center"/>
            </w:pPr>
            <w:r>
              <w:t>103</w:t>
            </w:r>
          </w:p>
        </w:tc>
        <w:tc>
          <w:tcPr>
            <w:tcW w:w="2268" w:type="dxa"/>
            <w:tcBorders>
              <w:top w:val="nil"/>
              <w:left w:val="nil"/>
              <w:bottom w:val="nil"/>
              <w:right w:val="nil"/>
            </w:tcBorders>
          </w:tcPr>
          <w:p w14:paraId="1D414F54">
            <w:pPr>
              <w:spacing w:after="0" w:line="360" w:lineRule="auto"/>
              <w:ind w:left="60" w:right="60"/>
              <w:jc w:val="center"/>
            </w:pPr>
            <w:r>
              <w:t>32.7</w:t>
            </w:r>
          </w:p>
        </w:tc>
      </w:tr>
      <w:tr w14:paraId="335835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563F7D85">
            <w:pPr>
              <w:widowControl w:val="0"/>
              <w:spacing w:after="0" w:line="360" w:lineRule="auto"/>
            </w:pPr>
          </w:p>
        </w:tc>
        <w:tc>
          <w:tcPr>
            <w:tcW w:w="2091" w:type="dxa"/>
            <w:tcBorders>
              <w:top w:val="nil"/>
              <w:left w:val="nil"/>
              <w:bottom w:val="nil"/>
              <w:right w:val="nil"/>
            </w:tcBorders>
          </w:tcPr>
          <w:p w14:paraId="5CBF3E7E">
            <w:pPr>
              <w:spacing w:after="0" w:line="360" w:lineRule="auto"/>
              <w:ind w:left="60" w:right="60"/>
              <w:jc w:val="center"/>
            </w:pPr>
            <w:r>
              <w:t>Disagree</w:t>
            </w:r>
          </w:p>
        </w:tc>
        <w:tc>
          <w:tcPr>
            <w:tcW w:w="2268" w:type="dxa"/>
            <w:tcBorders>
              <w:top w:val="nil"/>
              <w:left w:val="nil"/>
              <w:bottom w:val="nil"/>
              <w:right w:val="nil"/>
            </w:tcBorders>
          </w:tcPr>
          <w:p w14:paraId="2FCD462F">
            <w:pPr>
              <w:spacing w:after="0" w:line="360" w:lineRule="auto"/>
              <w:ind w:left="60" w:right="60"/>
              <w:jc w:val="center"/>
            </w:pPr>
            <w:r>
              <w:t>32</w:t>
            </w:r>
          </w:p>
        </w:tc>
        <w:tc>
          <w:tcPr>
            <w:tcW w:w="2268" w:type="dxa"/>
            <w:tcBorders>
              <w:top w:val="nil"/>
              <w:left w:val="nil"/>
              <w:bottom w:val="nil"/>
              <w:right w:val="nil"/>
            </w:tcBorders>
          </w:tcPr>
          <w:p w14:paraId="710A4DD1">
            <w:pPr>
              <w:spacing w:after="0" w:line="360" w:lineRule="auto"/>
              <w:ind w:left="60" w:right="60"/>
              <w:jc w:val="center"/>
            </w:pPr>
            <w:r>
              <w:t>10.2</w:t>
            </w:r>
          </w:p>
        </w:tc>
      </w:tr>
      <w:tr w14:paraId="0083E5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5A08482F">
            <w:pPr>
              <w:widowControl w:val="0"/>
              <w:spacing w:after="0" w:line="360" w:lineRule="auto"/>
            </w:pPr>
          </w:p>
        </w:tc>
        <w:tc>
          <w:tcPr>
            <w:tcW w:w="2091" w:type="dxa"/>
            <w:tcBorders>
              <w:top w:val="nil"/>
              <w:left w:val="nil"/>
              <w:bottom w:val="nil"/>
              <w:right w:val="nil"/>
            </w:tcBorders>
          </w:tcPr>
          <w:p w14:paraId="0AC61C21">
            <w:pPr>
              <w:spacing w:after="0" w:line="360" w:lineRule="auto"/>
              <w:ind w:left="60" w:right="60"/>
              <w:jc w:val="center"/>
            </w:pPr>
            <w:r>
              <w:t>Strongly Disagree</w:t>
            </w:r>
          </w:p>
        </w:tc>
        <w:tc>
          <w:tcPr>
            <w:tcW w:w="2268" w:type="dxa"/>
            <w:tcBorders>
              <w:top w:val="nil"/>
              <w:left w:val="nil"/>
              <w:bottom w:val="nil"/>
              <w:right w:val="nil"/>
            </w:tcBorders>
          </w:tcPr>
          <w:p w14:paraId="6D31C46D">
            <w:pPr>
              <w:spacing w:after="0" w:line="360" w:lineRule="auto"/>
              <w:ind w:left="60" w:right="60"/>
              <w:jc w:val="center"/>
            </w:pPr>
            <w:r>
              <w:t>20</w:t>
            </w:r>
          </w:p>
        </w:tc>
        <w:tc>
          <w:tcPr>
            <w:tcW w:w="2268" w:type="dxa"/>
            <w:tcBorders>
              <w:top w:val="nil"/>
              <w:left w:val="nil"/>
              <w:bottom w:val="nil"/>
              <w:right w:val="nil"/>
            </w:tcBorders>
          </w:tcPr>
          <w:p w14:paraId="29496A68">
            <w:pPr>
              <w:spacing w:after="0" w:line="360" w:lineRule="auto"/>
              <w:ind w:left="60" w:right="60"/>
              <w:jc w:val="center"/>
            </w:pPr>
            <w:r>
              <w:t>6.3</w:t>
            </w:r>
          </w:p>
        </w:tc>
      </w:tr>
      <w:tr w14:paraId="5C97D5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5F01C7A4">
            <w:pPr>
              <w:widowControl w:val="0"/>
              <w:spacing w:after="0" w:line="360" w:lineRule="auto"/>
            </w:pPr>
          </w:p>
        </w:tc>
        <w:tc>
          <w:tcPr>
            <w:tcW w:w="2091" w:type="dxa"/>
            <w:tcBorders>
              <w:top w:val="nil"/>
              <w:left w:val="nil"/>
              <w:bottom w:val="single" w:color="000000" w:sz="4" w:space="0"/>
              <w:right w:val="nil"/>
            </w:tcBorders>
          </w:tcPr>
          <w:p w14:paraId="6254CFA5">
            <w:pPr>
              <w:spacing w:after="0" w:line="360" w:lineRule="auto"/>
              <w:ind w:left="60" w:right="60"/>
              <w:jc w:val="center"/>
              <w:rPr>
                <w:b/>
              </w:rPr>
            </w:pPr>
            <w:r>
              <w:rPr>
                <w:b/>
              </w:rPr>
              <w:t>Total</w:t>
            </w:r>
          </w:p>
        </w:tc>
        <w:tc>
          <w:tcPr>
            <w:tcW w:w="2268" w:type="dxa"/>
            <w:tcBorders>
              <w:top w:val="nil"/>
              <w:left w:val="nil"/>
              <w:bottom w:val="single" w:color="000000" w:sz="4" w:space="0"/>
              <w:right w:val="nil"/>
            </w:tcBorders>
          </w:tcPr>
          <w:p w14:paraId="6AAED5EA">
            <w:pPr>
              <w:spacing w:after="0" w:line="360" w:lineRule="auto"/>
              <w:ind w:left="60" w:right="60"/>
              <w:jc w:val="center"/>
              <w:rPr>
                <w:b/>
              </w:rPr>
            </w:pPr>
            <w:r>
              <w:rPr>
                <w:b/>
              </w:rPr>
              <w:t>315</w:t>
            </w:r>
          </w:p>
        </w:tc>
        <w:tc>
          <w:tcPr>
            <w:tcW w:w="2268" w:type="dxa"/>
            <w:tcBorders>
              <w:top w:val="nil"/>
              <w:left w:val="nil"/>
              <w:bottom w:val="single" w:color="000000" w:sz="4" w:space="0"/>
              <w:right w:val="nil"/>
            </w:tcBorders>
          </w:tcPr>
          <w:p w14:paraId="50515E34">
            <w:pPr>
              <w:spacing w:after="0" w:line="360" w:lineRule="auto"/>
              <w:ind w:left="60" w:right="60"/>
              <w:jc w:val="center"/>
              <w:rPr>
                <w:b/>
              </w:rPr>
            </w:pPr>
            <w:r>
              <w:rPr>
                <w:b/>
              </w:rPr>
              <w:t>100.0</w:t>
            </w:r>
          </w:p>
        </w:tc>
      </w:tr>
    </w:tbl>
    <w:p w14:paraId="47F2A677">
      <w:pPr>
        <w:spacing w:line="360" w:lineRule="auto"/>
        <w:rPr>
          <w:rFonts w:hint="default"/>
          <w:b/>
          <w:lang w:val="en-US"/>
        </w:rPr>
      </w:pPr>
      <w:r>
        <w:rPr>
          <w:b/>
        </w:rPr>
        <w:t>Field survey, 202</w:t>
      </w:r>
      <w:r>
        <w:rPr>
          <w:rFonts w:hint="default"/>
          <w:b/>
          <w:lang w:val="en-US"/>
        </w:rPr>
        <w:t>5</w:t>
      </w:r>
    </w:p>
    <w:p w14:paraId="42E90084">
      <w:pPr>
        <w:spacing w:line="480" w:lineRule="auto"/>
        <w:jc w:val="both"/>
      </w:pPr>
      <w:r>
        <w:t>The analysis in Table 7 above showed that a significant majority of the respondents 83.5% (N=263) agreed that they can identify and use icons (folders, files, applications and shortcuts/aliases) and 16.5% of the respondents stated otherwise. This denotes that respondents that can identify and use icons constituted the majority.</w:t>
      </w:r>
    </w:p>
    <w:tbl>
      <w:tblPr>
        <w:tblStyle w:val="59"/>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2268"/>
        <w:gridCol w:w="2268"/>
        <w:gridCol w:w="292"/>
      </w:tblGrid>
      <w:tr w14:paraId="2FFCA6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7FC5A742">
            <w:pPr>
              <w:spacing w:after="0" w:line="480" w:lineRule="auto"/>
              <w:ind w:right="294"/>
              <w:rPr>
                <w:b/>
              </w:rPr>
            </w:pPr>
          </w:p>
          <w:p w14:paraId="5CAE90FA">
            <w:pPr>
              <w:spacing w:after="0" w:line="480" w:lineRule="auto"/>
              <w:ind w:right="294"/>
            </w:pPr>
            <w:r>
              <w:rPr>
                <w:b/>
              </w:rPr>
              <w:t>Table 4.6: I can create documents of various types and save them in a desired location</w:t>
            </w:r>
          </w:p>
        </w:tc>
      </w:tr>
      <w:tr w14:paraId="2B9767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835" w:type="dxa"/>
            <w:gridSpan w:val="2"/>
            <w:tcBorders>
              <w:top w:val="single" w:color="000000" w:sz="4" w:space="0"/>
              <w:left w:val="nil"/>
              <w:bottom w:val="single" w:color="000000" w:sz="4" w:space="0"/>
              <w:right w:val="nil"/>
            </w:tcBorders>
            <w:vAlign w:val="bottom"/>
          </w:tcPr>
          <w:p w14:paraId="0A86BB3E">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6DC9E641">
            <w:pPr>
              <w:spacing w:after="0" w:line="360" w:lineRule="auto"/>
              <w:ind w:left="60" w:right="60"/>
              <w:jc w:val="center"/>
              <w:rPr>
                <w:b/>
              </w:rPr>
            </w:pPr>
            <w:r>
              <w:rPr>
                <w:b/>
              </w:rPr>
              <w:t>Frequency</w:t>
            </w:r>
          </w:p>
        </w:tc>
        <w:tc>
          <w:tcPr>
            <w:tcW w:w="2268" w:type="dxa"/>
            <w:tcBorders>
              <w:top w:val="single" w:color="000000" w:sz="4" w:space="0"/>
              <w:left w:val="nil"/>
              <w:bottom w:val="single" w:color="000000" w:sz="4" w:space="0"/>
              <w:right w:val="nil"/>
            </w:tcBorders>
            <w:vAlign w:val="bottom"/>
          </w:tcPr>
          <w:p w14:paraId="7593364F">
            <w:pPr>
              <w:spacing w:after="0" w:line="360" w:lineRule="auto"/>
              <w:ind w:left="60" w:right="60"/>
              <w:jc w:val="center"/>
              <w:rPr>
                <w:b/>
              </w:rPr>
            </w:pPr>
            <w:r>
              <w:rPr>
                <w:b/>
              </w:rPr>
              <w:t>Percent</w:t>
            </w:r>
          </w:p>
        </w:tc>
      </w:tr>
      <w:tr w14:paraId="4EC1AA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6A72AA6C">
            <w:pPr>
              <w:spacing w:after="0" w:line="360" w:lineRule="auto"/>
              <w:ind w:left="60" w:right="60"/>
              <w:jc w:val="center"/>
            </w:pPr>
          </w:p>
        </w:tc>
        <w:tc>
          <w:tcPr>
            <w:tcW w:w="2091" w:type="dxa"/>
            <w:tcBorders>
              <w:top w:val="single" w:color="000000" w:sz="4" w:space="0"/>
              <w:left w:val="nil"/>
              <w:bottom w:val="nil"/>
              <w:right w:val="nil"/>
            </w:tcBorders>
          </w:tcPr>
          <w:p w14:paraId="4C00F45C">
            <w:pPr>
              <w:spacing w:after="0" w:line="360" w:lineRule="auto"/>
              <w:ind w:left="60" w:right="60"/>
              <w:jc w:val="center"/>
            </w:pPr>
            <w:r>
              <w:t>Strongly Agree</w:t>
            </w:r>
          </w:p>
        </w:tc>
        <w:tc>
          <w:tcPr>
            <w:tcW w:w="2268" w:type="dxa"/>
            <w:tcBorders>
              <w:top w:val="single" w:color="000000" w:sz="4" w:space="0"/>
              <w:left w:val="nil"/>
              <w:bottom w:val="nil"/>
              <w:right w:val="nil"/>
            </w:tcBorders>
          </w:tcPr>
          <w:p w14:paraId="5BAB4250">
            <w:pPr>
              <w:spacing w:after="0" w:line="360" w:lineRule="auto"/>
              <w:ind w:left="60" w:right="60"/>
              <w:jc w:val="center"/>
            </w:pPr>
            <w:r>
              <w:t>150</w:t>
            </w:r>
          </w:p>
        </w:tc>
        <w:tc>
          <w:tcPr>
            <w:tcW w:w="2268" w:type="dxa"/>
            <w:tcBorders>
              <w:top w:val="single" w:color="000000" w:sz="4" w:space="0"/>
              <w:left w:val="nil"/>
              <w:bottom w:val="nil"/>
              <w:right w:val="nil"/>
            </w:tcBorders>
          </w:tcPr>
          <w:p w14:paraId="541BEF8C">
            <w:pPr>
              <w:spacing w:after="0" w:line="360" w:lineRule="auto"/>
              <w:ind w:left="60" w:right="60"/>
              <w:jc w:val="center"/>
            </w:pPr>
            <w:r>
              <w:t>47.6</w:t>
            </w:r>
          </w:p>
        </w:tc>
      </w:tr>
      <w:tr w14:paraId="2AB967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76BE4A86">
            <w:pPr>
              <w:widowControl w:val="0"/>
              <w:spacing w:after="0" w:line="360" w:lineRule="auto"/>
            </w:pPr>
          </w:p>
        </w:tc>
        <w:tc>
          <w:tcPr>
            <w:tcW w:w="2091" w:type="dxa"/>
            <w:tcBorders>
              <w:top w:val="nil"/>
              <w:left w:val="nil"/>
              <w:bottom w:val="nil"/>
              <w:right w:val="nil"/>
            </w:tcBorders>
          </w:tcPr>
          <w:p w14:paraId="7D3DEB0A">
            <w:pPr>
              <w:spacing w:after="0" w:line="360" w:lineRule="auto"/>
              <w:ind w:left="60" w:right="60"/>
              <w:jc w:val="center"/>
            </w:pPr>
            <w:r>
              <w:t>Agree</w:t>
            </w:r>
          </w:p>
        </w:tc>
        <w:tc>
          <w:tcPr>
            <w:tcW w:w="2268" w:type="dxa"/>
            <w:tcBorders>
              <w:top w:val="nil"/>
              <w:left w:val="nil"/>
              <w:bottom w:val="nil"/>
              <w:right w:val="nil"/>
            </w:tcBorders>
          </w:tcPr>
          <w:p w14:paraId="4B6EE248">
            <w:pPr>
              <w:spacing w:after="0" w:line="360" w:lineRule="auto"/>
              <w:ind w:left="60" w:right="60"/>
              <w:jc w:val="center"/>
            </w:pPr>
            <w:r>
              <w:t>79</w:t>
            </w:r>
          </w:p>
        </w:tc>
        <w:tc>
          <w:tcPr>
            <w:tcW w:w="2268" w:type="dxa"/>
            <w:tcBorders>
              <w:top w:val="nil"/>
              <w:left w:val="nil"/>
              <w:bottom w:val="nil"/>
              <w:right w:val="nil"/>
            </w:tcBorders>
          </w:tcPr>
          <w:p w14:paraId="77EBC389">
            <w:pPr>
              <w:spacing w:after="0" w:line="360" w:lineRule="auto"/>
              <w:ind w:left="60" w:right="60"/>
              <w:jc w:val="center"/>
            </w:pPr>
            <w:r>
              <w:t>25.1</w:t>
            </w:r>
          </w:p>
        </w:tc>
      </w:tr>
      <w:tr w14:paraId="69B251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25CD9900">
            <w:pPr>
              <w:widowControl w:val="0"/>
              <w:spacing w:after="0" w:line="360" w:lineRule="auto"/>
            </w:pPr>
          </w:p>
        </w:tc>
        <w:tc>
          <w:tcPr>
            <w:tcW w:w="2091" w:type="dxa"/>
            <w:tcBorders>
              <w:top w:val="nil"/>
              <w:left w:val="nil"/>
              <w:bottom w:val="nil"/>
              <w:right w:val="nil"/>
            </w:tcBorders>
          </w:tcPr>
          <w:p w14:paraId="5B735895">
            <w:pPr>
              <w:spacing w:after="0" w:line="360" w:lineRule="auto"/>
              <w:ind w:left="60" w:right="60"/>
              <w:jc w:val="center"/>
            </w:pPr>
            <w:r>
              <w:t>Disagree</w:t>
            </w:r>
          </w:p>
        </w:tc>
        <w:tc>
          <w:tcPr>
            <w:tcW w:w="2268" w:type="dxa"/>
            <w:tcBorders>
              <w:top w:val="nil"/>
              <w:left w:val="nil"/>
              <w:bottom w:val="nil"/>
              <w:right w:val="nil"/>
            </w:tcBorders>
          </w:tcPr>
          <w:p w14:paraId="731A462F">
            <w:pPr>
              <w:spacing w:after="0" w:line="360" w:lineRule="auto"/>
              <w:ind w:left="60" w:right="60"/>
              <w:jc w:val="center"/>
            </w:pPr>
            <w:r>
              <w:t>48</w:t>
            </w:r>
          </w:p>
        </w:tc>
        <w:tc>
          <w:tcPr>
            <w:tcW w:w="2268" w:type="dxa"/>
            <w:tcBorders>
              <w:top w:val="nil"/>
              <w:left w:val="nil"/>
              <w:bottom w:val="nil"/>
              <w:right w:val="nil"/>
            </w:tcBorders>
          </w:tcPr>
          <w:p w14:paraId="52037528">
            <w:pPr>
              <w:spacing w:after="0" w:line="360" w:lineRule="auto"/>
              <w:ind w:left="60" w:right="60"/>
              <w:jc w:val="center"/>
            </w:pPr>
            <w:r>
              <w:t>15.2</w:t>
            </w:r>
          </w:p>
        </w:tc>
      </w:tr>
      <w:tr w14:paraId="1367B1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78F070A1">
            <w:pPr>
              <w:widowControl w:val="0"/>
              <w:spacing w:after="0" w:line="360" w:lineRule="auto"/>
            </w:pPr>
          </w:p>
        </w:tc>
        <w:tc>
          <w:tcPr>
            <w:tcW w:w="2091" w:type="dxa"/>
            <w:tcBorders>
              <w:top w:val="nil"/>
              <w:left w:val="nil"/>
              <w:bottom w:val="nil"/>
              <w:right w:val="nil"/>
            </w:tcBorders>
          </w:tcPr>
          <w:p w14:paraId="3B1DD6D6">
            <w:pPr>
              <w:spacing w:after="0" w:line="360" w:lineRule="auto"/>
              <w:ind w:left="60" w:right="60"/>
              <w:jc w:val="center"/>
            </w:pPr>
            <w:r>
              <w:t>Strongly Disagree</w:t>
            </w:r>
          </w:p>
        </w:tc>
        <w:tc>
          <w:tcPr>
            <w:tcW w:w="2268" w:type="dxa"/>
            <w:tcBorders>
              <w:top w:val="nil"/>
              <w:left w:val="nil"/>
              <w:bottom w:val="nil"/>
              <w:right w:val="nil"/>
            </w:tcBorders>
          </w:tcPr>
          <w:p w14:paraId="02C79D72">
            <w:pPr>
              <w:spacing w:after="0" w:line="360" w:lineRule="auto"/>
              <w:ind w:left="60" w:right="60"/>
              <w:jc w:val="center"/>
            </w:pPr>
            <w:r>
              <w:t>38</w:t>
            </w:r>
          </w:p>
        </w:tc>
        <w:tc>
          <w:tcPr>
            <w:tcW w:w="2268" w:type="dxa"/>
            <w:tcBorders>
              <w:top w:val="nil"/>
              <w:left w:val="nil"/>
              <w:bottom w:val="nil"/>
              <w:right w:val="nil"/>
            </w:tcBorders>
          </w:tcPr>
          <w:p w14:paraId="3EEFDFC0">
            <w:pPr>
              <w:spacing w:after="0" w:line="360" w:lineRule="auto"/>
              <w:ind w:left="60" w:right="60"/>
              <w:jc w:val="center"/>
            </w:pPr>
            <w:r>
              <w:t>12.1</w:t>
            </w:r>
          </w:p>
        </w:tc>
      </w:tr>
      <w:tr w14:paraId="4C1CF5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0C1449AB">
            <w:pPr>
              <w:widowControl w:val="0"/>
              <w:spacing w:after="0" w:line="360" w:lineRule="auto"/>
            </w:pPr>
          </w:p>
        </w:tc>
        <w:tc>
          <w:tcPr>
            <w:tcW w:w="2091" w:type="dxa"/>
            <w:tcBorders>
              <w:top w:val="nil"/>
              <w:left w:val="nil"/>
              <w:bottom w:val="single" w:color="000000" w:sz="4" w:space="0"/>
              <w:right w:val="nil"/>
            </w:tcBorders>
          </w:tcPr>
          <w:p w14:paraId="015AE2DE">
            <w:pPr>
              <w:spacing w:after="0" w:line="360" w:lineRule="auto"/>
              <w:ind w:left="60" w:right="60"/>
              <w:jc w:val="center"/>
              <w:rPr>
                <w:b/>
              </w:rPr>
            </w:pPr>
            <w:r>
              <w:rPr>
                <w:b/>
              </w:rPr>
              <w:t>Total</w:t>
            </w:r>
          </w:p>
        </w:tc>
        <w:tc>
          <w:tcPr>
            <w:tcW w:w="2268" w:type="dxa"/>
            <w:tcBorders>
              <w:top w:val="nil"/>
              <w:left w:val="nil"/>
              <w:bottom w:val="single" w:color="000000" w:sz="4" w:space="0"/>
              <w:right w:val="nil"/>
            </w:tcBorders>
          </w:tcPr>
          <w:p w14:paraId="16BE058A">
            <w:pPr>
              <w:spacing w:after="0" w:line="360" w:lineRule="auto"/>
              <w:ind w:left="60" w:right="60"/>
              <w:jc w:val="center"/>
              <w:rPr>
                <w:b/>
              </w:rPr>
            </w:pPr>
            <w:r>
              <w:rPr>
                <w:b/>
              </w:rPr>
              <w:t>315</w:t>
            </w:r>
          </w:p>
        </w:tc>
        <w:tc>
          <w:tcPr>
            <w:tcW w:w="2268" w:type="dxa"/>
            <w:tcBorders>
              <w:top w:val="nil"/>
              <w:left w:val="nil"/>
              <w:bottom w:val="single" w:color="000000" w:sz="4" w:space="0"/>
              <w:right w:val="nil"/>
            </w:tcBorders>
          </w:tcPr>
          <w:p w14:paraId="12E73D07">
            <w:pPr>
              <w:spacing w:after="0" w:line="360" w:lineRule="auto"/>
              <w:ind w:left="60" w:right="60"/>
              <w:jc w:val="center"/>
              <w:rPr>
                <w:b/>
              </w:rPr>
            </w:pPr>
            <w:r>
              <w:rPr>
                <w:b/>
              </w:rPr>
              <w:t>100.0</w:t>
            </w:r>
          </w:p>
        </w:tc>
      </w:tr>
    </w:tbl>
    <w:p w14:paraId="0E113050">
      <w:pPr>
        <w:spacing w:line="360" w:lineRule="auto"/>
        <w:rPr>
          <w:rFonts w:hint="default"/>
          <w:b/>
          <w:lang w:val="en-US"/>
        </w:rPr>
      </w:pPr>
      <w:r>
        <w:rPr>
          <w:b/>
        </w:rPr>
        <w:t>Field survey, 202</w:t>
      </w:r>
      <w:r>
        <w:rPr>
          <w:rFonts w:hint="default"/>
          <w:b/>
          <w:lang w:val="en-US"/>
        </w:rPr>
        <w:t>5</w:t>
      </w:r>
    </w:p>
    <w:p w14:paraId="30606606">
      <w:pPr>
        <w:spacing w:line="480" w:lineRule="auto"/>
        <w:jc w:val="both"/>
      </w:pPr>
      <w:bookmarkStart w:id="41" w:name="_heading=h.44sinio" w:colFirst="0" w:colLast="0"/>
      <w:bookmarkEnd w:id="41"/>
      <w:r>
        <w:t>The result shown in Table 8 revealed that a significant majority of the respondents 72.7% (N=229) acknowledged that they can create documents of various types and save them in a desired location while 27.3% stated otherwise. This implies that majority of the respondents can create documents of various types and save them in a desired location.</w:t>
      </w:r>
    </w:p>
    <w:tbl>
      <w:tblPr>
        <w:tblStyle w:val="60"/>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1950"/>
        <w:gridCol w:w="2268"/>
        <w:gridCol w:w="2409"/>
        <w:gridCol w:w="292"/>
      </w:tblGrid>
      <w:tr w14:paraId="3A6CA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2986FB8A">
            <w:pPr>
              <w:spacing w:after="0" w:line="480" w:lineRule="auto"/>
              <w:ind w:left="60" w:right="60"/>
            </w:pPr>
            <w:r>
              <w:rPr>
                <w:b/>
              </w:rPr>
              <w:t>Table 4.7: I can select, copy and paste text in a document or desired location and print a document</w:t>
            </w:r>
          </w:p>
        </w:tc>
      </w:tr>
      <w:tr w14:paraId="63441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694" w:type="dxa"/>
            <w:gridSpan w:val="2"/>
            <w:tcBorders>
              <w:top w:val="single" w:color="000000" w:sz="4" w:space="0"/>
              <w:left w:val="nil"/>
              <w:bottom w:val="single" w:color="000000" w:sz="4" w:space="0"/>
              <w:right w:val="nil"/>
            </w:tcBorders>
            <w:vAlign w:val="bottom"/>
          </w:tcPr>
          <w:p w14:paraId="748104FC">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14A9288B">
            <w:pPr>
              <w:spacing w:after="0" w:line="360" w:lineRule="auto"/>
              <w:ind w:left="60" w:right="60"/>
              <w:jc w:val="center"/>
              <w:rPr>
                <w:b/>
              </w:rPr>
            </w:pPr>
            <w:r>
              <w:rPr>
                <w:b/>
              </w:rPr>
              <w:t>Frequency</w:t>
            </w:r>
          </w:p>
        </w:tc>
        <w:tc>
          <w:tcPr>
            <w:tcW w:w="2409" w:type="dxa"/>
            <w:tcBorders>
              <w:top w:val="single" w:color="000000" w:sz="4" w:space="0"/>
              <w:left w:val="nil"/>
              <w:bottom w:val="single" w:color="000000" w:sz="4" w:space="0"/>
              <w:right w:val="nil"/>
            </w:tcBorders>
            <w:vAlign w:val="bottom"/>
          </w:tcPr>
          <w:p w14:paraId="38850CAD">
            <w:pPr>
              <w:spacing w:after="0" w:line="360" w:lineRule="auto"/>
              <w:ind w:left="60" w:right="60"/>
              <w:jc w:val="center"/>
              <w:rPr>
                <w:b/>
              </w:rPr>
            </w:pPr>
            <w:r>
              <w:rPr>
                <w:b/>
              </w:rPr>
              <w:t>Percent</w:t>
            </w:r>
          </w:p>
        </w:tc>
      </w:tr>
      <w:tr w14:paraId="5E97E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46C5B930">
            <w:pPr>
              <w:spacing w:after="0" w:line="360" w:lineRule="auto"/>
              <w:ind w:left="60" w:right="60"/>
            </w:pPr>
          </w:p>
        </w:tc>
        <w:tc>
          <w:tcPr>
            <w:tcW w:w="1950" w:type="dxa"/>
            <w:tcBorders>
              <w:top w:val="single" w:color="000000" w:sz="4" w:space="0"/>
              <w:left w:val="nil"/>
              <w:bottom w:val="nil"/>
              <w:right w:val="nil"/>
            </w:tcBorders>
          </w:tcPr>
          <w:p w14:paraId="2A5E4A8B">
            <w:pPr>
              <w:spacing w:after="0" w:line="360" w:lineRule="auto"/>
              <w:ind w:left="60" w:right="60"/>
              <w:jc w:val="center"/>
              <w:rPr>
                <w:sz w:val="20"/>
              </w:rPr>
            </w:pPr>
            <w:r>
              <w:rPr>
                <w:sz w:val="20"/>
              </w:rPr>
              <w:t>Strongly Agree</w:t>
            </w:r>
          </w:p>
        </w:tc>
        <w:tc>
          <w:tcPr>
            <w:tcW w:w="2268" w:type="dxa"/>
            <w:tcBorders>
              <w:top w:val="single" w:color="000000" w:sz="4" w:space="0"/>
              <w:left w:val="nil"/>
              <w:bottom w:val="nil"/>
              <w:right w:val="nil"/>
            </w:tcBorders>
          </w:tcPr>
          <w:p w14:paraId="7E5E83BE">
            <w:pPr>
              <w:spacing w:after="0" w:line="360" w:lineRule="auto"/>
              <w:ind w:left="60" w:right="60"/>
              <w:jc w:val="center"/>
              <w:rPr>
                <w:sz w:val="20"/>
              </w:rPr>
            </w:pPr>
            <w:r>
              <w:rPr>
                <w:sz w:val="20"/>
              </w:rPr>
              <w:t>177</w:t>
            </w:r>
          </w:p>
        </w:tc>
        <w:tc>
          <w:tcPr>
            <w:tcW w:w="2409" w:type="dxa"/>
            <w:tcBorders>
              <w:top w:val="single" w:color="000000" w:sz="4" w:space="0"/>
              <w:left w:val="nil"/>
              <w:bottom w:val="nil"/>
              <w:right w:val="nil"/>
            </w:tcBorders>
          </w:tcPr>
          <w:p w14:paraId="0AF11AA5">
            <w:pPr>
              <w:spacing w:after="0" w:line="360" w:lineRule="auto"/>
              <w:ind w:left="60" w:right="60"/>
              <w:jc w:val="center"/>
              <w:rPr>
                <w:sz w:val="20"/>
              </w:rPr>
            </w:pPr>
            <w:r>
              <w:rPr>
                <w:sz w:val="20"/>
              </w:rPr>
              <w:t>56.2</w:t>
            </w:r>
          </w:p>
        </w:tc>
      </w:tr>
      <w:tr w14:paraId="25BF99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039C5AF6">
            <w:pPr>
              <w:widowControl w:val="0"/>
              <w:spacing w:after="0" w:line="360" w:lineRule="auto"/>
            </w:pPr>
          </w:p>
        </w:tc>
        <w:tc>
          <w:tcPr>
            <w:tcW w:w="1950" w:type="dxa"/>
            <w:tcBorders>
              <w:top w:val="nil"/>
              <w:left w:val="nil"/>
              <w:bottom w:val="nil"/>
              <w:right w:val="nil"/>
            </w:tcBorders>
          </w:tcPr>
          <w:p w14:paraId="205A3CB3">
            <w:pPr>
              <w:spacing w:after="0" w:line="360" w:lineRule="auto"/>
              <w:ind w:left="60" w:right="60"/>
              <w:jc w:val="center"/>
              <w:rPr>
                <w:sz w:val="20"/>
              </w:rPr>
            </w:pPr>
            <w:r>
              <w:rPr>
                <w:sz w:val="20"/>
              </w:rPr>
              <w:t>Agree</w:t>
            </w:r>
          </w:p>
        </w:tc>
        <w:tc>
          <w:tcPr>
            <w:tcW w:w="2268" w:type="dxa"/>
            <w:tcBorders>
              <w:top w:val="nil"/>
              <w:left w:val="nil"/>
              <w:bottom w:val="nil"/>
              <w:right w:val="nil"/>
            </w:tcBorders>
          </w:tcPr>
          <w:p w14:paraId="40D774BF">
            <w:pPr>
              <w:spacing w:after="0" w:line="360" w:lineRule="auto"/>
              <w:ind w:left="60" w:right="60"/>
              <w:jc w:val="center"/>
              <w:rPr>
                <w:sz w:val="20"/>
              </w:rPr>
            </w:pPr>
            <w:r>
              <w:rPr>
                <w:sz w:val="20"/>
              </w:rPr>
              <w:t>78</w:t>
            </w:r>
          </w:p>
        </w:tc>
        <w:tc>
          <w:tcPr>
            <w:tcW w:w="2409" w:type="dxa"/>
            <w:tcBorders>
              <w:top w:val="nil"/>
              <w:left w:val="nil"/>
              <w:bottom w:val="nil"/>
              <w:right w:val="nil"/>
            </w:tcBorders>
          </w:tcPr>
          <w:p w14:paraId="24A6956F">
            <w:pPr>
              <w:spacing w:after="0" w:line="360" w:lineRule="auto"/>
              <w:ind w:left="60" w:right="60"/>
              <w:jc w:val="center"/>
              <w:rPr>
                <w:sz w:val="20"/>
              </w:rPr>
            </w:pPr>
            <w:r>
              <w:rPr>
                <w:sz w:val="20"/>
              </w:rPr>
              <w:t>24.8</w:t>
            </w:r>
          </w:p>
        </w:tc>
      </w:tr>
      <w:tr w14:paraId="068B72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4264CCC9">
            <w:pPr>
              <w:widowControl w:val="0"/>
              <w:spacing w:after="0" w:line="360" w:lineRule="auto"/>
            </w:pPr>
          </w:p>
        </w:tc>
        <w:tc>
          <w:tcPr>
            <w:tcW w:w="1950" w:type="dxa"/>
            <w:tcBorders>
              <w:top w:val="nil"/>
              <w:left w:val="nil"/>
              <w:bottom w:val="nil"/>
              <w:right w:val="nil"/>
            </w:tcBorders>
          </w:tcPr>
          <w:p w14:paraId="301108A6">
            <w:pPr>
              <w:spacing w:after="0" w:line="360" w:lineRule="auto"/>
              <w:ind w:left="60" w:right="60"/>
              <w:jc w:val="center"/>
              <w:rPr>
                <w:sz w:val="20"/>
              </w:rPr>
            </w:pPr>
            <w:r>
              <w:rPr>
                <w:sz w:val="20"/>
              </w:rPr>
              <w:t>Disagree</w:t>
            </w:r>
          </w:p>
        </w:tc>
        <w:tc>
          <w:tcPr>
            <w:tcW w:w="2268" w:type="dxa"/>
            <w:tcBorders>
              <w:top w:val="nil"/>
              <w:left w:val="nil"/>
              <w:bottom w:val="nil"/>
              <w:right w:val="nil"/>
            </w:tcBorders>
          </w:tcPr>
          <w:p w14:paraId="188582AD">
            <w:pPr>
              <w:spacing w:after="0" w:line="360" w:lineRule="auto"/>
              <w:ind w:left="60" w:right="60"/>
              <w:jc w:val="center"/>
              <w:rPr>
                <w:sz w:val="20"/>
              </w:rPr>
            </w:pPr>
            <w:r>
              <w:rPr>
                <w:sz w:val="20"/>
              </w:rPr>
              <w:t>44</w:t>
            </w:r>
          </w:p>
        </w:tc>
        <w:tc>
          <w:tcPr>
            <w:tcW w:w="2409" w:type="dxa"/>
            <w:tcBorders>
              <w:top w:val="nil"/>
              <w:left w:val="nil"/>
              <w:bottom w:val="nil"/>
              <w:right w:val="nil"/>
            </w:tcBorders>
          </w:tcPr>
          <w:p w14:paraId="54F2ED6E">
            <w:pPr>
              <w:spacing w:after="0" w:line="360" w:lineRule="auto"/>
              <w:ind w:left="60" w:right="60"/>
              <w:jc w:val="center"/>
              <w:rPr>
                <w:sz w:val="20"/>
              </w:rPr>
            </w:pPr>
            <w:r>
              <w:rPr>
                <w:sz w:val="20"/>
              </w:rPr>
              <w:t>14.0</w:t>
            </w:r>
          </w:p>
        </w:tc>
      </w:tr>
      <w:tr w14:paraId="73B831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2EC1B92A">
            <w:pPr>
              <w:widowControl w:val="0"/>
              <w:spacing w:after="0" w:line="360" w:lineRule="auto"/>
            </w:pPr>
          </w:p>
        </w:tc>
        <w:tc>
          <w:tcPr>
            <w:tcW w:w="1950" w:type="dxa"/>
            <w:tcBorders>
              <w:top w:val="nil"/>
              <w:left w:val="nil"/>
              <w:bottom w:val="nil"/>
              <w:right w:val="nil"/>
            </w:tcBorders>
          </w:tcPr>
          <w:p w14:paraId="58E93AED">
            <w:pPr>
              <w:spacing w:after="0" w:line="360" w:lineRule="auto"/>
              <w:ind w:left="60" w:right="60"/>
              <w:jc w:val="center"/>
              <w:rPr>
                <w:sz w:val="20"/>
              </w:rPr>
            </w:pPr>
            <w:r>
              <w:rPr>
                <w:sz w:val="20"/>
              </w:rPr>
              <w:t>Strongly Disagree</w:t>
            </w:r>
          </w:p>
        </w:tc>
        <w:tc>
          <w:tcPr>
            <w:tcW w:w="2268" w:type="dxa"/>
            <w:tcBorders>
              <w:top w:val="nil"/>
              <w:left w:val="nil"/>
              <w:bottom w:val="nil"/>
              <w:right w:val="nil"/>
            </w:tcBorders>
          </w:tcPr>
          <w:p w14:paraId="0686788F">
            <w:pPr>
              <w:spacing w:after="0" w:line="360" w:lineRule="auto"/>
              <w:ind w:left="60" w:right="60"/>
              <w:jc w:val="center"/>
              <w:rPr>
                <w:sz w:val="20"/>
              </w:rPr>
            </w:pPr>
            <w:r>
              <w:rPr>
                <w:sz w:val="20"/>
              </w:rPr>
              <w:t>16</w:t>
            </w:r>
          </w:p>
        </w:tc>
        <w:tc>
          <w:tcPr>
            <w:tcW w:w="2409" w:type="dxa"/>
            <w:tcBorders>
              <w:top w:val="nil"/>
              <w:left w:val="nil"/>
              <w:bottom w:val="nil"/>
              <w:right w:val="nil"/>
            </w:tcBorders>
          </w:tcPr>
          <w:p w14:paraId="6FCBACFC">
            <w:pPr>
              <w:spacing w:after="0" w:line="360" w:lineRule="auto"/>
              <w:ind w:left="60" w:right="60"/>
              <w:jc w:val="center"/>
              <w:rPr>
                <w:sz w:val="20"/>
              </w:rPr>
            </w:pPr>
            <w:r>
              <w:rPr>
                <w:sz w:val="20"/>
              </w:rPr>
              <w:t>5.1</w:t>
            </w:r>
          </w:p>
        </w:tc>
      </w:tr>
      <w:tr w14:paraId="7122B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7C58F29A">
            <w:pPr>
              <w:widowControl w:val="0"/>
              <w:spacing w:after="0" w:line="360" w:lineRule="auto"/>
            </w:pPr>
          </w:p>
        </w:tc>
        <w:tc>
          <w:tcPr>
            <w:tcW w:w="1950" w:type="dxa"/>
            <w:tcBorders>
              <w:top w:val="nil"/>
              <w:left w:val="nil"/>
              <w:bottom w:val="single" w:color="000000" w:sz="4" w:space="0"/>
              <w:right w:val="nil"/>
            </w:tcBorders>
          </w:tcPr>
          <w:p w14:paraId="7B600124">
            <w:pPr>
              <w:spacing w:after="0" w:line="360" w:lineRule="auto"/>
              <w:ind w:left="60" w:right="60"/>
              <w:jc w:val="center"/>
              <w:rPr>
                <w:b/>
                <w:sz w:val="20"/>
              </w:rPr>
            </w:pPr>
            <w:r>
              <w:rPr>
                <w:b/>
                <w:sz w:val="20"/>
              </w:rPr>
              <w:t>Total</w:t>
            </w:r>
          </w:p>
        </w:tc>
        <w:tc>
          <w:tcPr>
            <w:tcW w:w="2268" w:type="dxa"/>
            <w:tcBorders>
              <w:top w:val="nil"/>
              <w:left w:val="nil"/>
              <w:bottom w:val="single" w:color="000000" w:sz="4" w:space="0"/>
              <w:right w:val="nil"/>
            </w:tcBorders>
          </w:tcPr>
          <w:p w14:paraId="2D18C461">
            <w:pPr>
              <w:spacing w:after="0" w:line="360" w:lineRule="auto"/>
              <w:ind w:left="60" w:right="60"/>
              <w:jc w:val="center"/>
              <w:rPr>
                <w:b/>
                <w:sz w:val="20"/>
              </w:rPr>
            </w:pPr>
            <w:r>
              <w:rPr>
                <w:b/>
                <w:sz w:val="20"/>
              </w:rPr>
              <w:t>315</w:t>
            </w:r>
          </w:p>
        </w:tc>
        <w:tc>
          <w:tcPr>
            <w:tcW w:w="2409" w:type="dxa"/>
            <w:tcBorders>
              <w:top w:val="nil"/>
              <w:left w:val="nil"/>
              <w:bottom w:val="single" w:color="000000" w:sz="4" w:space="0"/>
              <w:right w:val="nil"/>
            </w:tcBorders>
          </w:tcPr>
          <w:p w14:paraId="2A329249">
            <w:pPr>
              <w:spacing w:after="0" w:line="360" w:lineRule="auto"/>
              <w:ind w:left="60" w:right="60"/>
              <w:jc w:val="center"/>
              <w:rPr>
                <w:b/>
                <w:sz w:val="20"/>
              </w:rPr>
            </w:pPr>
            <w:r>
              <w:rPr>
                <w:b/>
                <w:sz w:val="20"/>
              </w:rPr>
              <w:t>100.0</w:t>
            </w:r>
          </w:p>
        </w:tc>
      </w:tr>
    </w:tbl>
    <w:p w14:paraId="5B687693">
      <w:pPr>
        <w:spacing w:line="480" w:lineRule="auto"/>
        <w:rPr>
          <w:rFonts w:hint="default"/>
          <w:b/>
          <w:lang w:val="en-US"/>
        </w:rPr>
      </w:pPr>
      <w:r>
        <w:rPr>
          <w:b/>
        </w:rPr>
        <w:t>Field survey, 202</w:t>
      </w:r>
      <w:r>
        <w:rPr>
          <w:rFonts w:hint="default"/>
          <w:b/>
          <w:lang w:val="en-US"/>
        </w:rPr>
        <w:t>5</w:t>
      </w:r>
    </w:p>
    <w:p w14:paraId="5199C217">
      <w:pPr>
        <w:spacing w:line="480" w:lineRule="auto"/>
        <w:jc w:val="both"/>
      </w:pPr>
      <w:bookmarkStart w:id="42" w:name="_heading=h.2jxsxqh" w:colFirst="0" w:colLast="0"/>
      <w:bookmarkEnd w:id="42"/>
      <w:r>
        <w:t>Table 9 shows that a significant majority of the respondents 81.0% representing (N=255) agreed that they can select, copy and paste texts in a desired location and print a document while 19.1% disagreed. This means that four out of every five respondents can select, copy and paste texts in a desired location and print a document.</w:t>
      </w:r>
    </w:p>
    <w:tbl>
      <w:tblPr>
        <w:tblStyle w:val="61"/>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2268"/>
        <w:gridCol w:w="2268"/>
        <w:gridCol w:w="292"/>
      </w:tblGrid>
      <w:tr w14:paraId="2D7232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12B7BA49">
            <w:pPr>
              <w:spacing w:after="0" w:line="480" w:lineRule="auto"/>
              <w:ind w:right="60"/>
            </w:pPr>
            <w:r>
              <w:rPr>
                <w:b/>
              </w:rPr>
              <w:t>Table 4.8: I can send and open an attachment from an email, using a common email program</w:t>
            </w:r>
          </w:p>
        </w:tc>
      </w:tr>
      <w:tr w14:paraId="17839B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835" w:type="dxa"/>
            <w:gridSpan w:val="2"/>
            <w:tcBorders>
              <w:top w:val="single" w:color="000000" w:sz="4" w:space="0"/>
              <w:left w:val="nil"/>
              <w:bottom w:val="single" w:color="000000" w:sz="4" w:space="0"/>
              <w:right w:val="nil"/>
            </w:tcBorders>
            <w:vAlign w:val="bottom"/>
          </w:tcPr>
          <w:p w14:paraId="11044F85">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6D6B5A56">
            <w:pPr>
              <w:spacing w:after="0" w:line="360" w:lineRule="auto"/>
              <w:ind w:left="60" w:right="60"/>
              <w:jc w:val="center"/>
              <w:rPr>
                <w:b/>
              </w:rPr>
            </w:pPr>
            <w:r>
              <w:rPr>
                <w:b/>
              </w:rPr>
              <w:t>Frequency</w:t>
            </w:r>
          </w:p>
        </w:tc>
        <w:tc>
          <w:tcPr>
            <w:tcW w:w="2268" w:type="dxa"/>
            <w:tcBorders>
              <w:top w:val="single" w:color="000000" w:sz="4" w:space="0"/>
              <w:left w:val="nil"/>
              <w:bottom w:val="single" w:color="000000" w:sz="4" w:space="0"/>
              <w:right w:val="nil"/>
            </w:tcBorders>
            <w:vAlign w:val="bottom"/>
          </w:tcPr>
          <w:p w14:paraId="4A7577D9">
            <w:pPr>
              <w:spacing w:after="0" w:line="360" w:lineRule="auto"/>
              <w:ind w:left="60" w:right="60"/>
              <w:jc w:val="center"/>
              <w:rPr>
                <w:b/>
              </w:rPr>
            </w:pPr>
            <w:r>
              <w:rPr>
                <w:b/>
              </w:rPr>
              <w:t>Percent</w:t>
            </w:r>
          </w:p>
        </w:tc>
      </w:tr>
      <w:tr w14:paraId="0DF0C3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2EE4AA92">
            <w:pPr>
              <w:spacing w:after="0" w:line="360" w:lineRule="auto"/>
              <w:ind w:left="60" w:right="60"/>
              <w:jc w:val="center"/>
            </w:pPr>
          </w:p>
        </w:tc>
        <w:tc>
          <w:tcPr>
            <w:tcW w:w="2091" w:type="dxa"/>
            <w:tcBorders>
              <w:top w:val="single" w:color="000000" w:sz="4" w:space="0"/>
              <w:left w:val="nil"/>
              <w:bottom w:val="nil"/>
              <w:right w:val="nil"/>
            </w:tcBorders>
          </w:tcPr>
          <w:p w14:paraId="157076BD">
            <w:pPr>
              <w:spacing w:after="0" w:line="360" w:lineRule="auto"/>
              <w:ind w:left="60" w:right="60"/>
              <w:jc w:val="center"/>
            </w:pPr>
            <w:r>
              <w:t>Strongly Agree</w:t>
            </w:r>
          </w:p>
        </w:tc>
        <w:tc>
          <w:tcPr>
            <w:tcW w:w="2268" w:type="dxa"/>
            <w:tcBorders>
              <w:top w:val="single" w:color="000000" w:sz="4" w:space="0"/>
              <w:left w:val="nil"/>
              <w:bottom w:val="nil"/>
              <w:right w:val="nil"/>
            </w:tcBorders>
          </w:tcPr>
          <w:p w14:paraId="1687E005">
            <w:pPr>
              <w:spacing w:after="0" w:line="360" w:lineRule="auto"/>
              <w:ind w:left="60" w:right="60"/>
              <w:jc w:val="center"/>
            </w:pPr>
            <w:r>
              <w:t>201</w:t>
            </w:r>
          </w:p>
        </w:tc>
        <w:tc>
          <w:tcPr>
            <w:tcW w:w="2268" w:type="dxa"/>
            <w:tcBorders>
              <w:top w:val="single" w:color="000000" w:sz="4" w:space="0"/>
              <w:left w:val="nil"/>
              <w:bottom w:val="nil"/>
              <w:right w:val="nil"/>
            </w:tcBorders>
          </w:tcPr>
          <w:p w14:paraId="75A9CB7F">
            <w:pPr>
              <w:spacing w:after="0" w:line="360" w:lineRule="auto"/>
              <w:ind w:left="60" w:right="60"/>
              <w:jc w:val="center"/>
            </w:pPr>
            <w:r>
              <w:t>63.8</w:t>
            </w:r>
          </w:p>
        </w:tc>
      </w:tr>
      <w:tr w14:paraId="3BE03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6883CD47">
            <w:pPr>
              <w:widowControl w:val="0"/>
              <w:spacing w:after="0" w:line="360" w:lineRule="auto"/>
            </w:pPr>
          </w:p>
        </w:tc>
        <w:tc>
          <w:tcPr>
            <w:tcW w:w="2091" w:type="dxa"/>
            <w:tcBorders>
              <w:top w:val="nil"/>
              <w:left w:val="nil"/>
              <w:bottom w:val="nil"/>
              <w:right w:val="nil"/>
            </w:tcBorders>
          </w:tcPr>
          <w:p w14:paraId="23671EB8">
            <w:pPr>
              <w:spacing w:after="0" w:line="360" w:lineRule="auto"/>
              <w:ind w:left="60" w:right="60"/>
              <w:jc w:val="center"/>
            </w:pPr>
            <w:r>
              <w:t>Agree</w:t>
            </w:r>
          </w:p>
        </w:tc>
        <w:tc>
          <w:tcPr>
            <w:tcW w:w="2268" w:type="dxa"/>
            <w:tcBorders>
              <w:top w:val="nil"/>
              <w:left w:val="nil"/>
              <w:bottom w:val="nil"/>
              <w:right w:val="nil"/>
            </w:tcBorders>
          </w:tcPr>
          <w:p w14:paraId="46125156">
            <w:pPr>
              <w:spacing w:after="0" w:line="360" w:lineRule="auto"/>
              <w:ind w:left="60" w:right="60"/>
              <w:jc w:val="center"/>
            </w:pPr>
            <w:r>
              <w:t>98</w:t>
            </w:r>
          </w:p>
        </w:tc>
        <w:tc>
          <w:tcPr>
            <w:tcW w:w="2268" w:type="dxa"/>
            <w:tcBorders>
              <w:top w:val="nil"/>
              <w:left w:val="nil"/>
              <w:bottom w:val="nil"/>
              <w:right w:val="nil"/>
            </w:tcBorders>
          </w:tcPr>
          <w:p w14:paraId="47C71793">
            <w:pPr>
              <w:spacing w:after="0" w:line="360" w:lineRule="auto"/>
              <w:ind w:left="60" w:right="60"/>
              <w:jc w:val="center"/>
            </w:pPr>
            <w:r>
              <w:t>31.1</w:t>
            </w:r>
          </w:p>
        </w:tc>
      </w:tr>
      <w:tr w14:paraId="585ACE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2400ED5F">
            <w:pPr>
              <w:widowControl w:val="0"/>
              <w:spacing w:after="0" w:line="360" w:lineRule="auto"/>
            </w:pPr>
          </w:p>
        </w:tc>
        <w:tc>
          <w:tcPr>
            <w:tcW w:w="2091" w:type="dxa"/>
            <w:tcBorders>
              <w:top w:val="nil"/>
              <w:left w:val="nil"/>
              <w:bottom w:val="nil"/>
              <w:right w:val="nil"/>
            </w:tcBorders>
          </w:tcPr>
          <w:p w14:paraId="529F13ED">
            <w:pPr>
              <w:spacing w:after="0" w:line="360" w:lineRule="auto"/>
              <w:ind w:left="60" w:right="60"/>
              <w:jc w:val="center"/>
            </w:pPr>
            <w:r>
              <w:t>Disagree</w:t>
            </w:r>
          </w:p>
        </w:tc>
        <w:tc>
          <w:tcPr>
            <w:tcW w:w="2268" w:type="dxa"/>
            <w:tcBorders>
              <w:top w:val="nil"/>
              <w:left w:val="nil"/>
              <w:bottom w:val="nil"/>
              <w:right w:val="nil"/>
            </w:tcBorders>
          </w:tcPr>
          <w:p w14:paraId="3BCC50B3">
            <w:pPr>
              <w:spacing w:after="0" w:line="360" w:lineRule="auto"/>
              <w:ind w:left="60" w:right="60"/>
              <w:jc w:val="center"/>
            </w:pPr>
            <w:r>
              <w:t>10</w:t>
            </w:r>
          </w:p>
        </w:tc>
        <w:tc>
          <w:tcPr>
            <w:tcW w:w="2268" w:type="dxa"/>
            <w:tcBorders>
              <w:top w:val="nil"/>
              <w:left w:val="nil"/>
              <w:bottom w:val="nil"/>
              <w:right w:val="nil"/>
            </w:tcBorders>
          </w:tcPr>
          <w:p w14:paraId="2840C88F">
            <w:pPr>
              <w:spacing w:after="0" w:line="360" w:lineRule="auto"/>
              <w:ind w:left="60" w:right="60"/>
              <w:jc w:val="center"/>
            </w:pPr>
            <w:r>
              <w:t>3.2</w:t>
            </w:r>
          </w:p>
        </w:tc>
      </w:tr>
      <w:tr w14:paraId="3B94F2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2EA34420">
            <w:pPr>
              <w:widowControl w:val="0"/>
              <w:spacing w:after="0" w:line="360" w:lineRule="auto"/>
            </w:pPr>
          </w:p>
        </w:tc>
        <w:tc>
          <w:tcPr>
            <w:tcW w:w="2091" w:type="dxa"/>
            <w:tcBorders>
              <w:top w:val="nil"/>
              <w:left w:val="nil"/>
              <w:bottom w:val="nil"/>
              <w:right w:val="nil"/>
            </w:tcBorders>
          </w:tcPr>
          <w:p w14:paraId="48793B91">
            <w:pPr>
              <w:spacing w:after="0" w:line="360" w:lineRule="auto"/>
              <w:ind w:left="60" w:right="60"/>
              <w:jc w:val="center"/>
            </w:pPr>
            <w:r>
              <w:t>Strongly Disagree</w:t>
            </w:r>
          </w:p>
        </w:tc>
        <w:tc>
          <w:tcPr>
            <w:tcW w:w="2268" w:type="dxa"/>
            <w:tcBorders>
              <w:top w:val="nil"/>
              <w:left w:val="nil"/>
              <w:bottom w:val="nil"/>
              <w:right w:val="nil"/>
            </w:tcBorders>
          </w:tcPr>
          <w:p w14:paraId="6DEF0F80">
            <w:pPr>
              <w:spacing w:after="0" w:line="360" w:lineRule="auto"/>
              <w:ind w:left="60" w:right="60"/>
              <w:jc w:val="center"/>
            </w:pPr>
            <w:r>
              <w:t>6</w:t>
            </w:r>
          </w:p>
        </w:tc>
        <w:tc>
          <w:tcPr>
            <w:tcW w:w="2268" w:type="dxa"/>
            <w:tcBorders>
              <w:top w:val="nil"/>
              <w:left w:val="nil"/>
              <w:bottom w:val="nil"/>
              <w:right w:val="nil"/>
            </w:tcBorders>
          </w:tcPr>
          <w:p w14:paraId="07329BF0">
            <w:pPr>
              <w:spacing w:after="0" w:line="360" w:lineRule="auto"/>
              <w:ind w:left="60" w:right="60"/>
              <w:jc w:val="center"/>
            </w:pPr>
            <w:r>
              <w:t>1.9</w:t>
            </w:r>
          </w:p>
        </w:tc>
      </w:tr>
      <w:tr w14:paraId="0139CC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5C1B4D5C">
            <w:pPr>
              <w:widowControl w:val="0"/>
              <w:spacing w:after="0" w:line="360" w:lineRule="auto"/>
            </w:pPr>
          </w:p>
        </w:tc>
        <w:tc>
          <w:tcPr>
            <w:tcW w:w="2091" w:type="dxa"/>
            <w:tcBorders>
              <w:top w:val="nil"/>
              <w:left w:val="nil"/>
              <w:bottom w:val="single" w:color="000000" w:sz="4" w:space="0"/>
              <w:right w:val="nil"/>
            </w:tcBorders>
          </w:tcPr>
          <w:p w14:paraId="1E73B849">
            <w:pPr>
              <w:spacing w:after="0" w:line="360" w:lineRule="auto"/>
              <w:ind w:left="60" w:right="60"/>
              <w:jc w:val="center"/>
              <w:rPr>
                <w:b/>
              </w:rPr>
            </w:pPr>
            <w:r>
              <w:rPr>
                <w:b/>
              </w:rPr>
              <w:t>Total</w:t>
            </w:r>
          </w:p>
        </w:tc>
        <w:tc>
          <w:tcPr>
            <w:tcW w:w="2268" w:type="dxa"/>
            <w:tcBorders>
              <w:top w:val="nil"/>
              <w:left w:val="nil"/>
              <w:bottom w:val="single" w:color="000000" w:sz="4" w:space="0"/>
              <w:right w:val="nil"/>
            </w:tcBorders>
          </w:tcPr>
          <w:p w14:paraId="587197A5">
            <w:pPr>
              <w:spacing w:after="0" w:line="360" w:lineRule="auto"/>
              <w:ind w:left="60" w:right="60"/>
              <w:jc w:val="center"/>
              <w:rPr>
                <w:b/>
              </w:rPr>
            </w:pPr>
            <w:r>
              <w:rPr>
                <w:b/>
              </w:rPr>
              <w:t>315</w:t>
            </w:r>
          </w:p>
        </w:tc>
        <w:tc>
          <w:tcPr>
            <w:tcW w:w="2268" w:type="dxa"/>
            <w:tcBorders>
              <w:top w:val="nil"/>
              <w:left w:val="nil"/>
              <w:bottom w:val="single" w:color="000000" w:sz="4" w:space="0"/>
              <w:right w:val="nil"/>
            </w:tcBorders>
          </w:tcPr>
          <w:p w14:paraId="18D36797">
            <w:pPr>
              <w:spacing w:after="0" w:line="360" w:lineRule="auto"/>
              <w:ind w:left="60" w:right="60"/>
              <w:jc w:val="center"/>
              <w:rPr>
                <w:b/>
              </w:rPr>
            </w:pPr>
            <w:r>
              <w:rPr>
                <w:b/>
              </w:rPr>
              <w:t>100.0</w:t>
            </w:r>
          </w:p>
        </w:tc>
      </w:tr>
    </w:tbl>
    <w:p w14:paraId="21707A67">
      <w:pPr>
        <w:spacing w:line="480" w:lineRule="auto"/>
        <w:rPr>
          <w:rFonts w:hint="default"/>
          <w:b/>
          <w:lang w:val="en-US"/>
        </w:rPr>
      </w:pPr>
      <w:r>
        <w:rPr>
          <w:b/>
        </w:rPr>
        <w:t>Field survey, 202</w:t>
      </w:r>
      <w:r>
        <w:rPr>
          <w:rFonts w:hint="default"/>
          <w:b/>
          <w:lang w:val="en-US"/>
        </w:rPr>
        <w:t>5</w:t>
      </w:r>
    </w:p>
    <w:p w14:paraId="7314920A">
      <w:pPr>
        <w:spacing w:line="480" w:lineRule="auto"/>
        <w:jc w:val="both"/>
        <w:rPr>
          <w:b/>
        </w:rPr>
      </w:pPr>
      <w:bookmarkStart w:id="43" w:name="_heading=h.z337ya" w:colFirst="0" w:colLast="0"/>
      <w:bookmarkEnd w:id="43"/>
      <w:r>
        <w:t>Table 10 revealed that a significant majority of the respondents 94.9% representing (N=299) stated that they can send and open an attachment from an email, using a common email program while 5.1% stated otherwise. This means that almost all of the respondents with a little variation can send and open an attachment from an email, using a common email program.</w:t>
      </w:r>
    </w:p>
    <w:tbl>
      <w:tblPr>
        <w:tblStyle w:val="62"/>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2127"/>
        <w:gridCol w:w="2409"/>
        <w:gridCol w:w="292"/>
      </w:tblGrid>
      <w:tr w14:paraId="4845B9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7733800E">
            <w:pPr>
              <w:spacing w:after="0" w:line="480" w:lineRule="auto"/>
              <w:ind w:right="60"/>
              <w:rPr>
                <w:b/>
              </w:rPr>
            </w:pPr>
          </w:p>
          <w:p w14:paraId="0DC48968">
            <w:pPr>
              <w:spacing w:after="0" w:line="480" w:lineRule="auto"/>
              <w:ind w:right="60"/>
              <w:rPr>
                <w:b/>
              </w:rPr>
            </w:pPr>
          </w:p>
          <w:p w14:paraId="47D8190C">
            <w:pPr>
              <w:spacing w:after="0" w:line="480" w:lineRule="auto"/>
              <w:ind w:left="60" w:right="60"/>
            </w:pPr>
            <w:r>
              <w:rPr>
                <w:b/>
              </w:rPr>
              <w:t>Table 4.9: I can launch any of the web browsers</w:t>
            </w:r>
          </w:p>
        </w:tc>
      </w:tr>
      <w:tr w14:paraId="373B42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835" w:type="dxa"/>
            <w:gridSpan w:val="2"/>
            <w:tcBorders>
              <w:top w:val="single" w:color="000000" w:sz="4" w:space="0"/>
              <w:left w:val="nil"/>
              <w:bottom w:val="single" w:color="000000" w:sz="4" w:space="0"/>
              <w:right w:val="nil"/>
            </w:tcBorders>
            <w:vAlign w:val="bottom"/>
          </w:tcPr>
          <w:p w14:paraId="35D808F3">
            <w:pPr>
              <w:spacing w:after="0" w:line="360" w:lineRule="auto"/>
              <w:jc w:val="center"/>
              <w:rPr>
                <w:b/>
              </w:rPr>
            </w:pPr>
          </w:p>
        </w:tc>
        <w:tc>
          <w:tcPr>
            <w:tcW w:w="2127" w:type="dxa"/>
            <w:tcBorders>
              <w:top w:val="single" w:color="000000" w:sz="4" w:space="0"/>
              <w:left w:val="nil"/>
              <w:bottom w:val="single" w:color="000000" w:sz="4" w:space="0"/>
              <w:right w:val="nil"/>
            </w:tcBorders>
            <w:vAlign w:val="bottom"/>
          </w:tcPr>
          <w:p w14:paraId="3BDC3017">
            <w:pPr>
              <w:spacing w:after="0" w:line="360" w:lineRule="auto"/>
              <w:ind w:left="60" w:right="60"/>
              <w:jc w:val="center"/>
              <w:rPr>
                <w:b/>
              </w:rPr>
            </w:pPr>
            <w:r>
              <w:rPr>
                <w:b/>
              </w:rPr>
              <w:t>Frequency</w:t>
            </w:r>
          </w:p>
        </w:tc>
        <w:tc>
          <w:tcPr>
            <w:tcW w:w="2409" w:type="dxa"/>
            <w:tcBorders>
              <w:top w:val="single" w:color="000000" w:sz="4" w:space="0"/>
              <w:left w:val="nil"/>
              <w:bottom w:val="single" w:color="000000" w:sz="4" w:space="0"/>
              <w:right w:val="nil"/>
            </w:tcBorders>
            <w:vAlign w:val="bottom"/>
          </w:tcPr>
          <w:p w14:paraId="092DA5B8">
            <w:pPr>
              <w:spacing w:after="0" w:line="360" w:lineRule="auto"/>
              <w:ind w:left="60" w:right="60"/>
              <w:jc w:val="center"/>
              <w:rPr>
                <w:b/>
              </w:rPr>
            </w:pPr>
            <w:r>
              <w:rPr>
                <w:b/>
              </w:rPr>
              <w:t>Percent</w:t>
            </w:r>
          </w:p>
        </w:tc>
      </w:tr>
      <w:tr w14:paraId="1BDBDA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777822EE">
            <w:pPr>
              <w:spacing w:after="0" w:line="360" w:lineRule="auto"/>
              <w:ind w:left="60" w:right="60"/>
              <w:jc w:val="center"/>
            </w:pPr>
          </w:p>
        </w:tc>
        <w:tc>
          <w:tcPr>
            <w:tcW w:w="2091" w:type="dxa"/>
            <w:tcBorders>
              <w:top w:val="single" w:color="000000" w:sz="4" w:space="0"/>
              <w:left w:val="nil"/>
              <w:bottom w:val="nil"/>
              <w:right w:val="nil"/>
            </w:tcBorders>
          </w:tcPr>
          <w:p w14:paraId="56E0FBBF">
            <w:pPr>
              <w:spacing w:after="0" w:line="360" w:lineRule="auto"/>
              <w:ind w:left="60" w:right="60"/>
              <w:jc w:val="center"/>
            </w:pPr>
            <w:r>
              <w:t>Strongly Agree</w:t>
            </w:r>
          </w:p>
        </w:tc>
        <w:tc>
          <w:tcPr>
            <w:tcW w:w="2127" w:type="dxa"/>
            <w:tcBorders>
              <w:top w:val="single" w:color="000000" w:sz="4" w:space="0"/>
              <w:left w:val="nil"/>
              <w:bottom w:val="nil"/>
              <w:right w:val="nil"/>
            </w:tcBorders>
          </w:tcPr>
          <w:p w14:paraId="1026AED3">
            <w:pPr>
              <w:spacing w:after="0" w:line="360" w:lineRule="auto"/>
              <w:ind w:left="60" w:right="60"/>
              <w:jc w:val="center"/>
            </w:pPr>
            <w:r>
              <w:t>204</w:t>
            </w:r>
          </w:p>
        </w:tc>
        <w:tc>
          <w:tcPr>
            <w:tcW w:w="2409" w:type="dxa"/>
            <w:tcBorders>
              <w:top w:val="single" w:color="000000" w:sz="4" w:space="0"/>
              <w:left w:val="nil"/>
              <w:bottom w:val="nil"/>
              <w:right w:val="nil"/>
            </w:tcBorders>
          </w:tcPr>
          <w:p w14:paraId="370D7F5D">
            <w:pPr>
              <w:spacing w:after="0" w:line="360" w:lineRule="auto"/>
              <w:ind w:left="60" w:right="60"/>
              <w:jc w:val="center"/>
            </w:pPr>
            <w:r>
              <w:t>64.8</w:t>
            </w:r>
          </w:p>
        </w:tc>
      </w:tr>
      <w:tr w14:paraId="4F6951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5C656693">
            <w:pPr>
              <w:widowControl w:val="0"/>
              <w:spacing w:after="0" w:line="360" w:lineRule="auto"/>
            </w:pPr>
          </w:p>
        </w:tc>
        <w:tc>
          <w:tcPr>
            <w:tcW w:w="2091" w:type="dxa"/>
            <w:tcBorders>
              <w:top w:val="nil"/>
              <w:left w:val="nil"/>
              <w:bottom w:val="nil"/>
              <w:right w:val="nil"/>
            </w:tcBorders>
          </w:tcPr>
          <w:p w14:paraId="391D0486">
            <w:pPr>
              <w:spacing w:after="0" w:line="360" w:lineRule="auto"/>
              <w:ind w:left="60" w:right="60"/>
              <w:jc w:val="center"/>
            </w:pPr>
            <w:r>
              <w:t>Agree</w:t>
            </w:r>
          </w:p>
        </w:tc>
        <w:tc>
          <w:tcPr>
            <w:tcW w:w="2127" w:type="dxa"/>
            <w:tcBorders>
              <w:top w:val="nil"/>
              <w:left w:val="nil"/>
              <w:bottom w:val="nil"/>
              <w:right w:val="nil"/>
            </w:tcBorders>
          </w:tcPr>
          <w:p w14:paraId="29434A78">
            <w:pPr>
              <w:spacing w:after="0" w:line="360" w:lineRule="auto"/>
              <w:ind w:left="60" w:right="60"/>
              <w:jc w:val="center"/>
            </w:pPr>
            <w:r>
              <w:t>94</w:t>
            </w:r>
          </w:p>
        </w:tc>
        <w:tc>
          <w:tcPr>
            <w:tcW w:w="2409" w:type="dxa"/>
            <w:tcBorders>
              <w:top w:val="nil"/>
              <w:left w:val="nil"/>
              <w:bottom w:val="nil"/>
              <w:right w:val="nil"/>
            </w:tcBorders>
          </w:tcPr>
          <w:p w14:paraId="158CA381">
            <w:pPr>
              <w:spacing w:after="0" w:line="360" w:lineRule="auto"/>
              <w:ind w:left="60" w:right="60"/>
              <w:jc w:val="center"/>
            </w:pPr>
            <w:r>
              <w:t>29.8</w:t>
            </w:r>
          </w:p>
        </w:tc>
      </w:tr>
      <w:tr w14:paraId="78B679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16647F1D">
            <w:pPr>
              <w:widowControl w:val="0"/>
              <w:spacing w:after="0" w:line="360" w:lineRule="auto"/>
            </w:pPr>
          </w:p>
        </w:tc>
        <w:tc>
          <w:tcPr>
            <w:tcW w:w="2091" w:type="dxa"/>
            <w:tcBorders>
              <w:top w:val="nil"/>
              <w:left w:val="nil"/>
              <w:bottom w:val="nil"/>
              <w:right w:val="nil"/>
            </w:tcBorders>
          </w:tcPr>
          <w:p w14:paraId="286D32D6">
            <w:pPr>
              <w:spacing w:after="0" w:line="360" w:lineRule="auto"/>
              <w:ind w:left="60" w:right="60"/>
              <w:jc w:val="center"/>
            </w:pPr>
            <w:r>
              <w:t>Disagree</w:t>
            </w:r>
          </w:p>
        </w:tc>
        <w:tc>
          <w:tcPr>
            <w:tcW w:w="2127" w:type="dxa"/>
            <w:tcBorders>
              <w:top w:val="nil"/>
              <w:left w:val="nil"/>
              <w:bottom w:val="nil"/>
              <w:right w:val="nil"/>
            </w:tcBorders>
          </w:tcPr>
          <w:p w14:paraId="0043F12C">
            <w:pPr>
              <w:spacing w:after="0" w:line="360" w:lineRule="auto"/>
              <w:ind w:left="60" w:right="60"/>
              <w:jc w:val="center"/>
            </w:pPr>
            <w:r>
              <w:t>14</w:t>
            </w:r>
          </w:p>
        </w:tc>
        <w:tc>
          <w:tcPr>
            <w:tcW w:w="2409" w:type="dxa"/>
            <w:tcBorders>
              <w:top w:val="nil"/>
              <w:left w:val="nil"/>
              <w:bottom w:val="nil"/>
              <w:right w:val="nil"/>
            </w:tcBorders>
          </w:tcPr>
          <w:p w14:paraId="4987C5A7">
            <w:pPr>
              <w:spacing w:after="0" w:line="360" w:lineRule="auto"/>
              <w:ind w:left="60" w:right="60"/>
              <w:jc w:val="center"/>
            </w:pPr>
            <w:r>
              <w:t>4.4</w:t>
            </w:r>
          </w:p>
        </w:tc>
      </w:tr>
      <w:tr w14:paraId="0926CC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0B4CDB5B">
            <w:pPr>
              <w:widowControl w:val="0"/>
              <w:spacing w:after="0" w:line="360" w:lineRule="auto"/>
            </w:pPr>
          </w:p>
        </w:tc>
        <w:tc>
          <w:tcPr>
            <w:tcW w:w="2091" w:type="dxa"/>
            <w:tcBorders>
              <w:top w:val="nil"/>
              <w:left w:val="nil"/>
              <w:bottom w:val="nil"/>
              <w:right w:val="nil"/>
            </w:tcBorders>
          </w:tcPr>
          <w:p w14:paraId="1E87EA55">
            <w:pPr>
              <w:spacing w:after="0" w:line="360" w:lineRule="auto"/>
              <w:ind w:left="60" w:right="60"/>
              <w:jc w:val="center"/>
            </w:pPr>
            <w:r>
              <w:t>Strongly Disagree</w:t>
            </w:r>
          </w:p>
        </w:tc>
        <w:tc>
          <w:tcPr>
            <w:tcW w:w="2127" w:type="dxa"/>
            <w:tcBorders>
              <w:top w:val="nil"/>
              <w:left w:val="nil"/>
              <w:bottom w:val="nil"/>
              <w:right w:val="nil"/>
            </w:tcBorders>
          </w:tcPr>
          <w:p w14:paraId="5F35822A">
            <w:pPr>
              <w:spacing w:after="0" w:line="360" w:lineRule="auto"/>
              <w:ind w:left="60" w:right="60"/>
              <w:jc w:val="center"/>
            </w:pPr>
            <w:r>
              <w:t>3</w:t>
            </w:r>
          </w:p>
        </w:tc>
        <w:tc>
          <w:tcPr>
            <w:tcW w:w="2409" w:type="dxa"/>
            <w:tcBorders>
              <w:top w:val="nil"/>
              <w:left w:val="nil"/>
              <w:bottom w:val="nil"/>
              <w:right w:val="nil"/>
            </w:tcBorders>
          </w:tcPr>
          <w:p w14:paraId="22CF6372">
            <w:pPr>
              <w:spacing w:after="0" w:line="360" w:lineRule="auto"/>
              <w:ind w:left="60" w:right="60"/>
              <w:jc w:val="center"/>
            </w:pPr>
            <w:r>
              <w:t>1.0</w:t>
            </w:r>
          </w:p>
        </w:tc>
      </w:tr>
      <w:tr w14:paraId="46082A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3076AA2A">
            <w:pPr>
              <w:widowControl w:val="0"/>
              <w:spacing w:after="0" w:line="360" w:lineRule="auto"/>
            </w:pPr>
          </w:p>
        </w:tc>
        <w:tc>
          <w:tcPr>
            <w:tcW w:w="2091" w:type="dxa"/>
            <w:tcBorders>
              <w:top w:val="nil"/>
              <w:left w:val="nil"/>
              <w:bottom w:val="single" w:color="000000" w:sz="4" w:space="0"/>
              <w:right w:val="nil"/>
            </w:tcBorders>
          </w:tcPr>
          <w:p w14:paraId="536ACAD9">
            <w:pPr>
              <w:spacing w:after="0" w:line="360" w:lineRule="auto"/>
              <w:ind w:left="60" w:right="60"/>
              <w:jc w:val="center"/>
              <w:rPr>
                <w:b/>
              </w:rPr>
            </w:pPr>
            <w:r>
              <w:rPr>
                <w:b/>
              </w:rPr>
              <w:t>Total</w:t>
            </w:r>
          </w:p>
        </w:tc>
        <w:tc>
          <w:tcPr>
            <w:tcW w:w="2127" w:type="dxa"/>
            <w:tcBorders>
              <w:top w:val="nil"/>
              <w:left w:val="nil"/>
              <w:bottom w:val="single" w:color="000000" w:sz="4" w:space="0"/>
              <w:right w:val="nil"/>
            </w:tcBorders>
          </w:tcPr>
          <w:p w14:paraId="42F4CC83">
            <w:pPr>
              <w:spacing w:after="0" w:line="360" w:lineRule="auto"/>
              <w:ind w:left="60" w:right="60"/>
              <w:jc w:val="center"/>
              <w:rPr>
                <w:b/>
              </w:rPr>
            </w:pPr>
            <w:r>
              <w:rPr>
                <w:b/>
              </w:rPr>
              <w:t>315</w:t>
            </w:r>
          </w:p>
        </w:tc>
        <w:tc>
          <w:tcPr>
            <w:tcW w:w="2409" w:type="dxa"/>
            <w:tcBorders>
              <w:top w:val="nil"/>
              <w:left w:val="nil"/>
              <w:bottom w:val="single" w:color="000000" w:sz="4" w:space="0"/>
              <w:right w:val="nil"/>
            </w:tcBorders>
          </w:tcPr>
          <w:p w14:paraId="445683B9">
            <w:pPr>
              <w:spacing w:after="0" w:line="360" w:lineRule="auto"/>
              <w:ind w:left="60" w:right="60"/>
              <w:jc w:val="center"/>
              <w:rPr>
                <w:b/>
              </w:rPr>
            </w:pPr>
            <w:r>
              <w:rPr>
                <w:b/>
              </w:rPr>
              <w:t>100.0</w:t>
            </w:r>
          </w:p>
        </w:tc>
      </w:tr>
    </w:tbl>
    <w:p w14:paraId="4258DEFF">
      <w:pPr>
        <w:spacing w:line="360" w:lineRule="auto"/>
        <w:rPr>
          <w:rFonts w:hint="default"/>
          <w:b/>
          <w:lang w:val="en-US"/>
        </w:rPr>
      </w:pPr>
      <w:r>
        <w:rPr>
          <w:b/>
        </w:rPr>
        <w:t>Field survey, 202</w:t>
      </w:r>
      <w:r>
        <w:rPr>
          <w:rFonts w:hint="default"/>
          <w:b/>
          <w:lang w:val="en-US"/>
        </w:rPr>
        <w:t>5</w:t>
      </w:r>
    </w:p>
    <w:p w14:paraId="666FBB6B">
      <w:pPr>
        <w:spacing w:line="480" w:lineRule="auto"/>
        <w:jc w:val="both"/>
      </w:pPr>
      <w:bookmarkStart w:id="44" w:name="_heading=h.3j2qqm3" w:colFirst="0" w:colLast="0"/>
      <w:bookmarkEnd w:id="44"/>
      <w:r>
        <w:t>The result above revealed that a significant majority of the respondents 94.6% (N=298) agreed that they can launch any of the web browsers while 5.4% disagreed. This implies that majority of the respondents can launch any of the web browsers.</w:t>
      </w:r>
    </w:p>
    <w:tbl>
      <w:tblPr>
        <w:tblStyle w:val="63"/>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1950"/>
        <w:gridCol w:w="2409"/>
        <w:gridCol w:w="2268"/>
        <w:gridCol w:w="292"/>
      </w:tblGrid>
      <w:tr w14:paraId="32703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6775EF74">
            <w:pPr>
              <w:spacing w:after="0" w:line="360" w:lineRule="auto"/>
              <w:ind w:left="60" w:right="60"/>
            </w:pPr>
            <w:r>
              <w:rPr>
                <w:b/>
              </w:rPr>
              <w:t>Table 4.10: I can download files and images from a webpage</w:t>
            </w:r>
          </w:p>
        </w:tc>
      </w:tr>
      <w:tr w14:paraId="31BA84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694" w:type="dxa"/>
            <w:gridSpan w:val="2"/>
            <w:tcBorders>
              <w:top w:val="single" w:color="000000" w:sz="4" w:space="0"/>
              <w:left w:val="nil"/>
              <w:bottom w:val="single" w:color="000000" w:sz="4" w:space="0"/>
              <w:right w:val="nil"/>
            </w:tcBorders>
            <w:vAlign w:val="bottom"/>
          </w:tcPr>
          <w:p w14:paraId="1525C95E">
            <w:pPr>
              <w:spacing w:after="0" w:line="360" w:lineRule="auto"/>
              <w:jc w:val="center"/>
              <w:rPr>
                <w:b/>
              </w:rPr>
            </w:pPr>
          </w:p>
        </w:tc>
        <w:tc>
          <w:tcPr>
            <w:tcW w:w="2409" w:type="dxa"/>
            <w:tcBorders>
              <w:top w:val="single" w:color="000000" w:sz="4" w:space="0"/>
              <w:left w:val="nil"/>
              <w:bottom w:val="single" w:color="000000" w:sz="4" w:space="0"/>
              <w:right w:val="nil"/>
            </w:tcBorders>
            <w:vAlign w:val="bottom"/>
          </w:tcPr>
          <w:p w14:paraId="65AAE4A7">
            <w:pPr>
              <w:spacing w:after="0" w:line="360" w:lineRule="auto"/>
              <w:ind w:left="60" w:right="60"/>
              <w:jc w:val="center"/>
              <w:rPr>
                <w:b/>
              </w:rPr>
            </w:pPr>
            <w:r>
              <w:rPr>
                <w:b/>
              </w:rPr>
              <w:t>Frequency</w:t>
            </w:r>
          </w:p>
        </w:tc>
        <w:tc>
          <w:tcPr>
            <w:tcW w:w="2268" w:type="dxa"/>
            <w:tcBorders>
              <w:top w:val="single" w:color="000000" w:sz="4" w:space="0"/>
              <w:left w:val="nil"/>
              <w:bottom w:val="single" w:color="000000" w:sz="4" w:space="0"/>
              <w:right w:val="nil"/>
            </w:tcBorders>
            <w:vAlign w:val="bottom"/>
          </w:tcPr>
          <w:p w14:paraId="6812BBC6">
            <w:pPr>
              <w:spacing w:after="0" w:line="360" w:lineRule="auto"/>
              <w:ind w:left="60" w:right="60"/>
              <w:jc w:val="center"/>
              <w:rPr>
                <w:b/>
              </w:rPr>
            </w:pPr>
            <w:r>
              <w:rPr>
                <w:b/>
              </w:rPr>
              <w:t>Percent</w:t>
            </w:r>
          </w:p>
        </w:tc>
      </w:tr>
      <w:tr w14:paraId="0AB717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5B746056">
            <w:pPr>
              <w:spacing w:after="0" w:line="360" w:lineRule="auto"/>
              <w:ind w:left="60" w:right="60"/>
              <w:jc w:val="center"/>
            </w:pPr>
          </w:p>
        </w:tc>
        <w:tc>
          <w:tcPr>
            <w:tcW w:w="1950" w:type="dxa"/>
            <w:tcBorders>
              <w:top w:val="single" w:color="000000" w:sz="4" w:space="0"/>
              <w:left w:val="nil"/>
              <w:bottom w:val="nil"/>
              <w:right w:val="nil"/>
            </w:tcBorders>
          </w:tcPr>
          <w:p w14:paraId="1AA0B5CF">
            <w:pPr>
              <w:spacing w:after="0" w:line="276" w:lineRule="auto"/>
              <w:ind w:left="60" w:right="60"/>
              <w:jc w:val="center"/>
            </w:pPr>
            <w:r>
              <w:t>Strongly Agree</w:t>
            </w:r>
          </w:p>
        </w:tc>
        <w:tc>
          <w:tcPr>
            <w:tcW w:w="2409" w:type="dxa"/>
            <w:tcBorders>
              <w:top w:val="single" w:color="000000" w:sz="4" w:space="0"/>
              <w:left w:val="nil"/>
              <w:bottom w:val="nil"/>
              <w:right w:val="nil"/>
            </w:tcBorders>
          </w:tcPr>
          <w:p w14:paraId="226B95A0">
            <w:pPr>
              <w:spacing w:after="0" w:line="276" w:lineRule="auto"/>
              <w:ind w:left="60" w:right="60"/>
              <w:jc w:val="center"/>
            </w:pPr>
            <w:r>
              <w:t>211</w:t>
            </w:r>
          </w:p>
        </w:tc>
        <w:tc>
          <w:tcPr>
            <w:tcW w:w="2268" w:type="dxa"/>
            <w:tcBorders>
              <w:top w:val="single" w:color="000000" w:sz="4" w:space="0"/>
              <w:left w:val="nil"/>
              <w:bottom w:val="nil"/>
              <w:right w:val="nil"/>
            </w:tcBorders>
          </w:tcPr>
          <w:p w14:paraId="1457E349">
            <w:pPr>
              <w:spacing w:after="0" w:line="276" w:lineRule="auto"/>
              <w:ind w:left="60" w:right="60"/>
              <w:jc w:val="center"/>
            </w:pPr>
            <w:r>
              <w:t>67.0</w:t>
            </w:r>
          </w:p>
        </w:tc>
      </w:tr>
      <w:tr w14:paraId="40A47F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2D1D9F9D">
            <w:pPr>
              <w:widowControl w:val="0"/>
              <w:spacing w:after="0" w:line="360" w:lineRule="auto"/>
            </w:pPr>
          </w:p>
        </w:tc>
        <w:tc>
          <w:tcPr>
            <w:tcW w:w="1950" w:type="dxa"/>
            <w:tcBorders>
              <w:top w:val="nil"/>
              <w:left w:val="nil"/>
              <w:bottom w:val="nil"/>
              <w:right w:val="nil"/>
            </w:tcBorders>
          </w:tcPr>
          <w:p w14:paraId="64810C92">
            <w:pPr>
              <w:spacing w:after="0" w:line="276" w:lineRule="auto"/>
              <w:ind w:left="60" w:right="60"/>
              <w:jc w:val="center"/>
            </w:pPr>
            <w:r>
              <w:t>Agree</w:t>
            </w:r>
          </w:p>
        </w:tc>
        <w:tc>
          <w:tcPr>
            <w:tcW w:w="2409" w:type="dxa"/>
            <w:tcBorders>
              <w:top w:val="nil"/>
              <w:left w:val="nil"/>
              <w:bottom w:val="nil"/>
              <w:right w:val="nil"/>
            </w:tcBorders>
          </w:tcPr>
          <w:p w14:paraId="45CC2244">
            <w:pPr>
              <w:spacing w:after="0" w:line="276" w:lineRule="auto"/>
              <w:ind w:left="60" w:right="60"/>
              <w:jc w:val="center"/>
            </w:pPr>
            <w:r>
              <w:t>96</w:t>
            </w:r>
          </w:p>
        </w:tc>
        <w:tc>
          <w:tcPr>
            <w:tcW w:w="2268" w:type="dxa"/>
            <w:tcBorders>
              <w:top w:val="nil"/>
              <w:left w:val="nil"/>
              <w:bottom w:val="nil"/>
              <w:right w:val="nil"/>
            </w:tcBorders>
          </w:tcPr>
          <w:p w14:paraId="434B73C1">
            <w:pPr>
              <w:spacing w:after="0" w:line="276" w:lineRule="auto"/>
              <w:ind w:left="60" w:right="60"/>
              <w:jc w:val="center"/>
            </w:pPr>
            <w:r>
              <w:t>30.5</w:t>
            </w:r>
          </w:p>
        </w:tc>
      </w:tr>
      <w:tr w14:paraId="1CFE45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01CC14D2">
            <w:pPr>
              <w:widowControl w:val="0"/>
              <w:spacing w:after="0" w:line="360" w:lineRule="auto"/>
            </w:pPr>
          </w:p>
        </w:tc>
        <w:tc>
          <w:tcPr>
            <w:tcW w:w="1950" w:type="dxa"/>
            <w:tcBorders>
              <w:top w:val="nil"/>
              <w:left w:val="nil"/>
              <w:bottom w:val="nil"/>
              <w:right w:val="nil"/>
            </w:tcBorders>
          </w:tcPr>
          <w:p w14:paraId="0D47637B">
            <w:pPr>
              <w:spacing w:after="0" w:line="276" w:lineRule="auto"/>
              <w:ind w:left="60" w:right="60"/>
              <w:jc w:val="center"/>
            </w:pPr>
            <w:r>
              <w:t>Disagree</w:t>
            </w:r>
          </w:p>
        </w:tc>
        <w:tc>
          <w:tcPr>
            <w:tcW w:w="2409" w:type="dxa"/>
            <w:tcBorders>
              <w:top w:val="nil"/>
              <w:left w:val="nil"/>
              <w:bottom w:val="nil"/>
              <w:right w:val="nil"/>
            </w:tcBorders>
          </w:tcPr>
          <w:p w14:paraId="06C01917">
            <w:pPr>
              <w:spacing w:after="0" w:line="276" w:lineRule="auto"/>
              <w:ind w:left="60" w:right="60"/>
              <w:jc w:val="center"/>
            </w:pPr>
            <w:r>
              <w:t>7</w:t>
            </w:r>
          </w:p>
        </w:tc>
        <w:tc>
          <w:tcPr>
            <w:tcW w:w="2268" w:type="dxa"/>
            <w:tcBorders>
              <w:top w:val="nil"/>
              <w:left w:val="nil"/>
              <w:bottom w:val="nil"/>
              <w:right w:val="nil"/>
            </w:tcBorders>
          </w:tcPr>
          <w:p w14:paraId="128F42B1">
            <w:pPr>
              <w:spacing w:after="0" w:line="276" w:lineRule="auto"/>
              <w:ind w:left="60" w:right="60"/>
              <w:jc w:val="center"/>
            </w:pPr>
            <w:r>
              <w:t>2.2</w:t>
            </w:r>
          </w:p>
        </w:tc>
      </w:tr>
      <w:tr w14:paraId="353A2A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61BCA067">
            <w:pPr>
              <w:widowControl w:val="0"/>
              <w:spacing w:after="0" w:line="360" w:lineRule="auto"/>
            </w:pPr>
          </w:p>
        </w:tc>
        <w:tc>
          <w:tcPr>
            <w:tcW w:w="1950" w:type="dxa"/>
            <w:tcBorders>
              <w:top w:val="nil"/>
              <w:left w:val="nil"/>
              <w:bottom w:val="nil"/>
              <w:right w:val="nil"/>
            </w:tcBorders>
          </w:tcPr>
          <w:p w14:paraId="1C628103">
            <w:pPr>
              <w:spacing w:after="0" w:line="276" w:lineRule="auto"/>
              <w:ind w:left="60" w:right="60"/>
              <w:jc w:val="center"/>
            </w:pPr>
            <w:r>
              <w:t>Strongly Disagree</w:t>
            </w:r>
          </w:p>
        </w:tc>
        <w:tc>
          <w:tcPr>
            <w:tcW w:w="2409" w:type="dxa"/>
            <w:tcBorders>
              <w:top w:val="nil"/>
              <w:left w:val="nil"/>
              <w:bottom w:val="nil"/>
              <w:right w:val="nil"/>
            </w:tcBorders>
          </w:tcPr>
          <w:p w14:paraId="09FC11A8">
            <w:pPr>
              <w:spacing w:after="0" w:line="276" w:lineRule="auto"/>
              <w:ind w:left="60" w:right="60"/>
              <w:jc w:val="center"/>
            </w:pPr>
            <w:r>
              <w:t>1</w:t>
            </w:r>
          </w:p>
        </w:tc>
        <w:tc>
          <w:tcPr>
            <w:tcW w:w="2268" w:type="dxa"/>
            <w:tcBorders>
              <w:top w:val="nil"/>
              <w:left w:val="nil"/>
              <w:bottom w:val="nil"/>
              <w:right w:val="nil"/>
            </w:tcBorders>
          </w:tcPr>
          <w:p w14:paraId="263E0B09">
            <w:pPr>
              <w:spacing w:after="0" w:line="276" w:lineRule="auto"/>
              <w:ind w:left="60" w:right="60"/>
              <w:jc w:val="center"/>
            </w:pPr>
            <w:r>
              <w:t>.3</w:t>
            </w:r>
          </w:p>
        </w:tc>
      </w:tr>
      <w:tr w14:paraId="11B934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13707B8E">
            <w:pPr>
              <w:widowControl w:val="0"/>
              <w:spacing w:after="0" w:line="360" w:lineRule="auto"/>
            </w:pPr>
          </w:p>
        </w:tc>
        <w:tc>
          <w:tcPr>
            <w:tcW w:w="1950" w:type="dxa"/>
            <w:tcBorders>
              <w:top w:val="nil"/>
              <w:left w:val="nil"/>
              <w:bottom w:val="single" w:color="000000" w:sz="4" w:space="0"/>
              <w:right w:val="nil"/>
            </w:tcBorders>
          </w:tcPr>
          <w:p w14:paraId="5D40B872">
            <w:pPr>
              <w:spacing w:after="0" w:line="276" w:lineRule="auto"/>
              <w:ind w:left="60" w:right="60"/>
              <w:jc w:val="center"/>
              <w:rPr>
                <w:b/>
              </w:rPr>
            </w:pPr>
            <w:r>
              <w:rPr>
                <w:b/>
              </w:rPr>
              <w:t>Total</w:t>
            </w:r>
          </w:p>
        </w:tc>
        <w:tc>
          <w:tcPr>
            <w:tcW w:w="2409" w:type="dxa"/>
            <w:tcBorders>
              <w:top w:val="nil"/>
              <w:left w:val="nil"/>
              <w:bottom w:val="single" w:color="000000" w:sz="4" w:space="0"/>
              <w:right w:val="nil"/>
            </w:tcBorders>
          </w:tcPr>
          <w:p w14:paraId="16F0E0A8">
            <w:pPr>
              <w:spacing w:after="0" w:line="276" w:lineRule="auto"/>
              <w:ind w:left="60" w:right="60"/>
              <w:jc w:val="center"/>
              <w:rPr>
                <w:b/>
              </w:rPr>
            </w:pPr>
            <w:r>
              <w:rPr>
                <w:b/>
              </w:rPr>
              <w:t>315</w:t>
            </w:r>
          </w:p>
        </w:tc>
        <w:tc>
          <w:tcPr>
            <w:tcW w:w="2268" w:type="dxa"/>
            <w:tcBorders>
              <w:top w:val="nil"/>
              <w:left w:val="nil"/>
              <w:bottom w:val="single" w:color="000000" w:sz="4" w:space="0"/>
              <w:right w:val="nil"/>
            </w:tcBorders>
          </w:tcPr>
          <w:p w14:paraId="31E74E72">
            <w:pPr>
              <w:spacing w:after="0" w:line="276" w:lineRule="auto"/>
              <w:ind w:left="60" w:right="60"/>
              <w:jc w:val="center"/>
              <w:rPr>
                <w:b/>
              </w:rPr>
            </w:pPr>
            <w:r>
              <w:rPr>
                <w:b/>
              </w:rPr>
              <w:t>100.0</w:t>
            </w:r>
          </w:p>
        </w:tc>
      </w:tr>
    </w:tbl>
    <w:p w14:paraId="092D1C9C">
      <w:pPr>
        <w:spacing w:line="360" w:lineRule="auto"/>
        <w:rPr>
          <w:rFonts w:hint="default"/>
          <w:b/>
          <w:lang w:val="en-US"/>
        </w:rPr>
      </w:pPr>
      <w:r>
        <w:rPr>
          <w:b/>
        </w:rPr>
        <w:t>Field survey, 202</w:t>
      </w:r>
      <w:r>
        <w:rPr>
          <w:rFonts w:hint="default"/>
          <w:b/>
          <w:lang w:val="en-US"/>
        </w:rPr>
        <w:t>5</w:t>
      </w:r>
    </w:p>
    <w:p w14:paraId="22AF53DB">
      <w:pPr>
        <w:spacing w:line="480" w:lineRule="auto"/>
        <w:jc w:val="both"/>
      </w:pPr>
      <w:bookmarkStart w:id="45" w:name="_heading=h.1y810tw" w:colFirst="0" w:colLast="0"/>
      <w:bookmarkEnd w:id="45"/>
      <w:r>
        <w:t xml:space="preserve">The result above revealed that a significant majority of the respondents 97.5% (N=307) agreed that they can launch any of the web browsers while 2.5% disagreed. This implies that majority of the respondents can download files and images from a webpage. </w:t>
      </w:r>
    </w:p>
    <w:p w14:paraId="3B30C177">
      <w:pPr>
        <w:spacing w:line="480" w:lineRule="auto"/>
      </w:pPr>
      <w:r>
        <w:rPr>
          <w:b/>
        </w:rPr>
        <w:t>Presentation of Data on ICT skills acquisition</w:t>
      </w:r>
    </w:p>
    <w:tbl>
      <w:tblPr>
        <w:tblStyle w:val="64"/>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233"/>
        <w:gridCol w:w="2268"/>
        <w:gridCol w:w="2126"/>
        <w:gridCol w:w="292"/>
      </w:tblGrid>
      <w:tr w14:paraId="786F91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587AC1F4">
            <w:pPr>
              <w:spacing w:after="0" w:line="480" w:lineRule="auto"/>
              <w:ind w:left="60" w:right="60"/>
            </w:pPr>
            <w:r>
              <w:rPr>
                <w:b/>
              </w:rPr>
              <w:t>Table 4.11: It was integrated into my course of study at the university</w:t>
            </w:r>
          </w:p>
        </w:tc>
      </w:tr>
      <w:tr w14:paraId="69C684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977" w:type="dxa"/>
            <w:gridSpan w:val="2"/>
            <w:tcBorders>
              <w:top w:val="single" w:color="000000" w:sz="4" w:space="0"/>
              <w:left w:val="nil"/>
              <w:bottom w:val="single" w:color="000000" w:sz="4" w:space="0"/>
              <w:right w:val="nil"/>
            </w:tcBorders>
            <w:vAlign w:val="bottom"/>
          </w:tcPr>
          <w:p w14:paraId="6B3439C4">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4D98FCBA">
            <w:pPr>
              <w:spacing w:after="0" w:line="360" w:lineRule="auto"/>
              <w:ind w:left="60" w:right="60"/>
              <w:jc w:val="center"/>
              <w:rPr>
                <w:b/>
              </w:rPr>
            </w:pPr>
            <w:r>
              <w:rPr>
                <w:b/>
              </w:rPr>
              <w:t>Frequency</w:t>
            </w:r>
          </w:p>
        </w:tc>
        <w:tc>
          <w:tcPr>
            <w:tcW w:w="2126" w:type="dxa"/>
            <w:tcBorders>
              <w:top w:val="single" w:color="000000" w:sz="4" w:space="0"/>
              <w:left w:val="nil"/>
              <w:bottom w:val="single" w:color="000000" w:sz="4" w:space="0"/>
              <w:right w:val="nil"/>
            </w:tcBorders>
            <w:vAlign w:val="bottom"/>
          </w:tcPr>
          <w:p w14:paraId="01245466">
            <w:pPr>
              <w:spacing w:after="0" w:line="360" w:lineRule="auto"/>
              <w:ind w:left="60" w:right="60"/>
              <w:jc w:val="center"/>
              <w:rPr>
                <w:b/>
              </w:rPr>
            </w:pPr>
            <w:r>
              <w:rPr>
                <w:b/>
              </w:rPr>
              <w:t>Percent</w:t>
            </w:r>
          </w:p>
        </w:tc>
      </w:tr>
      <w:tr w14:paraId="0B6897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7FE74B72">
            <w:pPr>
              <w:spacing w:after="0" w:line="360" w:lineRule="auto"/>
              <w:ind w:left="60" w:right="60"/>
              <w:jc w:val="center"/>
            </w:pPr>
          </w:p>
        </w:tc>
        <w:tc>
          <w:tcPr>
            <w:tcW w:w="2233" w:type="dxa"/>
            <w:tcBorders>
              <w:top w:val="single" w:color="000000" w:sz="4" w:space="0"/>
              <w:left w:val="nil"/>
              <w:bottom w:val="nil"/>
              <w:right w:val="nil"/>
            </w:tcBorders>
          </w:tcPr>
          <w:p w14:paraId="674652AB">
            <w:pPr>
              <w:spacing w:after="0" w:line="360" w:lineRule="auto"/>
              <w:ind w:left="60" w:right="60"/>
              <w:jc w:val="center"/>
            </w:pPr>
            <w:r>
              <w:t>Strongly Agree</w:t>
            </w:r>
          </w:p>
        </w:tc>
        <w:tc>
          <w:tcPr>
            <w:tcW w:w="2268" w:type="dxa"/>
            <w:tcBorders>
              <w:top w:val="single" w:color="000000" w:sz="4" w:space="0"/>
              <w:left w:val="nil"/>
              <w:bottom w:val="nil"/>
              <w:right w:val="nil"/>
            </w:tcBorders>
          </w:tcPr>
          <w:p w14:paraId="0FDE4683">
            <w:pPr>
              <w:spacing w:after="0" w:line="360" w:lineRule="auto"/>
              <w:ind w:left="60" w:right="60"/>
              <w:jc w:val="center"/>
            </w:pPr>
            <w:r>
              <w:t>48</w:t>
            </w:r>
          </w:p>
        </w:tc>
        <w:tc>
          <w:tcPr>
            <w:tcW w:w="2126" w:type="dxa"/>
            <w:tcBorders>
              <w:top w:val="single" w:color="000000" w:sz="4" w:space="0"/>
              <w:left w:val="nil"/>
              <w:bottom w:val="nil"/>
              <w:right w:val="nil"/>
            </w:tcBorders>
          </w:tcPr>
          <w:p w14:paraId="5D43C1A4">
            <w:pPr>
              <w:spacing w:after="0" w:line="360" w:lineRule="auto"/>
              <w:ind w:left="60" w:right="60"/>
              <w:jc w:val="center"/>
            </w:pPr>
            <w:r>
              <w:t>15.2</w:t>
            </w:r>
          </w:p>
        </w:tc>
      </w:tr>
      <w:tr w14:paraId="1739A1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4681664C">
            <w:pPr>
              <w:widowControl w:val="0"/>
              <w:spacing w:after="0" w:line="360" w:lineRule="auto"/>
            </w:pPr>
          </w:p>
        </w:tc>
        <w:tc>
          <w:tcPr>
            <w:tcW w:w="2233" w:type="dxa"/>
            <w:tcBorders>
              <w:top w:val="nil"/>
              <w:left w:val="nil"/>
              <w:bottom w:val="nil"/>
              <w:right w:val="nil"/>
            </w:tcBorders>
          </w:tcPr>
          <w:p w14:paraId="6D3E5F14">
            <w:pPr>
              <w:spacing w:after="0" w:line="360" w:lineRule="auto"/>
              <w:ind w:left="60" w:right="60"/>
              <w:jc w:val="center"/>
            </w:pPr>
            <w:r>
              <w:t>Agree</w:t>
            </w:r>
          </w:p>
        </w:tc>
        <w:tc>
          <w:tcPr>
            <w:tcW w:w="2268" w:type="dxa"/>
            <w:tcBorders>
              <w:top w:val="nil"/>
              <w:left w:val="nil"/>
              <w:bottom w:val="nil"/>
              <w:right w:val="nil"/>
            </w:tcBorders>
          </w:tcPr>
          <w:p w14:paraId="0CD26A92">
            <w:pPr>
              <w:spacing w:after="0" w:line="360" w:lineRule="auto"/>
              <w:ind w:left="60" w:right="60"/>
              <w:jc w:val="center"/>
            </w:pPr>
            <w:r>
              <w:t>72</w:t>
            </w:r>
          </w:p>
        </w:tc>
        <w:tc>
          <w:tcPr>
            <w:tcW w:w="2126" w:type="dxa"/>
            <w:tcBorders>
              <w:top w:val="nil"/>
              <w:left w:val="nil"/>
              <w:bottom w:val="nil"/>
              <w:right w:val="nil"/>
            </w:tcBorders>
          </w:tcPr>
          <w:p w14:paraId="7F4F1084">
            <w:pPr>
              <w:spacing w:after="0" w:line="360" w:lineRule="auto"/>
              <w:ind w:left="60" w:right="60"/>
              <w:jc w:val="center"/>
            </w:pPr>
            <w:r>
              <w:t>22.9</w:t>
            </w:r>
          </w:p>
        </w:tc>
      </w:tr>
      <w:tr w14:paraId="56311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1907976A">
            <w:pPr>
              <w:widowControl w:val="0"/>
              <w:spacing w:after="0" w:line="360" w:lineRule="auto"/>
            </w:pPr>
          </w:p>
        </w:tc>
        <w:tc>
          <w:tcPr>
            <w:tcW w:w="2233" w:type="dxa"/>
            <w:tcBorders>
              <w:top w:val="nil"/>
              <w:left w:val="nil"/>
              <w:bottom w:val="nil"/>
              <w:right w:val="nil"/>
            </w:tcBorders>
          </w:tcPr>
          <w:p w14:paraId="53487BB3">
            <w:pPr>
              <w:spacing w:after="0" w:line="360" w:lineRule="auto"/>
              <w:ind w:left="60" w:right="60"/>
              <w:jc w:val="center"/>
            </w:pPr>
            <w:r>
              <w:t>Disagree</w:t>
            </w:r>
          </w:p>
        </w:tc>
        <w:tc>
          <w:tcPr>
            <w:tcW w:w="2268" w:type="dxa"/>
            <w:tcBorders>
              <w:top w:val="nil"/>
              <w:left w:val="nil"/>
              <w:bottom w:val="nil"/>
              <w:right w:val="nil"/>
            </w:tcBorders>
          </w:tcPr>
          <w:p w14:paraId="1EBE52BA">
            <w:pPr>
              <w:spacing w:after="0" w:line="360" w:lineRule="auto"/>
              <w:ind w:left="60" w:right="60"/>
              <w:jc w:val="center"/>
            </w:pPr>
            <w:r>
              <w:t>95</w:t>
            </w:r>
          </w:p>
        </w:tc>
        <w:tc>
          <w:tcPr>
            <w:tcW w:w="2126" w:type="dxa"/>
            <w:tcBorders>
              <w:top w:val="nil"/>
              <w:left w:val="nil"/>
              <w:bottom w:val="nil"/>
              <w:right w:val="nil"/>
            </w:tcBorders>
          </w:tcPr>
          <w:p w14:paraId="0678751A">
            <w:pPr>
              <w:spacing w:after="0" w:line="360" w:lineRule="auto"/>
              <w:ind w:left="60" w:right="60"/>
              <w:jc w:val="center"/>
            </w:pPr>
            <w:r>
              <w:t>30.2</w:t>
            </w:r>
          </w:p>
        </w:tc>
      </w:tr>
      <w:tr w14:paraId="556ED0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35463E33">
            <w:pPr>
              <w:widowControl w:val="0"/>
              <w:spacing w:after="0" w:line="360" w:lineRule="auto"/>
            </w:pPr>
          </w:p>
        </w:tc>
        <w:tc>
          <w:tcPr>
            <w:tcW w:w="2233" w:type="dxa"/>
            <w:tcBorders>
              <w:top w:val="nil"/>
              <w:left w:val="nil"/>
              <w:bottom w:val="nil"/>
              <w:right w:val="nil"/>
            </w:tcBorders>
          </w:tcPr>
          <w:p w14:paraId="62CCFDEC">
            <w:pPr>
              <w:spacing w:after="0" w:line="360" w:lineRule="auto"/>
              <w:ind w:left="60" w:right="60"/>
              <w:jc w:val="center"/>
            </w:pPr>
            <w:r>
              <w:t>Strongly Disagree</w:t>
            </w:r>
          </w:p>
        </w:tc>
        <w:tc>
          <w:tcPr>
            <w:tcW w:w="2268" w:type="dxa"/>
            <w:tcBorders>
              <w:top w:val="nil"/>
              <w:left w:val="nil"/>
              <w:bottom w:val="nil"/>
              <w:right w:val="nil"/>
            </w:tcBorders>
          </w:tcPr>
          <w:p w14:paraId="6D3626F1">
            <w:pPr>
              <w:spacing w:after="0" w:line="360" w:lineRule="auto"/>
              <w:ind w:left="60" w:right="60"/>
              <w:jc w:val="center"/>
            </w:pPr>
            <w:r>
              <w:t>100</w:t>
            </w:r>
          </w:p>
        </w:tc>
        <w:tc>
          <w:tcPr>
            <w:tcW w:w="2126" w:type="dxa"/>
            <w:tcBorders>
              <w:top w:val="nil"/>
              <w:left w:val="nil"/>
              <w:bottom w:val="nil"/>
              <w:right w:val="nil"/>
            </w:tcBorders>
          </w:tcPr>
          <w:p w14:paraId="5180CE15">
            <w:pPr>
              <w:spacing w:after="0" w:line="360" w:lineRule="auto"/>
              <w:ind w:left="60" w:right="60"/>
              <w:jc w:val="center"/>
            </w:pPr>
            <w:r>
              <w:t>31.7</w:t>
            </w:r>
          </w:p>
        </w:tc>
      </w:tr>
      <w:tr w14:paraId="0C88E3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single" w:color="auto" w:sz="4" w:space="0"/>
              <w:right w:val="nil"/>
            </w:tcBorders>
          </w:tcPr>
          <w:p w14:paraId="17313794">
            <w:pPr>
              <w:widowControl w:val="0"/>
              <w:spacing w:after="0" w:line="360" w:lineRule="auto"/>
            </w:pPr>
          </w:p>
        </w:tc>
        <w:tc>
          <w:tcPr>
            <w:tcW w:w="2233" w:type="dxa"/>
            <w:tcBorders>
              <w:top w:val="nil"/>
              <w:left w:val="nil"/>
              <w:bottom w:val="single" w:color="auto" w:sz="4" w:space="0"/>
              <w:right w:val="nil"/>
            </w:tcBorders>
          </w:tcPr>
          <w:p w14:paraId="562DF7F7">
            <w:pPr>
              <w:spacing w:after="0" w:line="360" w:lineRule="auto"/>
              <w:ind w:left="60" w:right="60"/>
              <w:jc w:val="center"/>
              <w:rPr>
                <w:b/>
              </w:rPr>
            </w:pPr>
            <w:r>
              <w:rPr>
                <w:b/>
              </w:rPr>
              <w:t>Total</w:t>
            </w:r>
          </w:p>
        </w:tc>
        <w:tc>
          <w:tcPr>
            <w:tcW w:w="2268" w:type="dxa"/>
            <w:tcBorders>
              <w:top w:val="nil"/>
              <w:left w:val="nil"/>
              <w:bottom w:val="single" w:color="000000" w:sz="4" w:space="0"/>
              <w:right w:val="nil"/>
            </w:tcBorders>
          </w:tcPr>
          <w:p w14:paraId="3C8E9858">
            <w:pPr>
              <w:spacing w:after="0" w:line="360" w:lineRule="auto"/>
              <w:ind w:left="60" w:right="60"/>
              <w:jc w:val="center"/>
              <w:rPr>
                <w:b/>
              </w:rPr>
            </w:pPr>
            <w:r>
              <w:rPr>
                <w:b/>
              </w:rPr>
              <w:t>315</w:t>
            </w:r>
          </w:p>
        </w:tc>
        <w:tc>
          <w:tcPr>
            <w:tcW w:w="2126" w:type="dxa"/>
            <w:tcBorders>
              <w:top w:val="nil"/>
              <w:left w:val="nil"/>
              <w:bottom w:val="single" w:color="000000" w:sz="4" w:space="0"/>
              <w:right w:val="nil"/>
            </w:tcBorders>
          </w:tcPr>
          <w:p w14:paraId="45774B19">
            <w:pPr>
              <w:spacing w:after="0" w:line="360" w:lineRule="auto"/>
              <w:ind w:left="60" w:right="60"/>
              <w:jc w:val="center"/>
              <w:rPr>
                <w:b/>
              </w:rPr>
            </w:pPr>
            <w:r>
              <w:rPr>
                <w:b/>
              </w:rPr>
              <w:t>100.0</w:t>
            </w:r>
          </w:p>
        </w:tc>
      </w:tr>
    </w:tbl>
    <w:p w14:paraId="7A9955D7">
      <w:pPr>
        <w:spacing w:line="360" w:lineRule="auto"/>
        <w:jc w:val="both"/>
        <w:rPr>
          <w:rFonts w:hint="default"/>
          <w:b/>
          <w:lang w:val="en-US"/>
        </w:rPr>
      </w:pPr>
      <w:r>
        <w:rPr>
          <w:b/>
        </w:rPr>
        <w:t>Field survey, 202</w:t>
      </w:r>
      <w:r>
        <w:rPr>
          <w:rFonts w:hint="default"/>
          <w:b/>
          <w:lang w:val="en-US"/>
        </w:rPr>
        <w:t>5</w:t>
      </w:r>
    </w:p>
    <w:p w14:paraId="677F15C9">
      <w:pPr>
        <w:spacing w:line="480" w:lineRule="auto"/>
        <w:jc w:val="both"/>
      </w:pPr>
      <w:bookmarkStart w:id="46" w:name="_heading=h.4i7ojhp" w:colFirst="0" w:colLast="0"/>
      <w:bookmarkEnd w:id="46"/>
      <w:r>
        <w:t>Table 13 revealed that majority of the respondents 61.9% representing (N=195) disagreed with the fact that ICT skills acquisition was integrated into their course of study at the university while 38.1% stated otherwise. This means that majority of the respondents acknowledged that ICT skills acquisition is not integrated into their course of study at the university.</w:t>
      </w:r>
    </w:p>
    <w:tbl>
      <w:tblPr>
        <w:tblStyle w:val="65"/>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1985"/>
        <w:gridCol w:w="2551"/>
        <w:gridCol w:w="292"/>
      </w:tblGrid>
      <w:tr w14:paraId="1C88B8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1173A374">
            <w:pPr>
              <w:spacing w:after="0" w:line="240" w:lineRule="auto"/>
              <w:ind w:left="60" w:right="60"/>
              <w:jc w:val="both"/>
              <w:rPr>
                <w:b/>
              </w:rPr>
            </w:pPr>
          </w:p>
          <w:p w14:paraId="1C524E0B">
            <w:pPr>
              <w:spacing w:after="0" w:line="480" w:lineRule="auto"/>
              <w:ind w:left="60" w:right="60"/>
              <w:jc w:val="both"/>
            </w:pPr>
            <w:r>
              <w:rPr>
                <w:b/>
              </w:rPr>
              <w:t>Table 4.12: In other courses studied outside the university</w:t>
            </w:r>
          </w:p>
        </w:tc>
      </w:tr>
      <w:tr w14:paraId="16CBE2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835" w:type="dxa"/>
            <w:gridSpan w:val="2"/>
            <w:tcBorders>
              <w:top w:val="single" w:color="000000" w:sz="4" w:space="0"/>
              <w:left w:val="nil"/>
              <w:bottom w:val="single" w:color="000000" w:sz="4" w:space="0"/>
              <w:right w:val="nil"/>
            </w:tcBorders>
            <w:vAlign w:val="bottom"/>
          </w:tcPr>
          <w:p w14:paraId="441F36DA">
            <w:pPr>
              <w:spacing w:after="0" w:line="360" w:lineRule="auto"/>
              <w:jc w:val="center"/>
              <w:rPr>
                <w:b/>
              </w:rPr>
            </w:pPr>
          </w:p>
        </w:tc>
        <w:tc>
          <w:tcPr>
            <w:tcW w:w="1985" w:type="dxa"/>
            <w:tcBorders>
              <w:top w:val="single" w:color="000000" w:sz="4" w:space="0"/>
              <w:left w:val="nil"/>
              <w:bottom w:val="single" w:color="000000" w:sz="4" w:space="0"/>
              <w:right w:val="nil"/>
            </w:tcBorders>
            <w:vAlign w:val="bottom"/>
          </w:tcPr>
          <w:p w14:paraId="7C881E89">
            <w:pPr>
              <w:spacing w:after="0" w:line="360" w:lineRule="auto"/>
              <w:ind w:left="60" w:right="60"/>
              <w:jc w:val="center"/>
              <w:rPr>
                <w:b/>
              </w:rPr>
            </w:pPr>
            <w:r>
              <w:rPr>
                <w:b/>
              </w:rPr>
              <w:t>Frequency</w:t>
            </w:r>
          </w:p>
        </w:tc>
        <w:tc>
          <w:tcPr>
            <w:tcW w:w="2551" w:type="dxa"/>
            <w:tcBorders>
              <w:top w:val="single" w:color="000000" w:sz="4" w:space="0"/>
              <w:left w:val="nil"/>
              <w:bottom w:val="single" w:color="000000" w:sz="4" w:space="0"/>
              <w:right w:val="nil"/>
            </w:tcBorders>
            <w:vAlign w:val="bottom"/>
          </w:tcPr>
          <w:p w14:paraId="0D0869B4">
            <w:pPr>
              <w:spacing w:after="0" w:line="360" w:lineRule="auto"/>
              <w:ind w:left="60" w:right="60"/>
              <w:jc w:val="center"/>
              <w:rPr>
                <w:b/>
              </w:rPr>
            </w:pPr>
            <w:r>
              <w:rPr>
                <w:b/>
              </w:rPr>
              <w:t>Percent</w:t>
            </w:r>
          </w:p>
        </w:tc>
      </w:tr>
      <w:tr w14:paraId="028AD2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26C2E65A">
            <w:pPr>
              <w:spacing w:after="0" w:line="360" w:lineRule="auto"/>
              <w:ind w:left="60" w:right="60"/>
              <w:jc w:val="center"/>
            </w:pPr>
          </w:p>
        </w:tc>
        <w:tc>
          <w:tcPr>
            <w:tcW w:w="2091" w:type="dxa"/>
            <w:tcBorders>
              <w:top w:val="single" w:color="000000" w:sz="4" w:space="0"/>
              <w:left w:val="nil"/>
              <w:bottom w:val="nil"/>
              <w:right w:val="nil"/>
            </w:tcBorders>
          </w:tcPr>
          <w:p w14:paraId="1E0BE1B1">
            <w:pPr>
              <w:spacing w:after="0" w:line="360" w:lineRule="auto"/>
              <w:ind w:left="60" w:right="60"/>
              <w:jc w:val="center"/>
            </w:pPr>
            <w:r>
              <w:t>Strongly Agree</w:t>
            </w:r>
          </w:p>
        </w:tc>
        <w:tc>
          <w:tcPr>
            <w:tcW w:w="1985" w:type="dxa"/>
            <w:tcBorders>
              <w:top w:val="single" w:color="000000" w:sz="4" w:space="0"/>
              <w:left w:val="nil"/>
              <w:bottom w:val="nil"/>
              <w:right w:val="nil"/>
            </w:tcBorders>
          </w:tcPr>
          <w:p w14:paraId="48DDF25B">
            <w:pPr>
              <w:spacing w:after="0" w:line="360" w:lineRule="auto"/>
              <w:ind w:left="60" w:right="60"/>
              <w:jc w:val="center"/>
            </w:pPr>
            <w:r>
              <w:t>97</w:t>
            </w:r>
          </w:p>
        </w:tc>
        <w:tc>
          <w:tcPr>
            <w:tcW w:w="2551" w:type="dxa"/>
            <w:tcBorders>
              <w:top w:val="single" w:color="000000" w:sz="4" w:space="0"/>
              <w:left w:val="nil"/>
              <w:bottom w:val="nil"/>
              <w:right w:val="nil"/>
            </w:tcBorders>
          </w:tcPr>
          <w:p w14:paraId="05A76999">
            <w:pPr>
              <w:spacing w:after="0" w:line="360" w:lineRule="auto"/>
              <w:ind w:left="60" w:right="60"/>
              <w:jc w:val="center"/>
            </w:pPr>
            <w:r>
              <w:t>30.8</w:t>
            </w:r>
          </w:p>
        </w:tc>
      </w:tr>
      <w:tr w14:paraId="07A0F6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22BD0987">
            <w:pPr>
              <w:widowControl w:val="0"/>
              <w:spacing w:after="0" w:line="360" w:lineRule="auto"/>
            </w:pPr>
          </w:p>
        </w:tc>
        <w:tc>
          <w:tcPr>
            <w:tcW w:w="2091" w:type="dxa"/>
            <w:tcBorders>
              <w:top w:val="nil"/>
              <w:left w:val="nil"/>
              <w:bottom w:val="nil"/>
              <w:right w:val="nil"/>
            </w:tcBorders>
          </w:tcPr>
          <w:p w14:paraId="49233565">
            <w:pPr>
              <w:spacing w:after="0" w:line="360" w:lineRule="auto"/>
              <w:ind w:left="60" w:right="60"/>
              <w:jc w:val="center"/>
            </w:pPr>
            <w:r>
              <w:t>Agree</w:t>
            </w:r>
          </w:p>
        </w:tc>
        <w:tc>
          <w:tcPr>
            <w:tcW w:w="1985" w:type="dxa"/>
            <w:tcBorders>
              <w:top w:val="nil"/>
              <w:left w:val="nil"/>
              <w:bottom w:val="nil"/>
              <w:right w:val="nil"/>
            </w:tcBorders>
          </w:tcPr>
          <w:p w14:paraId="66C43AC2">
            <w:pPr>
              <w:spacing w:after="0" w:line="360" w:lineRule="auto"/>
              <w:ind w:left="60" w:right="60"/>
              <w:jc w:val="center"/>
            </w:pPr>
            <w:r>
              <w:t>85</w:t>
            </w:r>
          </w:p>
        </w:tc>
        <w:tc>
          <w:tcPr>
            <w:tcW w:w="2551" w:type="dxa"/>
            <w:tcBorders>
              <w:top w:val="nil"/>
              <w:left w:val="nil"/>
              <w:bottom w:val="nil"/>
              <w:right w:val="nil"/>
            </w:tcBorders>
          </w:tcPr>
          <w:p w14:paraId="110F00DE">
            <w:pPr>
              <w:spacing w:after="0" w:line="360" w:lineRule="auto"/>
              <w:ind w:left="60" w:right="60"/>
              <w:jc w:val="center"/>
            </w:pPr>
            <w:r>
              <w:t>27.0</w:t>
            </w:r>
          </w:p>
        </w:tc>
      </w:tr>
      <w:tr w14:paraId="09C233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452517C1">
            <w:pPr>
              <w:widowControl w:val="0"/>
              <w:spacing w:after="0" w:line="360" w:lineRule="auto"/>
            </w:pPr>
          </w:p>
        </w:tc>
        <w:tc>
          <w:tcPr>
            <w:tcW w:w="2091" w:type="dxa"/>
            <w:tcBorders>
              <w:top w:val="nil"/>
              <w:left w:val="nil"/>
              <w:bottom w:val="nil"/>
              <w:right w:val="nil"/>
            </w:tcBorders>
          </w:tcPr>
          <w:p w14:paraId="3B0D2214">
            <w:pPr>
              <w:spacing w:after="0" w:line="360" w:lineRule="auto"/>
              <w:ind w:left="60" w:right="60"/>
              <w:jc w:val="center"/>
            </w:pPr>
            <w:r>
              <w:t>Disagree</w:t>
            </w:r>
          </w:p>
        </w:tc>
        <w:tc>
          <w:tcPr>
            <w:tcW w:w="1985" w:type="dxa"/>
            <w:tcBorders>
              <w:top w:val="nil"/>
              <w:left w:val="nil"/>
              <w:bottom w:val="nil"/>
              <w:right w:val="nil"/>
            </w:tcBorders>
          </w:tcPr>
          <w:p w14:paraId="01E12060">
            <w:pPr>
              <w:spacing w:after="0" w:line="360" w:lineRule="auto"/>
              <w:ind w:left="60" w:right="60"/>
              <w:jc w:val="center"/>
            </w:pPr>
            <w:r>
              <w:t>71</w:t>
            </w:r>
          </w:p>
        </w:tc>
        <w:tc>
          <w:tcPr>
            <w:tcW w:w="2551" w:type="dxa"/>
            <w:tcBorders>
              <w:top w:val="nil"/>
              <w:left w:val="nil"/>
              <w:bottom w:val="nil"/>
              <w:right w:val="nil"/>
            </w:tcBorders>
          </w:tcPr>
          <w:p w14:paraId="34A3C4D0">
            <w:pPr>
              <w:spacing w:after="0" w:line="360" w:lineRule="auto"/>
              <w:ind w:left="60" w:right="60"/>
              <w:jc w:val="center"/>
            </w:pPr>
            <w:r>
              <w:t>22.5</w:t>
            </w:r>
          </w:p>
        </w:tc>
      </w:tr>
      <w:tr w14:paraId="06421B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Height w:val="70" w:hRule="atLeast"/>
        </w:trPr>
        <w:tc>
          <w:tcPr>
            <w:tcW w:w="744" w:type="dxa"/>
            <w:vMerge w:val="continue"/>
            <w:tcBorders>
              <w:top w:val="single" w:color="000000" w:sz="4" w:space="0"/>
              <w:left w:val="nil"/>
              <w:bottom w:val="nil"/>
              <w:right w:val="nil"/>
            </w:tcBorders>
          </w:tcPr>
          <w:p w14:paraId="7A3B1770">
            <w:pPr>
              <w:widowControl w:val="0"/>
              <w:spacing w:after="0" w:line="360" w:lineRule="auto"/>
            </w:pPr>
          </w:p>
        </w:tc>
        <w:tc>
          <w:tcPr>
            <w:tcW w:w="2091" w:type="dxa"/>
            <w:tcBorders>
              <w:top w:val="nil"/>
              <w:left w:val="nil"/>
              <w:bottom w:val="nil"/>
              <w:right w:val="nil"/>
            </w:tcBorders>
          </w:tcPr>
          <w:p w14:paraId="47FF0ACA">
            <w:pPr>
              <w:spacing w:after="0" w:line="360" w:lineRule="auto"/>
              <w:ind w:left="60" w:right="60"/>
              <w:jc w:val="center"/>
            </w:pPr>
            <w:r>
              <w:t>Strongly Disagree</w:t>
            </w:r>
          </w:p>
        </w:tc>
        <w:tc>
          <w:tcPr>
            <w:tcW w:w="1985" w:type="dxa"/>
            <w:tcBorders>
              <w:top w:val="nil"/>
              <w:left w:val="nil"/>
              <w:bottom w:val="nil"/>
              <w:right w:val="nil"/>
            </w:tcBorders>
          </w:tcPr>
          <w:p w14:paraId="1E4DBED4">
            <w:pPr>
              <w:spacing w:after="0" w:line="360" w:lineRule="auto"/>
              <w:ind w:left="60" w:right="60"/>
              <w:jc w:val="center"/>
            </w:pPr>
            <w:r>
              <w:t>62</w:t>
            </w:r>
          </w:p>
        </w:tc>
        <w:tc>
          <w:tcPr>
            <w:tcW w:w="2551" w:type="dxa"/>
            <w:tcBorders>
              <w:top w:val="nil"/>
              <w:left w:val="nil"/>
              <w:bottom w:val="nil"/>
              <w:right w:val="nil"/>
            </w:tcBorders>
          </w:tcPr>
          <w:p w14:paraId="279E7D85">
            <w:pPr>
              <w:spacing w:after="0" w:line="360" w:lineRule="auto"/>
              <w:ind w:left="60" w:right="60"/>
              <w:jc w:val="center"/>
            </w:pPr>
            <w:r>
              <w:t>19.7</w:t>
            </w:r>
          </w:p>
        </w:tc>
      </w:tr>
      <w:tr w14:paraId="3081C0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single" w:color="auto" w:sz="4" w:space="0"/>
              <w:right w:val="nil"/>
            </w:tcBorders>
          </w:tcPr>
          <w:p w14:paraId="3117833A">
            <w:pPr>
              <w:widowControl w:val="0"/>
              <w:spacing w:after="0" w:line="360" w:lineRule="auto"/>
            </w:pPr>
          </w:p>
        </w:tc>
        <w:tc>
          <w:tcPr>
            <w:tcW w:w="2091" w:type="dxa"/>
            <w:tcBorders>
              <w:top w:val="nil"/>
              <w:left w:val="nil"/>
              <w:bottom w:val="single" w:color="auto" w:sz="4" w:space="0"/>
              <w:right w:val="nil"/>
            </w:tcBorders>
          </w:tcPr>
          <w:p w14:paraId="6E12116C">
            <w:pPr>
              <w:spacing w:after="0" w:line="360" w:lineRule="auto"/>
              <w:ind w:left="60" w:right="60"/>
              <w:jc w:val="center"/>
              <w:rPr>
                <w:b/>
              </w:rPr>
            </w:pPr>
            <w:r>
              <w:rPr>
                <w:b/>
              </w:rPr>
              <w:t>Total</w:t>
            </w:r>
          </w:p>
        </w:tc>
        <w:tc>
          <w:tcPr>
            <w:tcW w:w="1985" w:type="dxa"/>
            <w:tcBorders>
              <w:top w:val="nil"/>
              <w:left w:val="nil"/>
              <w:bottom w:val="single" w:color="000000" w:sz="4" w:space="0"/>
              <w:right w:val="nil"/>
            </w:tcBorders>
          </w:tcPr>
          <w:p w14:paraId="463355C5">
            <w:pPr>
              <w:spacing w:after="0" w:line="360" w:lineRule="auto"/>
              <w:ind w:left="60" w:right="60"/>
              <w:jc w:val="center"/>
              <w:rPr>
                <w:b/>
              </w:rPr>
            </w:pPr>
            <w:r>
              <w:rPr>
                <w:b/>
              </w:rPr>
              <w:t>315</w:t>
            </w:r>
          </w:p>
        </w:tc>
        <w:tc>
          <w:tcPr>
            <w:tcW w:w="2551" w:type="dxa"/>
            <w:tcBorders>
              <w:top w:val="nil"/>
              <w:left w:val="nil"/>
              <w:bottom w:val="single" w:color="000000" w:sz="4" w:space="0"/>
              <w:right w:val="nil"/>
            </w:tcBorders>
          </w:tcPr>
          <w:p w14:paraId="3A6E3205">
            <w:pPr>
              <w:spacing w:after="0" w:line="360" w:lineRule="auto"/>
              <w:ind w:left="60" w:right="60"/>
              <w:jc w:val="center"/>
              <w:rPr>
                <w:b/>
              </w:rPr>
            </w:pPr>
            <w:r>
              <w:rPr>
                <w:b/>
              </w:rPr>
              <w:t>100.0</w:t>
            </w:r>
          </w:p>
        </w:tc>
      </w:tr>
    </w:tbl>
    <w:p w14:paraId="7CBA7B85">
      <w:pPr>
        <w:spacing w:line="480" w:lineRule="auto"/>
        <w:rPr>
          <w:rFonts w:hint="default"/>
          <w:b/>
          <w:lang w:val="en-US"/>
        </w:rPr>
      </w:pPr>
      <w:r>
        <w:rPr>
          <w:b/>
        </w:rPr>
        <w:t>Field survey, 202</w:t>
      </w:r>
      <w:r>
        <w:rPr>
          <w:rFonts w:hint="default"/>
          <w:b/>
          <w:lang w:val="en-US"/>
        </w:rPr>
        <w:t>5</w:t>
      </w:r>
    </w:p>
    <w:p w14:paraId="192196B4">
      <w:pPr>
        <w:spacing w:line="480" w:lineRule="auto"/>
        <w:jc w:val="both"/>
      </w:pPr>
      <w:bookmarkStart w:id="47" w:name="_heading=h.2xcytpi" w:colFirst="0" w:colLast="0"/>
      <w:bookmarkEnd w:id="47"/>
      <w:r>
        <w:t>Table 14 shows that majority of the respondents 57.8% representing (N=182) agreed that they acquired ICT skills through other courses they studied outside the university while 42.2% disagreed. This means that more than half of the respondents acquired ICT skills through courses outside the university.</w:t>
      </w:r>
    </w:p>
    <w:tbl>
      <w:tblPr>
        <w:tblStyle w:val="66"/>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1950"/>
        <w:gridCol w:w="2409"/>
        <w:gridCol w:w="2268"/>
        <w:gridCol w:w="292"/>
      </w:tblGrid>
      <w:tr w14:paraId="4EB7C7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389F34C2">
            <w:pPr>
              <w:spacing w:after="0" w:line="480" w:lineRule="auto"/>
              <w:ind w:left="60" w:right="60"/>
            </w:pPr>
            <w:r>
              <w:rPr>
                <w:b/>
              </w:rPr>
              <w:t>Table 4.13: Self-taught with manuals and handbooks</w:t>
            </w:r>
          </w:p>
        </w:tc>
      </w:tr>
      <w:tr w14:paraId="01D02C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694" w:type="dxa"/>
            <w:gridSpan w:val="2"/>
            <w:tcBorders>
              <w:top w:val="single" w:color="000000" w:sz="4" w:space="0"/>
              <w:left w:val="nil"/>
              <w:bottom w:val="single" w:color="000000" w:sz="4" w:space="0"/>
              <w:right w:val="nil"/>
            </w:tcBorders>
            <w:vAlign w:val="bottom"/>
          </w:tcPr>
          <w:p w14:paraId="7B63B4BE">
            <w:pPr>
              <w:spacing w:after="0" w:line="360" w:lineRule="auto"/>
              <w:jc w:val="center"/>
              <w:rPr>
                <w:b/>
              </w:rPr>
            </w:pPr>
          </w:p>
        </w:tc>
        <w:tc>
          <w:tcPr>
            <w:tcW w:w="2409" w:type="dxa"/>
            <w:tcBorders>
              <w:top w:val="single" w:color="000000" w:sz="4" w:space="0"/>
              <w:left w:val="nil"/>
              <w:bottom w:val="single" w:color="000000" w:sz="4" w:space="0"/>
              <w:right w:val="nil"/>
            </w:tcBorders>
            <w:vAlign w:val="bottom"/>
          </w:tcPr>
          <w:p w14:paraId="3B19DCB4">
            <w:pPr>
              <w:spacing w:after="0" w:line="360" w:lineRule="auto"/>
              <w:ind w:left="60" w:right="60"/>
              <w:jc w:val="center"/>
              <w:rPr>
                <w:b/>
              </w:rPr>
            </w:pPr>
            <w:r>
              <w:rPr>
                <w:b/>
              </w:rPr>
              <w:t>Frequency</w:t>
            </w:r>
          </w:p>
        </w:tc>
        <w:tc>
          <w:tcPr>
            <w:tcW w:w="2268" w:type="dxa"/>
            <w:tcBorders>
              <w:top w:val="single" w:color="000000" w:sz="4" w:space="0"/>
              <w:left w:val="nil"/>
              <w:bottom w:val="single" w:color="000000" w:sz="4" w:space="0"/>
              <w:right w:val="nil"/>
            </w:tcBorders>
            <w:vAlign w:val="bottom"/>
          </w:tcPr>
          <w:p w14:paraId="6A34ACA5">
            <w:pPr>
              <w:spacing w:after="0" w:line="360" w:lineRule="auto"/>
              <w:ind w:left="60" w:right="60"/>
              <w:jc w:val="center"/>
              <w:rPr>
                <w:b/>
              </w:rPr>
            </w:pPr>
            <w:r>
              <w:rPr>
                <w:b/>
              </w:rPr>
              <w:t>Percent</w:t>
            </w:r>
          </w:p>
        </w:tc>
      </w:tr>
      <w:tr w14:paraId="46577B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2A3BAC51">
            <w:pPr>
              <w:spacing w:after="0" w:line="360" w:lineRule="auto"/>
              <w:ind w:left="60" w:right="60"/>
              <w:jc w:val="center"/>
            </w:pPr>
          </w:p>
        </w:tc>
        <w:tc>
          <w:tcPr>
            <w:tcW w:w="1950" w:type="dxa"/>
            <w:tcBorders>
              <w:top w:val="single" w:color="000000" w:sz="4" w:space="0"/>
              <w:left w:val="nil"/>
              <w:bottom w:val="nil"/>
              <w:right w:val="nil"/>
            </w:tcBorders>
          </w:tcPr>
          <w:p w14:paraId="4E4E5D78">
            <w:pPr>
              <w:spacing w:after="0" w:line="360" w:lineRule="auto"/>
              <w:ind w:left="60" w:right="60"/>
              <w:jc w:val="center"/>
            </w:pPr>
            <w:r>
              <w:t>Strongly Agree</w:t>
            </w:r>
          </w:p>
        </w:tc>
        <w:tc>
          <w:tcPr>
            <w:tcW w:w="2409" w:type="dxa"/>
            <w:tcBorders>
              <w:top w:val="single" w:color="000000" w:sz="4" w:space="0"/>
              <w:left w:val="nil"/>
              <w:bottom w:val="nil"/>
              <w:right w:val="nil"/>
            </w:tcBorders>
          </w:tcPr>
          <w:p w14:paraId="2F649E5C">
            <w:pPr>
              <w:spacing w:after="0" w:line="360" w:lineRule="auto"/>
              <w:ind w:left="60" w:right="60"/>
              <w:jc w:val="center"/>
            </w:pPr>
            <w:r>
              <w:t>105</w:t>
            </w:r>
          </w:p>
        </w:tc>
        <w:tc>
          <w:tcPr>
            <w:tcW w:w="2268" w:type="dxa"/>
            <w:tcBorders>
              <w:top w:val="single" w:color="000000" w:sz="4" w:space="0"/>
              <w:left w:val="nil"/>
              <w:bottom w:val="nil"/>
              <w:right w:val="nil"/>
            </w:tcBorders>
          </w:tcPr>
          <w:p w14:paraId="421BFA20">
            <w:pPr>
              <w:spacing w:after="0" w:line="360" w:lineRule="auto"/>
              <w:ind w:left="60" w:right="60"/>
              <w:jc w:val="center"/>
            </w:pPr>
            <w:r>
              <w:t>33.3</w:t>
            </w:r>
          </w:p>
        </w:tc>
      </w:tr>
      <w:tr w14:paraId="7D85C0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251BBB91">
            <w:pPr>
              <w:widowControl w:val="0"/>
              <w:spacing w:after="0" w:line="360" w:lineRule="auto"/>
            </w:pPr>
          </w:p>
        </w:tc>
        <w:tc>
          <w:tcPr>
            <w:tcW w:w="1950" w:type="dxa"/>
            <w:tcBorders>
              <w:top w:val="nil"/>
              <w:left w:val="nil"/>
              <w:bottom w:val="nil"/>
              <w:right w:val="nil"/>
            </w:tcBorders>
          </w:tcPr>
          <w:p w14:paraId="33F778F3">
            <w:pPr>
              <w:spacing w:after="0" w:line="360" w:lineRule="auto"/>
              <w:ind w:left="60" w:right="60"/>
              <w:jc w:val="center"/>
            </w:pPr>
            <w:r>
              <w:t>Agree</w:t>
            </w:r>
          </w:p>
        </w:tc>
        <w:tc>
          <w:tcPr>
            <w:tcW w:w="2409" w:type="dxa"/>
            <w:tcBorders>
              <w:top w:val="nil"/>
              <w:left w:val="nil"/>
              <w:bottom w:val="nil"/>
              <w:right w:val="nil"/>
            </w:tcBorders>
          </w:tcPr>
          <w:p w14:paraId="37E7E2DC">
            <w:pPr>
              <w:spacing w:after="0" w:line="360" w:lineRule="auto"/>
              <w:ind w:left="60" w:right="60"/>
              <w:jc w:val="center"/>
            </w:pPr>
            <w:r>
              <w:t>84</w:t>
            </w:r>
          </w:p>
        </w:tc>
        <w:tc>
          <w:tcPr>
            <w:tcW w:w="2268" w:type="dxa"/>
            <w:tcBorders>
              <w:top w:val="nil"/>
              <w:left w:val="nil"/>
              <w:bottom w:val="nil"/>
              <w:right w:val="nil"/>
            </w:tcBorders>
          </w:tcPr>
          <w:p w14:paraId="55F6F0EE">
            <w:pPr>
              <w:spacing w:after="0" w:line="360" w:lineRule="auto"/>
              <w:ind w:left="60" w:right="60"/>
              <w:jc w:val="center"/>
            </w:pPr>
            <w:r>
              <w:t>26.7</w:t>
            </w:r>
          </w:p>
        </w:tc>
      </w:tr>
      <w:tr w14:paraId="43FDE9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0F3A2A70">
            <w:pPr>
              <w:widowControl w:val="0"/>
              <w:spacing w:after="0" w:line="360" w:lineRule="auto"/>
            </w:pPr>
          </w:p>
        </w:tc>
        <w:tc>
          <w:tcPr>
            <w:tcW w:w="1950" w:type="dxa"/>
            <w:tcBorders>
              <w:top w:val="nil"/>
              <w:left w:val="nil"/>
              <w:bottom w:val="nil"/>
              <w:right w:val="nil"/>
            </w:tcBorders>
          </w:tcPr>
          <w:p w14:paraId="457ACC8D">
            <w:pPr>
              <w:spacing w:after="0" w:line="360" w:lineRule="auto"/>
              <w:ind w:left="60" w:right="60"/>
              <w:jc w:val="center"/>
            </w:pPr>
            <w:r>
              <w:t>Disagree</w:t>
            </w:r>
          </w:p>
        </w:tc>
        <w:tc>
          <w:tcPr>
            <w:tcW w:w="2409" w:type="dxa"/>
            <w:tcBorders>
              <w:top w:val="nil"/>
              <w:left w:val="nil"/>
              <w:bottom w:val="nil"/>
              <w:right w:val="nil"/>
            </w:tcBorders>
          </w:tcPr>
          <w:p w14:paraId="13060A1A">
            <w:pPr>
              <w:spacing w:after="0" w:line="360" w:lineRule="auto"/>
              <w:ind w:left="60" w:right="60"/>
              <w:jc w:val="center"/>
            </w:pPr>
            <w:r>
              <w:t>69</w:t>
            </w:r>
          </w:p>
        </w:tc>
        <w:tc>
          <w:tcPr>
            <w:tcW w:w="2268" w:type="dxa"/>
            <w:tcBorders>
              <w:top w:val="nil"/>
              <w:left w:val="nil"/>
              <w:bottom w:val="nil"/>
              <w:right w:val="nil"/>
            </w:tcBorders>
          </w:tcPr>
          <w:p w14:paraId="69BE48DB">
            <w:pPr>
              <w:spacing w:after="0" w:line="360" w:lineRule="auto"/>
              <w:ind w:left="60" w:right="60"/>
              <w:jc w:val="center"/>
            </w:pPr>
            <w:r>
              <w:t>21.9</w:t>
            </w:r>
          </w:p>
        </w:tc>
      </w:tr>
      <w:tr w14:paraId="0582F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7EEDFBD5">
            <w:pPr>
              <w:widowControl w:val="0"/>
              <w:spacing w:after="0" w:line="360" w:lineRule="auto"/>
            </w:pPr>
          </w:p>
        </w:tc>
        <w:tc>
          <w:tcPr>
            <w:tcW w:w="1950" w:type="dxa"/>
            <w:tcBorders>
              <w:top w:val="nil"/>
              <w:left w:val="nil"/>
              <w:bottom w:val="nil"/>
              <w:right w:val="nil"/>
            </w:tcBorders>
          </w:tcPr>
          <w:p w14:paraId="0AE307ED">
            <w:pPr>
              <w:spacing w:after="0" w:line="360" w:lineRule="auto"/>
              <w:ind w:left="60" w:right="60"/>
              <w:jc w:val="center"/>
            </w:pPr>
            <w:r>
              <w:t>Strongly Disagree</w:t>
            </w:r>
          </w:p>
        </w:tc>
        <w:tc>
          <w:tcPr>
            <w:tcW w:w="2409" w:type="dxa"/>
            <w:tcBorders>
              <w:top w:val="nil"/>
              <w:left w:val="nil"/>
              <w:bottom w:val="nil"/>
              <w:right w:val="nil"/>
            </w:tcBorders>
          </w:tcPr>
          <w:p w14:paraId="42B3D827">
            <w:pPr>
              <w:spacing w:after="0" w:line="360" w:lineRule="auto"/>
              <w:ind w:left="60" w:right="60"/>
              <w:jc w:val="center"/>
            </w:pPr>
            <w:r>
              <w:t>57</w:t>
            </w:r>
          </w:p>
        </w:tc>
        <w:tc>
          <w:tcPr>
            <w:tcW w:w="2268" w:type="dxa"/>
            <w:tcBorders>
              <w:top w:val="nil"/>
              <w:left w:val="nil"/>
              <w:bottom w:val="nil"/>
              <w:right w:val="nil"/>
            </w:tcBorders>
          </w:tcPr>
          <w:p w14:paraId="08782DD5">
            <w:pPr>
              <w:spacing w:after="0" w:line="360" w:lineRule="auto"/>
              <w:ind w:left="60" w:right="60"/>
              <w:jc w:val="center"/>
            </w:pPr>
            <w:r>
              <w:t>18.1</w:t>
            </w:r>
          </w:p>
        </w:tc>
      </w:tr>
      <w:tr w14:paraId="11DD0A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single" w:color="auto" w:sz="4" w:space="0"/>
              <w:right w:val="nil"/>
            </w:tcBorders>
          </w:tcPr>
          <w:p w14:paraId="0CB61ADF">
            <w:pPr>
              <w:widowControl w:val="0"/>
              <w:spacing w:after="0" w:line="360" w:lineRule="auto"/>
            </w:pPr>
          </w:p>
        </w:tc>
        <w:tc>
          <w:tcPr>
            <w:tcW w:w="1950" w:type="dxa"/>
            <w:tcBorders>
              <w:top w:val="nil"/>
              <w:left w:val="nil"/>
              <w:bottom w:val="single" w:color="auto" w:sz="4" w:space="0"/>
              <w:right w:val="nil"/>
            </w:tcBorders>
          </w:tcPr>
          <w:p w14:paraId="413197FB">
            <w:pPr>
              <w:spacing w:after="0" w:line="360" w:lineRule="auto"/>
              <w:ind w:left="60" w:right="60"/>
              <w:jc w:val="center"/>
              <w:rPr>
                <w:b/>
              </w:rPr>
            </w:pPr>
            <w:r>
              <w:rPr>
                <w:b/>
              </w:rPr>
              <w:t>Total</w:t>
            </w:r>
          </w:p>
        </w:tc>
        <w:tc>
          <w:tcPr>
            <w:tcW w:w="2409" w:type="dxa"/>
            <w:tcBorders>
              <w:top w:val="nil"/>
              <w:left w:val="nil"/>
              <w:bottom w:val="single" w:color="000000" w:sz="4" w:space="0"/>
              <w:right w:val="nil"/>
            </w:tcBorders>
          </w:tcPr>
          <w:p w14:paraId="26A05027">
            <w:pPr>
              <w:spacing w:after="0" w:line="360" w:lineRule="auto"/>
              <w:ind w:left="60" w:right="60"/>
              <w:jc w:val="center"/>
              <w:rPr>
                <w:b/>
              </w:rPr>
            </w:pPr>
            <w:r>
              <w:rPr>
                <w:b/>
              </w:rPr>
              <w:t>315</w:t>
            </w:r>
          </w:p>
        </w:tc>
        <w:tc>
          <w:tcPr>
            <w:tcW w:w="2268" w:type="dxa"/>
            <w:tcBorders>
              <w:top w:val="nil"/>
              <w:left w:val="nil"/>
              <w:bottom w:val="single" w:color="000000" w:sz="4" w:space="0"/>
              <w:right w:val="nil"/>
            </w:tcBorders>
          </w:tcPr>
          <w:p w14:paraId="6F2FA515">
            <w:pPr>
              <w:spacing w:after="0" w:line="360" w:lineRule="auto"/>
              <w:ind w:left="60" w:right="60"/>
              <w:jc w:val="center"/>
              <w:rPr>
                <w:b/>
              </w:rPr>
            </w:pPr>
            <w:r>
              <w:rPr>
                <w:b/>
              </w:rPr>
              <w:t>100.0</w:t>
            </w:r>
          </w:p>
        </w:tc>
      </w:tr>
    </w:tbl>
    <w:p w14:paraId="67E1B0A5">
      <w:pPr>
        <w:spacing w:line="360" w:lineRule="auto"/>
        <w:rPr>
          <w:rFonts w:hint="default"/>
          <w:b/>
          <w:lang w:val="en-US"/>
        </w:rPr>
      </w:pPr>
      <w:r>
        <w:rPr>
          <w:b/>
        </w:rPr>
        <w:t>Field survey, 202</w:t>
      </w:r>
      <w:r>
        <w:rPr>
          <w:rFonts w:hint="default"/>
          <w:b/>
          <w:lang w:val="en-US"/>
        </w:rPr>
        <w:t>5</w:t>
      </w:r>
    </w:p>
    <w:p w14:paraId="143726F9">
      <w:pPr>
        <w:spacing w:line="480" w:lineRule="auto"/>
        <w:jc w:val="both"/>
      </w:pPr>
      <w:r>
        <w:t xml:space="preserve">The analysis above shows that majority of the respondents 60.0% (N=189) acknowledged that they were self-taught with manuals and handbooks while 40.0% stated otherwise. This connotes that respondents who acquired ICT skills through manuals and handbooks were the majority. </w:t>
      </w:r>
    </w:p>
    <w:tbl>
      <w:tblPr>
        <w:tblStyle w:val="67"/>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2552"/>
        <w:gridCol w:w="1984"/>
        <w:gridCol w:w="292"/>
      </w:tblGrid>
      <w:tr w14:paraId="5B16F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22DEDED3">
            <w:pPr>
              <w:spacing w:after="0" w:line="480" w:lineRule="auto"/>
              <w:ind w:left="60" w:right="60"/>
              <w:jc w:val="both"/>
            </w:pPr>
            <w:r>
              <w:rPr>
                <w:b/>
              </w:rPr>
              <w:t>Table 4.14: Taught by friends, family members or other students</w:t>
            </w:r>
          </w:p>
        </w:tc>
      </w:tr>
      <w:tr w14:paraId="4BF6C7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835" w:type="dxa"/>
            <w:gridSpan w:val="2"/>
            <w:tcBorders>
              <w:top w:val="single" w:color="000000" w:sz="4" w:space="0"/>
              <w:left w:val="nil"/>
              <w:bottom w:val="single" w:color="000000" w:sz="4" w:space="0"/>
              <w:right w:val="nil"/>
            </w:tcBorders>
            <w:vAlign w:val="bottom"/>
          </w:tcPr>
          <w:p w14:paraId="1B64F9B9">
            <w:pPr>
              <w:spacing w:after="0" w:line="360" w:lineRule="auto"/>
              <w:jc w:val="center"/>
              <w:rPr>
                <w:b/>
              </w:rPr>
            </w:pPr>
          </w:p>
        </w:tc>
        <w:tc>
          <w:tcPr>
            <w:tcW w:w="2552" w:type="dxa"/>
            <w:tcBorders>
              <w:top w:val="single" w:color="000000" w:sz="4" w:space="0"/>
              <w:left w:val="nil"/>
              <w:bottom w:val="single" w:color="000000" w:sz="4" w:space="0"/>
              <w:right w:val="nil"/>
            </w:tcBorders>
            <w:vAlign w:val="bottom"/>
          </w:tcPr>
          <w:p w14:paraId="0BCCF026">
            <w:pPr>
              <w:spacing w:after="0" w:line="360" w:lineRule="auto"/>
              <w:ind w:left="60" w:right="60"/>
              <w:jc w:val="center"/>
              <w:rPr>
                <w:b/>
              </w:rPr>
            </w:pPr>
            <w:r>
              <w:rPr>
                <w:b/>
              </w:rPr>
              <w:t>Frequency</w:t>
            </w:r>
          </w:p>
        </w:tc>
        <w:tc>
          <w:tcPr>
            <w:tcW w:w="1984" w:type="dxa"/>
            <w:tcBorders>
              <w:top w:val="single" w:color="000000" w:sz="4" w:space="0"/>
              <w:left w:val="nil"/>
              <w:bottom w:val="single" w:color="000000" w:sz="4" w:space="0"/>
              <w:right w:val="nil"/>
            </w:tcBorders>
            <w:vAlign w:val="bottom"/>
          </w:tcPr>
          <w:p w14:paraId="50258F49">
            <w:pPr>
              <w:spacing w:after="0" w:line="360" w:lineRule="auto"/>
              <w:ind w:left="60" w:right="60"/>
              <w:jc w:val="center"/>
              <w:rPr>
                <w:b/>
              </w:rPr>
            </w:pPr>
            <w:r>
              <w:rPr>
                <w:b/>
              </w:rPr>
              <w:t>Percent</w:t>
            </w:r>
          </w:p>
        </w:tc>
      </w:tr>
      <w:tr w14:paraId="00B50F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5543D327">
            <w:pPr>
              <w:spacing w:after="0" w:line="360" w:lineRule="auto"/>
              <w:ind w:left="60" w:right="60"/>
              <w:jc w:val="center"/>
            </w:pPr>
          </w:p>
        </w:tc>
        <w:tc>
          <w:tcPr>
            <w:tcW w:w="2091" w:type="dxa"/>
            <w:tcBorders>
              <w:top w:val="single" w:color="000000" w:sz="4" w:space="0"/>
              <w:left w:val="nil"/>
              <w:bottom w:val="nil"/>
              <w:right w:val="nil"/>
            </w:tcBorders>
          </w:tcPr>
          <w:p w14:paraId="260855C9">
            <w:pPr>
              <w:spacing w:after="0" w:line="360" w:lineRule="auto"/>
              <w:ind w:left="60" w:right="60"/>
              <w:jc w:val="center"/>
            </w:pPr>
            <w:r>
              <w:t>Strongly Agree</w:t>
            </w:r>
          </w:p>
        </w:tc>
        <w:tc>
          <w:tcPr>
            <w:tcW w:w="2552" w:type="dxa"/>
            <w:tcBorders>
              <w:top w:val="single" w:color="000000" w:sz="4" w:space="0"/>
              <w:left w:val="nil"/>
              <w:bottom w:val="nil"/>
              <w:right w:val="nil"/>
            </w:tcBorders>
          </w:tcPr>
          <w:p w14:paraId="28CFD8F6">
            <w:pPr>
              <w:spacing w:after="0" w:line="360" w:lineRule="auto"/>
              <w:ind w:left="60" w:right="60"/>
              <w:jc w:val="center"/>
            </w:pPr>
            <w:r>
              <w:t>110</w:t>
            </w:r>
          </w:p>
        </w:tc>
        <w:tc>
          <w:tcPr>
            <w:tcW w:w="1984" w:type="dxa"/>
            <w:tcBorders>
              <w:top w:val="single" w:color="000000" w:sz="4" w:space="0"/>
              <w:left w:val="nil"/>
              <w:bottom w:val="nil"/>
              <w:right w:val="nil"/>
            </w:tcBorders>
          </w:tcPr>
          <w:p w14:paraId="48C32025">
            <w:pPr>
              <w:spacing w:after="0" w:line="360" w:lineRule="auto"/>
              <w:ind w:left="60" w:right="60"/>
              <w:jc w:val="center"/>
            </w:pPr>
            <w:r>
              <w:t>34.9</w:t>
            </w:r>
          </w:p>
        </w:tc>
      </w:tr>
      <w:tr w14:paraId="64911E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3D309A77">
            <w:pPr>
              <w:widowControl w:val="0"/>
              <w:spacing w:after="0" w:line="360" w:lineRule="auto"/>
            </w:pPr>
          </w:p>
        </w:tc>
        <w:tc>
          <w:tcPr>
            <w:tcW w:w="2091" w:type="dxa"/>
            <w:tcBorders>
              <w:top w:val="nil"/>
              <w:left w:val="nil"/>
              <w:bottom w:val="nil"/>
              <w:right w:val="nil"/>
            </w:tcBorders>
          </w:tcPr>
          <w:p w14:paraId="0CA296E2">
            <w:pPr>
              <w:spacing w:after="0" w:line="360" w:lineRule="auto"/>
              <w:ind w:left="60" w:right="60"/>
              <w:jc w:val="center"/>
            </w:pPr>
            <w:r>
              <w:t>Agree</w:t>
            </w:r>
          </w:p>
        </w:tc>
        <w:tc>
          <w:tcPr>
            <w:tcW w:w="2552" w:type="dxa"/>
            <w:tcBorders>
              <w:top w:val="nil"/>
              <w:left w:val="nil"/>
              <w:bottom w:val="nil"/>
              <w:right w:val="nil"/>
            </w:tcBorders>
          </w:tcPr>
          <w:p w14:paraId="54831E43">
            <w:pPr>
              <w:spacing w:after="0" w:line="360" w:lineRule="auto"/>
              <w:ind w:left="60" w:right="60"/>
              <w:jc w:val="center"/>
            </w:pPr>
            <w:r>
              <w:t>92</w:t>
            </w:r>
          </w:p>
        </w:tc>
        <w:tc>
          <w:tcPr>
            <w:tcW w:w="1984" w:type="dxa"/>
            <w:tcBorders>
              <w:top w:val="nil"/>
              <w:left w:val="nil"/>
              <w:bottom w:val="nil"/>
              <w:right w:val="nil"/>
            </w:tcBorders>
          </w:tcPr>
          <w:p w14:paraId="452CD917">
            <w:pPr>
              <w:spacing w:after="0" w:line="360" w:lineRule="auto"/>
              <w:ind w:left="60" w:right="60"/>
              <w:jc w:val="center"/>
            </w:pPr>
            <w:r>
              <w:t>29.2</w:t>
            </w:r>
          </w:p>
        </w:tc>
      </w:tr>
      <w:tr w14:paraId="307F85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2E51913C">
            <w:pPr>
              <w:widowControl w:val="0"/>
              <w:spacing w:after="0" w:line="360" w:lineRule="auto"/>
            </w:pPr>
          </w:p>
        </w:tc>
        <w:tc>
          <w:tcPr>
            <w:tcW w:w="2091" w:type="dxa"/>
            <w:tcBorders>
              <w:top w:val="nil"/>
              <w:left w:val="nil"/>
              <w:bottom w:val="nil"/>
              <w:right w:val="nil"/>
            </w:tcBorders>
          </w:tcPr>
          <w:p w14:paraId="0A3D76DA">
            <w:pPr>
              <w:spacing w:after="0" w:line="360" w:lineRule="auto"/>
              <w:ind w:left="60" w:right="60"/>
              <w:jc w:val="center"/>
            </w:pPr>
            <w:r>
              <w:t>Disagree</w:t>
            </w:r>
          </w:p>
        </w:tc>
        <w:tc>
          <w:tcPr>
            <w:tcW w:w="2552" w:type="dxa"/>
            <w:tcBorders>
              <w:top w:val="nil"/>
              <w:left w:val="nil"/>
              <w:bottom w:val="nil"/>
              <w:right w:val="nil"/>
            </w:tcBorders>
          </w:tcPr>
          <w:p w14:paraId="73054AAE">
            <w:pPr>
              <w:spacing w:after="0" w:line="360" w:lineRule="auto"/>
              <w:ind w:left="60" w:right="60"/>
              <w:jc w:val="center"/>
            </w:pPr>
            <w:r>
              <w:t>74</w:t>
            </w:r>
          </w:p>
        </w:tc>
        <w:tc>
          <w:tcPr>
            <w:tcW w:w="1984" w:type="dxa"/>
            <w:tcBorders>
              <w:top w:val="nil"/>
              <w:left w:val="nil"/>
              <w:bottom w:val="nil"/>
              <w:right w:val="nil"/>
            </w:tcBorders>
          </w:tcPr>
          <w:p w14:paraId="2D0EEBF9">
            <w:pPr>
              <w:spacing w:after="0" w:line="360" w:lineRule="auto"/>
              <w:ind w:left="60" w:right="60"/>
              <w:jc w:val="center"/>
            </w:pPr>
            <w:r>
              <w:t>23.5</w:t>
            </w:r>
          </w:p>
        </w:tc>
      </w:tr>
      <w:tr w14:paraId="65F68E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273340C0">
            <w:pPr>
              <w:widowControl w:val="0"/>
              <w:spacing w:after="0" w:line="360" w:lineRule="auto"/>
            </w:pPr>
          </w:p>
        </w:tc>
        <w:tc>
          <w:tcPr>
            <w:tcW w:w="2091" w:type="dxa"/>
            <w:tcBorders>
              <w:top w:val="nil"/>
              <w:left w:val="nil"/>
              <w:bottom w:val="nil"/>
              <w:right w:val="nil"/>
            </w:tcBorders>
          </w:tcPr>
          <w:p w14:paraId="7447C702">
            <w:pPr>
              <w:spacing w:after="0" w:line="360" w:lineRule="auto"/>
              <w:ind w:left="60" w:right="60"/>
              <w:jc w:val="center"/>
            </w:pPr>
            <w:r>
              <w:t>Strongly Disagree</w:t>
            </w:r>
          </w:p>
        </w:tc>
        <w:tc>
          <w:tcPr>
            <w:tcW w:w="2552" w:type="dxa"/>
            <w:tcBorders>
              <w:top w:val="nil"/>
              <w:left w:val="nil"/>
              <w:bottom w:val="nil"/>
              <w:right w:val="nil"/>
            </w:tcBorders>
          </w:tcPr>
          <w:p w14:paraId="00AA9FF3">
            <w:pPr>
              <w:spacing w:after="0" w:line="360" w:lineRule="auto"/>
              <w:ind w:left="60" w:right="60"/>
              <w:jc w:val="center"/>
            </w:pPr>
            <w:r>
              <w:t>39</w:t>
            </w:r>
          </w:p>
        </w:tc>
        <w:tc>
          <w:tcPr>
            <w:tcW w:w="1984" w:type="dxa"/>
            <w:tcBorders>
              <w:top w:val="nil"/>
              <w:left w:val="nil"/>
              <w:bottom w:val="nil"/>
              <w:right w:val="nil"/>
            </w:tcBorders>
          </w:tcPr>
          <w:p w14:paraId="2CC6E972">
            <w:pPr>
              <w:spacing w:after="0" w:line="360" w:lineRule="auto"/>
              <w:ind w:left="60" w:right="60"/>
              <w:jc w:val="center"/>
            </w:pPr>
            <w:r>
              <w:t>12.4</w:t>
            </w:r>
          </w:p>
        </w:tc>
      </w:tr>
      <w:tr w14:paraId="329F28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single" w:color="auto" w:sz="4" w:space="0"/>
              <w:right w:val="nil"/>
            </w:tcBorders>
          </w:tcPr>
          <w:p w14:paraId="3ED0883A">
            <w:pPr>
              <w:widowControl w:val="0"/>
              <w:spacing w:after="0" w:line="360" w:lineRule="auto"/>
            </w:pPr>
          </w:p>
        </w:tc>
        <w:tc>
          <w:tcPr>
            <w:tcW w:w="2091" w:type="dxa"/>
            <w:tcBorders>
              <w:top w:val="nil"/>
              <w:left w:val="nil"/>
              <w:bottom w:val="single" w:color="auto" w:sz="4" w:space="0"/>
              <w:right w:val="nil"/>
            </w:tcBorders>
          </w:tcPr>
          <w:p w14:paraId="6106FB13">
            <w:pPr>
              <w:spacing w:after="0" w:line="360" w:lineRule="auto"/>
              <w:ind w:left="60" w:right="60"/>
              <w:jc w:val="center"/>
              <w:rPr>
                <w:b/>
              </w:rPr>
            </w:pPr>
            <w:r>
              <w:rPr>
                <w:b/>
              </w:rPr>
              <w:t>Total</w:t>
            </w:r>
          </w:p>
        </w:tc>
        <w:tc>
          <w:tcPr>
            <w:tcW w:w="2552" w:type="dxa"/>
            <w:tcBorders>
              <w:top w:val="nil"/>
              <w:left w:val="nil"/>
              <w:bottom w:val="single" w:color="000000" w:sz="4" w:space="0"/>
              <w:right w:val="nil"/>
            </w:tcBorders>
          </w:tcPr>
          <w:p w14:paraId="63DAF838">
            <w:pPr>
              <w:spacing w:after="0" w:line="360" w:lineRule="auto"/>
              <w:ind w:left="60" w:right="60"/>
              <w:jc w:val="center"/>
              <w:rPr>
                <w:b/>
              </w:rPr>
            </w:pPr>
            <w:r>
              <w:rPr>
                <w:b/>
              </w:rPr>
              <w:t>315</w:t>
            </w:r>
          </w:p>
        </w:tc>
        <w:tc>
          <w:tcPr>
            <w:tcW w:w="1984" w:type="dxa"/>
            <w:tcBorders>
              <w:top w:val="nil"/>
              <w:left w:val="nil"/>
              <w:bottom w:val="single" w:color="000000" w:sz="4" w:space="0"/>
              <w:right w:val="nil"/>
            </w:tcBorders>
          </w:tcPr>
          <w:p w14:paraId="627160E5">
            <w:pPr>
              <w:spacing w:after="0" w:line="360" w:lineRule="auto"/>
              <w:ind w:left="60" w:right="60"/>
              <w:jc w:val="center"/>
              <w:rPr>
                <w:b/>
              </w:rPr>
            </w:pPr>
            <w:r>
              <w:rPr>
                <w:b/>
              </w:rPr>
              <w:t>100.0</w:t>
            </w:r>
          </w:p>
        </w:tc>
      </w:tr>
    </w:tbl>
    <w:p w14:paraId="1ED81125">
      <w:pPr>
        <w:spacing w:line="360" w:lineRule="auto"/>
        <w:rPr>
          <w:rFonts w:hint="default"/>
          <w:b/>
          <w:lang w:val="en-US"/>
        </w:rPr>
      </w:pPr>
      <w:r>
        <w:rPr>
          <w:b/>
        </w:rPr>
        <w:t>Field survey, 202</w:t>
      </w:r>
      <w:r>
        <w:rPr>
          <w:rFonts w:hint="default"/>
          <w:b/>
          <w:lang w:val="en-US"/>
        </w:rPr>
        <w:t>5</w:t>
      </w:r>
    </w:p>
    <w:p w14:paraId="62166F83">
      <w:pPr>
        <w:spacing w:line="480" w:lineRule="auto"/>
        <w:jc w:val="both"/>
      </w:pPr>
      <w:bookmarkStart w:id="48" w:name="_heading=h.1ci93xb" w:colFirst="0" w:colLast="0"/>
      <w:bookmarkEnd w:id="48"/>
      <w:r>
        <w:t xml:space="preserve">The result in Table 16 revealed that majority of the respondents 64.1% representing (N=202) stated that they were taught by friends, family members or other students while 35.9% disagreed. This implies that majority of the respondents acquired ICT skills through friends, family or other students. </w:t>
      </w:r>
    </w:p>
    <w:tbl>
      <w:tblPr>
        <w:tblStyle w:val="68"/>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1950"/>
        <w:gridCol w:w="2126"/>
        <w:gridCol w:w="2551"/>
        <w:gridCol w:w="292"/>
      </w:tblGrid>
      <w:tr w14:paraId="2FA4A2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11C0E1D7">
            <w:pPr>
              <w:spacing w:after="0" w:line="240" w:lineRule="auto"/>
              <w:ind w:left="60" w:right="60"/>
            </w:pPr>
            <w:r>
              <w:rPr>
                <w:b/>
              </w:rPr>
              <w:t>Table 4.15: Through trial-and-error methods</w:t>
            </w:r>
          </w:p>
        </w:tc>
      </w:tr>
      <w:tr w14:paraId="60AD8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694" w:type="dxa"/>
            <w:gridSpan w:val="2"/>
            <w:tcBorders>
              <w:top w:val="single" w:color="000000" w:sz="4" w:space="0"/>
              <w:left w:val="nil"/>
              <w:bottom w:val="single" w:color="000000" w:sz="4" w:space="0"/>
              <w:right w:val="nil"/>
            </w:tcBorders>
            <w:vAlign w:val="bottom"/>
          </w:tcPr>
          <w:p w14:paraId="59ECF8EC">
            <w:pPr>
              <w:spacing w:after="0" w:line="276" w:lineRule="auto"/>
              <w:jc w:val="center"/>
              <w:rPr>
                <w:b/>
              </w:rPr>
            </w:pPr>
          </w:p>
        </w:tc>
        <w:tc>
          <w:tcPr>
            <w:tcW w:w="2126" w:type="dxa"/>
            <w:tcBorders>
              <w:top w:val="single" w:color="000000" w:sz="4" w:space="0"/>
              <w:left w:val="nil"/>
              <w:bottom w:val="single" w:color="000000" w:sz="4" w:space="0"/>
              <w:right w:val="nil"/>
            </w:tcBorders>
            <w:vAlign w:val="bottom"/>
          </w:tcPr>
          <w:p w14:paraId="73165843">
            <w:pPr>
              <w:spacing w:after="0" w:line="276" w:lineRule="auto"/>
              <w:ind w:left="60" w:right="60"/>
              <w:jc w:val="center"/>
              <w:rPr>
                <w:b/>
              </w:rPr>
            </w:pPr>
            <w:r>
              <w:rPr>
                <w:b/>
              </w:rPr>
              <w:t>Frequency</w:t>
            </w:r>
          </w:p>
        </w:tc>
        <w:tc>
          <w:tcPr>
            <w:tcW w:w="2551" w:type="dxa"/>
            <w:tcBorders>
              <w:top w:val="single" w:color="000000" w:sz="4" w:space="0"/>
              <w:left w:val="nil"/>
              <w:bottom w:val="single" w:color="000000" w:sz="4" w:space="0"/>
              <w:right w:val="nil"/>
            </w:tcBorders>
            <w:vAlign w:val="bottom"/>
          </w:tcPr>
          <w:p w14:paraId="3B44FD13">
            <w:pPr>
              <w:spacing w:after="0" w:line="276" w:lineRule="auto"/>
              <w:ind w:left="60" w:right="60"/>
              <w:jc w:val="center"/>
              <w:rPr>
                <w:b/>
              </w:rPr>
            </w:pPr>
            <w:r>
              <w:rPr>
                <w:b/>
              </w:rPr>
              <w:t>Percent</w:t>
            </w:r>
          </w:p>
        </w:tc>
      </w:tr>
      <w:tr w14:paraId="04033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7C8AB8BB">
            <w:pPr>
              <w:spacing w:after="0" w:line="276" w:lineRule="auto"/>
              <w:ind w:left="60" w:right="60"/>
              <w:jc w:val="center"/>
            </w:pPr>
          </w:p>
        </w:tc>
        <w:tc>
          <w:tcPr>
            <w:tcW w:w="1950" w:type="dxa"/>
            <w:tcBorders>
              <w:top w:val="single" w:color="000000" w:sz="4" w:space="0"/>
              <w:left w:val="nil"/>
              <w:bottom w:val="nil"/>
              <w:right w:val="nil"/>
            </w:tcBorders>
          </w:tcPr>
          <w:p w14:paraId="70DDD54B">
            <w:pPr>
              <w:spacing w:after="0" w:line="276" w:lineRule="auto"/>
              <w:ind w:left="60" w:right="60"/>
              <w:jc w:val="center"/>
            </w:pPr>
            <w:r>
              <w:t>Strongly Agree</w:t>
            </w:r>
          </w:p>
        </w:tc>
        <w:tc>
          <w:tcPr>
            <w:tcW w:w="2126" w:type="dxa"/>
            <w:tcBorders>
              <w:top w:val="single" w:color="000000" w:sz="4" w:space="0"/>
              <w:left w:val="nil"/>
              <w:bottom w:val="nil"/>
              <w:right w:val="nil"/>
            </w:tcBorders>
          </w:tcPr>
          <w:p w14:paraId="094C85BA">
            <w:pPr>
              <w:spacing w:after="0" w:line="276" w:lineRule="auto"/>
              <w:ind w:left="60" w:right="60"/>
              <w:jc w:val="center"/>
            </w:pPr>
            <w:r>
              <w:t>58</w:t>
            </w:r>
          </w:p>
        </w:tc>
        <w:tc>
          <w:tcPr>
            <w:tcW w:w="2551" w:type="dxa"/>
            <w:tcBorders>
              <w:top w:val="single" w:color="000000" w:sz="4" w:space="0"/>
              <w:left w:val="nil"/>
              <w:bottom w:val="nil"/>
              <w:right w:val="nil"/>
            </w:tcBorders>
          </w:tcPr>
          <w:p w14:paraId="57B2DE33">
            <w:pPr>
              <w:spacing w:after="0" w:line="276" w:lineRule="auto"/>
              <w:ind w:left="60" w:right="60"/>
              <w:jc w:val="center"/>
            </w:pPr>
            <w:r>
              <w:t>18.4</w:t>
            </w:r>
          </w:p>
        </w:tc>
      </w:tr>
      <w:tr w14:paraId="1F7E81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0B2632D4">
            <w:pPr>
              <w:widowControl w:val="0"/>
              <w:spacing w:after="0" w:line="276" w:lineRule="auto"/>
            </w:pPr>
          </w:p>
        </w:tc>
        <w:tc>
          <w:tcPr>
            <w:tcW w:w="1950" w:type="dxa"/>
            <w:tcBorders>
              <w:top w:val="nil"/>
              <w:left w:val="nil"/>
              <w:bottom w:val="nil"/>
              <w:right w:val="nil"/>
            </w:tcBorders>
          </w:tcPr>
          <w:p w14:paraId="5378A005">
            <w:pPr>
              <w:spacing w:after="0" w:line="276" w:lineRule="auto"/>
              <w:ind w:left="60" w:right="60"/>
              <w:jc w:val="center"/>
            </w:pPr>
            <w:r>
              <w:t>Agree</w:t>
            </w:r>
          </w:p>
        </w:tc>
        <w:tc>
          <w:tcPr>
            <w:tcW w:w="2126" w:type="dxa"/>
            <w:tcBorders>
              <w:top w:val="nil"/>
              <w:left w:val="nil"/>
              <w:bottom w:val="nil"/>
              <w:right w:val="nil"/>
            </w:tcBorders>
          </w:tcPr>
          <w:p w14:paraId="559FB1B6">
            <w:pPr>
              <w:spacing w:after="0" w:line="276" w:lineRule="auto"/>
              <w:ind w:left="60" w:right="60"/>
              <w:jc w:val="center"/>
            </w:pPr>
            <w:r>
              <w:t>63</w:t>
            </w:r>
          </w:p>
        </w:tc>
        <w:tc>
          <w:tcPr>
            <w:tcW w:w="2551" w:type="dxa"/>
            <w:tcBorders>
              <w:top w:val="nil"/>
              <w:left w:val="nil"/>
              <w:bottom w:val="nil"/>
              <w:right w:val="nil"/>
            </w:tcBorders>
          </w:tcPr>
          <w:p w14:paraId="6A718169">
            <w:pPr>
              <w:spacing w:after="0" w:line="276" w:lineRule="auto"/>
              <w:ind w:left="60" w:right="60"/>
              <w:jc w:val="center"/>
            </w:pPr>
            <w:r>
              <w:t>20.0</w:t>
            </w:r>
          </w:p>
        </w:tc>
      </w:tr>
      <w:tr w14:paraId="51D7A6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5335E663">
            <w:pPr>
              <w:widowControl w:val="0"/>
              <w:spacing w:after="0" w:line="276" w:lineRule="auto"/>
            </w:pPr>
          </w:p>
        </w:tc>
        <w:tc>
          <w:tcPr>
            <w:tcW w:w="1950" w:type="dxa"/>
            <w:tcBorders>
              <w:top w:val="nil"/>
              <w:left w:val="nil"/>
              <w:bottom w:val="nil"/>
              <w:right w:val="nil"/>
            </w:tcBorders>
          </w:tcPr>
          <w:p w14:paraId="55D44BBD">
            <w:pPr>
              <w:spacing w:after="0" w:line="276" w:lineRule="auto"/>
              <w:ind w:left="60" w:right="60"/>
              <w:jc w:val="center"/>
            </w:pPr>
            <w:r>
              <w:t>Disagree</w:t>
            </w:r>
          </w:p>
        </w:tc>
        <w:tc>
          <w:tcPr>
            <w:tcW w:w="2126" w:type="dxa"/>
            <w:tcBorders>
              <w:top w:val="nil"/>
              <w:left w:val="nil"/>
              <w:bottom w:val="nil"/>
              <w:right w:val="nil"/>
            </w:tcBorders>
          </w:tcPr>
          <w:p w14:paraId="4C6A8174">
            <w:pPr>
              <w:spacing w:after="0" w:line="276" w:lineRule="auto"/>
              <w:ind w:left="60" w:right="60"/>
              <w:jc w:val="center"/>
            </w:pPr>
            <w:r>
              <w:t>90</w:t>
            </w:r>
          </w:p>
        </w:tc>
        <w:tc>
          <w:tcPr>
            <w:tcW w:w="2551" w:type="dxa"/>
            <w:tcBorders>
              <w:top w:val="nil"/>
              <w:left w:val="nil"/>
              <w:bottom w:val="nil"/>
              <w:right w:val="nil"/>
            </w:tcBorders>
          </w:tcPr>
          <w:p w14:paraId="2CF51948">
            <w:pPr>
              <w:spacing w:after="0" w:line="276" w:lineRule="auto"/>
              <w:ind w:left="60" w:right="60"/>
              <w:jc w:val="center"/>
            </w:pPr>
            <w:r>
              <w:t>28.6</w:t>
            </w:r>
          </w:p>
        </w:tc>
      </w:tr>
      <w:tr w14:paraId="1EC869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59152082">
            <w:pPr>
              <w:widowControl w:val="0"/>
              <w:spacing w:after="0" w:line="276" w:lineRule="auto"/>
            </w:pPr>
          </w:p>
        </w:tc>
        <w:tc>
          <w:tcPr>
            <w:tcW w:w="1950" w:type="dxa"/>
            <w:tcBorders>
              <w:top w:val="nil"/>
              <w:left w:val="nil"/>
              <w:bottom w:val="nil"/>
              <w:right w:val="nil"/>
            </w:tcBorders>
          </w:tcPr>
          <w:p w14:paraId="1A8D1151">
            <w:pPr>
              <w:spacing w:after="0" w:line="276" w:lineRule="auto"/>
              <w:ind w:left="60" w:right="60"/>
              <w:jc w:val="center"/>
            </w:pPr>
            <w:r>
              <w:t>Strongly Disagree</w:t>
            </w:r>
          </w:p>
        </w:tc>
        <w:tc>
          <w:tcPr>
            <w:tcW w:w="2126" w:type="dxa"/>
            <w:tcBorders>
              <w:top w:val="nil"/>
              <w:left w:val="nil"/>
              <w:bottom w:val="nil"/>
              <w:right w:val="nil"/>
            </w:tcBorders>
          </w:tcPr>
          <w:p w14:paraId="30DE0E18">
            <w:pPr>
              <w:spacing w:after="0" w:line="276" w:lineRule="auto"/>
              <w:ind w:left="60" w:right="60"/>
              <w:jc w:val="center"/>
            </w:pPr>
            <w:r>
              <w:t>104</w:t>
            </w:r>
          </w:p>
        </w:tc>
        <w:tc>
          <w:tcPr>
            <w:tcW w:w="2551" w:type="dxa"/>
            <w:tcBorders>
              <w:top w:val="nil"/>
              <w:left w:val="nil"/>
              <w:bottom w:val="nil"/>
              <w:right w:val="nil"/>
            </w:tcBorders>
          </w:tcPr>
          <w:p w14:paraId="51CF7500">
            <w:pPr>
              <w:spacing w:after="0" w:line="276" w:lineRule="auto"/>
              <w:ind w:left="60" w:right="60"/>
              <w:jc w:val="center"/>
            </w:pPr>
            <w:r>
              <w:t>33.0</w:t>
            </w:r>
          </w:p>
        </w:tc>
      </w:tr>
      <w:tr w14:paraId="323465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single" w:color="auto" w:sz="4" w:space="0"/>
              <w:right w:val="nil"/>
            </w:tcBorders>
          </w:tcPr>
          <w:p w14:paraId="097F62B1">
            <w:pPr>
              <w:widowControl w:val="0"/>
              <w:spacing w:after="0" w:line="276" w:lineRule="auto"/>
            </w:pPr>
          </w:p>
        </w:tc>
        <w:tc>
          <w:tcPr>
            <w:tcW w:w="1950" w:type="dxa"/>
            <w:tcBorders>
              <w:top w:val="nil"/>
              <w:left w:val="nil"/>
              <w:bottom w:val="single" w:color="auto" w:sz="4" w:space="0"/>
              <w:right w:val="nil"/>
            </w:tcBorders>
          </w:tcPr>
          <w:p w14:paraId="76F9D978">
            <w:pPr>
              <w:spacing w:after="0" w:line="276" w:lineRule="auto"/>
              <w:ind w:left="60" w:right="60"/>
              <w:jc w:val="center"/>
              <w:rPr>
                <w:b/>
              </w:rPr>
            </w:pPr>
            <w:r>
              <w:rPr>
                <w:b/>
              </w:rPr>
              <w:t>Total</w:t>
            </w:r>
          </w:p>
        </w:tc>
        <w:tc>
          <w:tcPr>
            <w:tcW w:w="2126" w:type="dxa"/>
            <w:tcBorders>
              <w:top w:val="nil"/>
              <w:left w:val="nil"/>
              <w:bottom w:val="single" w:color="000000" w:sz="4" w:space="0"/>
              <w:right w:val="nil"/>
            </w:tcBorders>
          </w:tcPr>
          <w:p w14:paraId="6A18C122">
            <w:pPr>
              <w:spacing w:after="0" w:line="276" w:lineRule="auto"/>
              <w:ind w:left="60" w:right="60"/>
              <w:jc w:val="center"/>
              <w:rPr>
                <w:b/>
              </w:rPr>
            </w:pPr>
            <w:r>
              <w:rPr>
                <w:b/>
              </w:rPr>
              <w:t>315</w:t>
            </w:r>
          </w:p>
        </w:tc>
        <w:tc>
          <w:tcPr>
            <w:tcW w:w="2551" w:type="dxa"/>
            <w:tcBorders>
              <w:top w:val="nil"/>
              <w:left w:val="nil"/>
              <w:bottom w:val="single" w:color="000000" w:sz="4" w:space="0"/>
              <w:right w:val="nil"/>
            </w:tcBorders>
          </w:tcPr>
          <w:p w14:paraId="52B62EF6">
            <w:pPr>
              <w:spacing w:after="0" w:line="276" w:lineRule="auto"/>
              <w:ind w:left="60" w:right="60"/>
              <w:jc w:val="center"/>
              <w:rPr>
                <w:b/>
              </w:rPr>
            </w:pPr>
            <w:r>
              <w:rPr>
                <w:b/>
              </w:rPr>
              <w:t>100.0</w:t>
            </w:r>
          </w:p>
        </w:tc>
      </w:tr>
    </w:tbl>
    <w:p w14:paraId="1F2C08FD">
      <w:pPr>
        <w:spacing w:line="480" w:lineRule="auto"/>
        <w:rPr>
          <w:rFonts w:hint="default"/>
          <w:b/>
          <w:lang w:val="en-US"/>
        </w:rPr>
      </w:pPr>
      <w:r>
        <w:rPr>
          <w:b/>
        </w:rPr>
        <w:t>Field survey, 202</w:t>
      </w:r>
      <w:r>
        <w:rPr>
          <w:rFonts w:hint="default"/>
          <w:b/>
          <w:lang w:val="en-US"/>
        </w:rPr>
        <w:t>5</w:t>
      </w:r>
    </w:p>
    <w:p w14:paraId="7761A587">
      <w:pPr>
        <w:spacing w:line="480" w:lineRule="auto"/>
        <w:jc w:val="both"/>
      </w:pPr>
      <w:bookmarkStart w:id="49" w:name="_heading=h.3whwml4" w:colFirst="0" w:colLast="0"/>
      <w:bookmarkEnd w:id="49"/>
      <w:r>
        <w:t>The result above shows that majority of the respondents 61.6% (N=194) disagreed with the fact that they acquired ICT skills through trial-and-error methods while 38.4% agreed. This denotes that majority of the respondents did not acquire ICT skills through trial-and-error.</w:t>
      </w:r>
    </w:p>
    <w:tbl>
      <w:tblPr>
        <w:tblStyle w:val="69"/>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2127"/>
        <w:gridCol w:w="2409"/>
        <w:gridCol w:w="292"/>
      </w:tblGrid>
      <w:tr w14:paraId="50BCD1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78182127">
            <w:pPr>
              <w:spacing w:after="0" w:line="480" w:lineRule="auto"/>
              <w:ind w:left="60" w:right="60"/>
              <w:jc w:val="both"/>
            </w:pPr>
            <w:r>
              <w:rPr>
                <w:b/>
              </w:rPr>
              <w:t>Table 4.16: Taught by cyber cafe/Information centre staff</w:t>
            </w:r>
          </w:p>
        </w:tc>
      </w:tr>
      <w:tr w14:paraId="0CE16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835" w:type="dxa"/>
            <w:gridSpan w:val="2"/>
            <w:tcBorders>
              <w:top w:val="single" w:color="000000" w:sz="4" w:space="0"/>
              <w:left w:val="nil"/>
              <w:bottom w:val="single" w:color="000000" w:sz="4" w:space="0"/>
              <w:right w:val="nil"/>
            </w:tcBorders>
            <w:vAlign w:val="bottom"/>
          </w:tcPr>
          <w:p w14:paraId="76C87577">
            <w:pPr>
              <w:spacing w:after="0" w:line="360" w:lineRule="auto"/>
              <w:jc w:val="center"/>
              <w:rPr>
                <w:b/>
              </w:rPr>
            </w:pPr>
          </w:p>
        </w:tc>
        <w:tc>
          <w:tcPr>
            <w:tcW w:w="2127" w:type="dxa"/>
            <w:tcBorders>
              <w:top w:val="single" w:color="000000" w:sz="4" w:space="0"/>
              <w:left w:val="nil"/>
              <w:bottom w:val="single" w:color="000000" w:sz="4" w:space="0"/>
              <w:right w:val="nil"/>
            </w:tcBorders>
            <w:vAlign w:val="bottom"/>
          </w:tcPr>
          <w:p w14:paraId="034F3C96">
            <w:pPr>
              <w:spacing w:after="0" w:line="360" w:lineRule="auto"/>
              <w:ind w:left="60" w:right="60"/>
              <w:jc w:val="center"/>
              <w:rPr>
                <w:b/>
              </w:rPr>
            </w:pPr>
            <w:r>
              <w:rPr>
                <w:b/>
              </w:rPr>
              <w:t>Frequency</w:t>
            </w:r>
          </w:p>
        </w:tc>
        <w:tc>
          <w:tcPr>
            <w:tcW w:w="2409" w:type="dxa"/>
            <w:tcBorders>
              <w:top w:val="single" w:color="000000" w:sz="4" w:space="0"/>
              <w:left w:val="nil"/>
              <w:bottom w:val="single" w:color="000000" w:sz="4" w:space="0"/>
              <w:right w:val="nil"/>
            </w:tcBorders>
            <w:vAlign w:val="bottom"/>
          </w:tcPr>
          <w:p w14:paraId="11D3FEC4">
            <w:pPr>
              <w:spacing w:after="0" w:line="360" w:lineRule="auto"/>
              <w:ind w:left="60" w:right="60"/>
              <w:jc w:val="center"/>
              <w:rPr>
                <w:b/>
              </w:rPr>
            </w:pPr>
            <w:r>
              <w:rPr>
                <w:b/>
              </w:rPr>
              <w:t>Percent</w:t>
            </w:r>
          </w:p>
        </w:tc>
      </w:tr>
      <w:tr w14:paraId="5A8A41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3E727899">
            <w:pPr>
              <w:spacing w:after="0" w:line="360" w:lineRule="auto"/>
              <w:ind w:left="60" w:right="60"/>
              <w:jc w:val="center"/>
            </w:pPr>
          </w:p>
        </w:tc>
        <w:tc>
          <w:tcPr>
            <w:tcW w:w="2091" w:type="dxa"/>
            <w:tcBorders>
              <w:top w:val="single" w:color="000000" w:sz="4" w:space="0"/>
              <w:left w:val="nil"/>
              <w:bottom w:val="nil"/>
              <w:right w:val="nil"/>
            </w:tcBorders>
          </w:tcPr>
          <w:p w14:paraId="488962B8">
            <w:pPr>
              <w:spacing w:after="0" w:line="360" w:lineRule="auto"/>
              <w:ind w:left="60" w:right="60"/>
              <w:jc w:val="center"/>
            </w:pPr>
            <w:r>
              <w:t>Strongly Agree</w:t>
            </w:r>
          </w:p>
        </w:tc>
        <w:tc>
          <w:tcPr>
            <w:tcW w:w="2127" w:type="dxa"/>
            <w:tcBorders>
              <w:top w:val="single" w:color="000000" w:sz="4" w:space="0"/>
              <w:left w:val="nil"/>
              <w:bottom w:val="nil"/>
              <w:right w:val="nil"/>
            </w:tcBorders>
          </w:tcPr>
          <w:p w14:paraId="599CFE37">
            <w:pPr>
              <w:spacing w:after="0" w:line="360" w:lineRule="auto"/>
              <w:ind w:left="60" w:right="60"/>
              <w:jc w:val="center"/>
            </w:pPr>
            <w:r>
              <w:t>147</w:t>
            </w:r>
          </w:p>
        </w:tc>
        <w:tc>
          <w:tcPr>
            <w:tcW w:w="2409" w:type="dxa"/>
            <w:tcBorders>
              <w:top w:val="single" w:color="000000" w:sz="4" w:space="0"/>
              <w:left w:val="nil"/>
              <w:bottom w:val="nil"/>
              <w:right w:val="nil"/>
            </w:tcBorders>
          </w:tcPr>
          <w:p w14:paraId="76D167DB">
            <w:pPr>
              <w:spacing w:after="0" w:line="360" w:lineRule="auto"/>
              <w:ind w:left="60" w:right="60"/>
              <w:jc w:val="center"/>
            </w:pPr>
            <w:r>
              <w:t>46.7</w:t>
            </w:r>
          </w:p>
        </w:tc>
      </w:tr>
      <w:tr w14:paraId="65766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0504AE1C">
            <w:pPr>
              <w:widowControl w:val="0"/>
              <w:spacing w:after="0" w:line="360" w:lineRule="auto"/>
            </w:pPr>
          </w:p>
        </w:tc>
        <w:tc>
          <w:tcPr>
            <w:tcW w:w="2091" w:type="dxa"/>
            <w:tcBorders>
              <w:top w:val="nil"/>
              <w:left w:val="nil"/>
              <w:bottom w:val="nil"/>
              <w:right w:val="nil"/>
            </w:tcBorders>
          </w:tcPr>
          <w:p w14:paraId="1F981BE0">
            <w:pPr>
              <w:spacing w:after="0" w:line="360" w:lineRule="auto"/>
              <w:ind w:left="60" w:right="60"/>
              <w:jc w:val="center"/>
            </w:pPr>
            <w:r>
              <w:t>Agree</w:t>
            </w:r>
          </w:p>
        </w:tc>
        <w:tc>
          <w:tcPr>
            <w:tcW w:w="2127" w:type="dxa"/>
            <w:tcBorders>
              <w:top w:val="nil"/>
              <w:left w:val="nil"/>
              <w:bottom w:val="nil"/>
              <w:right w:val="nil"/>
            </w:tcBorders>
          </w:tcPr>
          <w:p w14:paraId="29722097">
            <w:pPr>
              <w:spacing w:after="0" w:line="360" w:lineRule="auto"/>
              <w:ind w:left="60" w:right="60"/>
              <w:jc w:val="center"/>
            </w:pPr>
            <w:r>
              <w:t>76</w:t>
            </w:r>
          </w:p>
        </w:tc>
        <w:tc>
          <w:tcPr>
            <w:tcW w:w="2409" w:type="dxa"/>
            <w:tcBorders>
              <w:top w:val="nil"/>
              <w:left w:val="nil"/>
              <w:bottom w:val="nil"/>
              <w:right w:val="nil"/>
            </w:tcBorders>
          </w:tcPr>
          <w:p w14:paraId="1A590DE2">
            <w:pPr>
              <w:spacing w:after="0" w:line="360" w:lineRule="auto"/>
              <w:ind w:left="60" w:right="60"/>
              <w:jc w:val="center"/>
            </w:pPr>
            <w:r>
              <w:t>24.1</w:t>
            </w:r>
          </w:p>
        </w:tc>
      </w:tr>
      <w:tr w14:paraId="23D4E9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0A453155">
            <w:pPr>
              <w:widowControl w:val="0"/>
              <w:spacing w:after="0" w:line="360" w:lineRule="auto"/>
            </w:pPr>
          </w:p>
        </w:tc>
        <w:tc>
          <w:tcPr>
            <w:tcW w:w="2091" w:type="dxa"/>
            <w:tcBorders>
              <w:top w:val="nil"/>
              <w:left w:val="nil"/>
              <w:bottom w:val="nil"/>
              <w:right w:val="nil"/>
            </w:tcBorders>
          </w:tcPr>
          <w:p w14:paraId="1B823E68">
            <w:pPr>
              <w:spacing w:after="0" w:line="360" w:lineRule="auto"/>
              <w:ind w:left="60" w:right="60"/>
              <w:jc w:val="center"/>
            </w:pPr>
            <w:r>
              <w:t>Disagree</w:t>
            </w:r>
          </w:p>
        </w:tc>
        <w:tc>
          <w:tcPr>
            <w:tcW w:w="2127" w:type="dxa"/>
            <w:tcBorders>
              <w:top w:val="nil"/>
              <w:left w:val="nil"/>
              <w:bottom w:val="nil"/>
              <w:right w:val="nil"/>
            </w:tcBorders>
          </w:tcPr>
          <w:p w14:paraId="6EA0DBEB">
            <w:pPr>
              <w:spacing w:after="0" w:line="360" w:lineRule="auto"/>
              <w:ind w:left="60" w:right="60"/>
              <w:jc w:val="center"/>
            </w:pPr>
            <w:r>
              <w:t>64</w:t>
            </w:r>
          </w:p>
        </w:tc>
        <w:tc>
          <w:tcPr>
            <w:tcW w:w="2409" w:type="dxa"/>
            <w:tcBorders>
              <w:top w:val="nil"/>
              <w:left w:val="nil"/>
              <w:bottom w:val="nil"/>
              <w:right w:val="nil"/>
            </w:tcBorders>
          </w:tcPr>
          <w:p w14:paraId="2C21B2CB">
            <w:pPr>
              <w:spacing w:after="0" w:line="360" w:lineRule="auto"/>
              <w:ind w:left="60" w:right="60"/>
              <w:jc w:val="center"/>
            </w:pPr>
            <w:r>
              <w:t>20.3</w:t>
            </w:r>
          </w:p>
        </w:tc>
      </w:tr>
      <w:tr w14:paraId="15D5F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3A06AA07">
            <w:pPr>
              <w:widowControl w:val="0"/>
              <w:spacing w:after="0" w:line="360" w:lineRule="auto"/>
            </w:pPr>
          </w:p>
        </w:tc>
        <w:tc>
          <w:tcPr>
            <w:tcW w:w="2091" w:type="dxa"/>
            <w:tcBorders>
              <w:top w:val="nil"/>
              <w:left w:val="nil"/>
              <w:bottom w:val="nil"/>
              <w:right w:val="nil"/>
            </w:tcBorders>
          </w:tcPr>
          <w:p w14:paraId="2CB5A8D5">
            <w:pPr>
              <w:spacing w:after="0" w:line="360" w:lineRule="auto"/>
              <w:ind w:left="60" w:right="60"/>
              <w:jc w:val="center"/>
            </w:pPr>
            <w:r>
              <w:t>Strongly Disagree</w:t>
            </w:r>
          </w:p>
        </w:tc>
        <w:tc>
          <w:tcPr>
            <w:tcW w:w="2127" w:type="dxa"/>
            <w:tcBorders>
              <w:top w:val="nil"/>
              <w:left w:val="nil"/>
              <w:bottom w:val="nil"/>
              <w:right w:val="nil"/>
            </w:tcBorders>
          </w:tcPr>
          <w:p w14:paraId="501AC87F">
            <w:pPr>
              <w:spacing w:after="0" w:line="360" w:lineRule="auto"/>
              <w:ind w:left="60" w:right="60"/>
              <w:jc w:val="center"/>
            </w:pPr>
            <w:r>
              <w:t>28</w:t>
            </w:r>
          </w:p>
        </w:tc>
        <w:tc>
          <w:tcPr>
            <w:tcW w:w="2409" w:type="dxa"/>
            <w:tcBorders>
              <w:top w:val="nil"/>
              <w:left w:val="nil"/>
              <w:bottom w:val="nil"/>
              <w:right w:val="nil"/>
            </w:tcBorders>
          </w:tcPr>
          <w:p w14:paraId="2E8A972A">
            <w:pPr>
              <w:spacing w:after="0" w:line="360" w:lineRule="auto"/>
              <w:ind w:left="60" w:right="60"/>
              <w:jc w:val="center"/>
            </w:pPr>
            <w:r>
              <w:t>8.9</w:t>
            </w:r>
          </w:p>
        </w:tc>
      </w:tr>
      <w:tr w14:paraId="4C9BBC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single" w:color="auto" w:sz="4" w:space="0"/>
              <w:right w:val="nil"/>
            </w:tcBorders>
          </w:tcPr>
          <w:p w14:paraId="4C6740EB">
            <w:pPr>
              <w:widowControl w:val="0"/>
              <w:spacing w:after="0" w:line="360" w:lineRule="auto"/>
            </w:pPr>
          </w:p>
        </w:tc>
        <w:tc>
          <w:tcPr>
            <w:tcW w:w="2091" w:type="dxa"/>
            <w:tcBorders>
              <w:top w:val="nil"/>
              <w:left w:val="nil"/>
              <w:bottom w:val="single" w:color="auto" w:sz="4" w:space="0"/>
              <w:right w:val="nil"/>
            </w:tcBorders>
          </w:tcPr>
          <w:p w14:paraId="3032612C">
            <w:pPr>
              <w:spacing w:after="0" w:line="360" w:lineRule="auto"/>
              <w:ind w:left="60" w:right="60"/>
              <w:jc w:val="center"/>
              <w:rPr>
                <w:b/>
              </w:rPr>
            </w:pPr>
            <w:r>
              <w:rPr>
                <w:b/>
              </w:rPr>
              <w:t>Total</w:t>
            </w:r>
          </w:p>
        </w:tc>
        <w:tc>
          <w:tcPr>
            <w:tcW w:w="2127" w:type="dxa"/>
            <w:tcBorders>
              <w:top w:val="nil"/>
              <w:left w:val="nil"/>
              <w:bottom w:val="single" w:color="000000" w:sz="4" w:space="0"/>
              <w:right w:val="nil"/>
            </w:tcBorders>
          </w:tcPr>
          <w:p w14:paraId="17C69ABF">
            <w:pPr>
              <w:spacing w:after="0" w:line="360" w:lineRule="auto"/>
              <w:ind w:left="60" w:right="60"/>
              <w:jc w:val="center"/>
              <w:rPr>
                <w:b/>
              </w:rPr>
            </w:pPr>
            <w:r>
              <w:rPr>
                <w:b/>
              </w:rPr>
              <w:t>315</w:t>
            </w:r>
          </w:p>
        </w:tc>
        <w:tc>
          <w:tcPr>
            <w:tcW w:w="2409" w:type="dxa"/>
            <w:tcBorders>
              <w:top w:val="nil"/>
              <w:left w:val="nil"/>
              <w:bottom w:val="single" w:color="000000" w:sz="4" w:space="0"/>
              <w:right w:val="nil"/>
            </w:tcBorders>
          </w:tcPr>
          <w:p w14:paraId="392B48FC">
            <w:pPr>
              <w:spacing w:after="0" w:line="360" w:lineRule="auto"/>
              <w:ind w:left="60" w:right="60"/>
              <w:jc w:val="center"/>
              <w:rPr>
                <w:b/>
              </w:rPr>
            </w:pPr>
            <w:r>
              <w:rPr>
                <w:b/>
              </w:rPr>
              <w:t>100.0</w:t>
            </w:r>
          </w:p>
        </w:tc>
      </w:tr>
    </w:tbl>
    <w:p w14:paraId="0DA88762">
      <w:pPr>
        <w:spacing w:line="480" w:lineRule="auto"/>
        <w:rPr>
          <w:rFonts w:hint="default"/>
          <w:b/>
          <w:lang w:val="en-US"/>
        </w:rPr>
      </w:pPr>
      <w:r>
        <w:rPr>
          <w:b/>
        </w:rPr>
        <w:t>Field survey, 202</w:t>
      </w:r>
      <w:r>
        <w:rPr>
          <w:rFonts w:hint="default"/>
          <w:b/>
          <w:lang w:val="en-US"/>
        </w:rPr>
        <w:t>5</w:t>
      </w:r>
    </w:p>
    <w:p w14:paraId="155E7712">
      <w:pPr>
        <w:spacing w:line="480" w:lineRule="auto"/>
        <w:jc w:val="both"/>
      </w:pPr>
      <w:bookmarkStart w:id="50" w:name="_heading=h.2bn6wsx" w:colFirst="0" w:colLast="0"/>
      <w:bookmarkEnd w:id="50"/>
      <w:r>
        <w:t>The analysis in Table 18 above revealed that a significant majority 70.8% of the respondents are in agreement with the fact that they were taught by cybercafé/Information centre staff while 29.2% disagreed. This connotes that majority of the respondents acquired ICT skills through cybercafé/Information centre staff.</w:t>
      </w:r>
    </w:p>
    <w:p w14:paraId="640AB76B">
      <w:pPr>
        <w:spacing w:line="480" w:lineRule="auto"/>
      </w:pPr>
      <w:r>
        <w:rPr>
          <w:b/>
        </w:rPr>
        <w:t>Presentation of Data on Recommendations for Curriculum modification</w:t>
      </w:r>
    </w:p>
    <w:tbl>
      <w:tblPr>
        <w:tblStyle w:val="70"/>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2268"/>
        <w:gridCol w:w="2268"/>
        <w:gridCol w:w="292"/>
      </w:tblGrid>
      <w:tr w14:paraId="3D469A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0A2B6176">
            <w:pPr>
              <w:spacing w:after="0" w:line="480" w:lineRule="auto"/>
              <w:ind w:left="60" w:right="60"/>
            </w:pPr>
            <w:r>
              <w:rPr>
                <w:b/>
              </w:rPr>
              <w:t>Table 4.17: The LIS curriculum should include more practical ICT training sessions</w:t>
            </w:r>
          </w:p>
        </w:tc>
      </w:tr>
      <w:tr w14:paraId="2C006F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835" w:type="dxa"/>
            <w:gridSpan w:val="2"/>
            <w:tcBorders>
              <w:top w:val="single" w:color="000000" w:sz="4" w:space="0"/>
              <w:left w:val="nil"/>
              <w:bottom w:val="single" w:color="000000" w:sz="4" w:space="0"/>
              <w:right w:val="nil"/>
            </w:tcBorders>
            <w:vAlign w:val="bottom"/>
          </w:tcPr>
          <w:p w14:paraId="589B2D4E">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5425EA4B">
            <w:pPr>
              <w:spacing w:after="0" w:line="360" w:lineRule="auto"/>
              <w:ind w:left="60" w:right="60"/>
              <w:jc w:val="center"/>
              <w:rPr>
                <w:b/>
              </w:rPr>
            </w:pPr>
            <w:r>
              <w:rPr>
                <w:b/>
              </w:rPr>
              <w:t>Frequency</w:t>
            </w:r>
          </w:p>
        </w:tc>
        <w:tc>
          <w:tcPr>
            <w:tcW w:w="2268" w:type="dxa"/>
            <w:tcBorders>
              <w:top w:val="single" w:color="000000" w:sz="4" w:space="0"/>
              <w:left w:val="nil"/>
              <w:bottom w:val="single" w:color="000000" w:sz="4" w:space="0"/>
              <w:right w:val="nil"/>
            </w:tcBorders>
            <w:vAlign w:val="bottom"/>
          </w:tcPr>
          <w:p w14:paraId="4D9A1ABC">
            <w:pPr>
              <w:spacing w:after="0" w:line="360" w:lineRule="auto"/>
              <w:ind w:left="60" w:right="60"/>
              <w:jc w:val="center"/>
              <w:rPr>
                <w:b/>
              </w:rPr>
            </w:pPr>
            <w:r>
              <w:rPr>
                <w:b/>
              </w:rPr>
              <w:t>Percent</w:t>
            </w:r>
          </w:p>
        </w:tc>
      </w:tr>
      <w:tr w14:paraId="1877DE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27CE96BE">
            <w:pPr>
              <w:spacing w:after="0" w:line="360" w:lineRule="auto"/>
              <w:ind w:left="60" w:right="60"/>
              <w:jc w:val="center"/>
            </w:pPr>
          </w:p>
        </w:tc>
        <w:tc>
          <w:tcPr>
            <w:tcW w:w="2091" w:type="dxa"/>
            <w:tcBorders>
              <w:top w:val="single" w:color="000000" w:sz="4" w:space="0"/>
              <w:left w:val="nil"/>
              <w:bottom w:val="nil"/>
              <w:right w:val="nil"/>
            </w:tcBorders>
          </w:tcPr>
          <w:p w14:paraId="3B79CD7E">
            <w:pPr>
              <w:spacing w:after="0" w:line="360" w:lineRule="auto"/>
              <w:ind w:left="60" w:right="60"/>
              <w:jc w:val="center"/>
            </w:pPr>
            <w:r>
              <w:t>Strongly Agree</w:t>
            </w:r>
          </w:p>
        </w:tc>
        <w:tc>
          <w:tcPr>
            <w:tcW w:w="2268" w:type="dxa"/>
            <w:tcBorders>
              <w:top w:val="single" w:color="000000" w:sz="4" w:space="0"/>
              <w:left w:val="nil"/>
              <w:bottom w:val="nil"/>
              <w:right w:val="nil"/>
            </w:tcBorders>
          </w:tcPr>
          <w:p w14:paraId="4ACD25C7">
            <w:pPr>
              <w:spacing w:after="0" w:line="360" w:lineRule="auto"/>
              <w:ind w:left="60" w:right="60"/>
              <w:jc w:val="center"/>
            </w:pPr>
            <w:r>
              <w:t>203</w:t>
            </w:r>
          </w:p>
        </w:tc>
        <w:tc>
          <w:tcPr>
            <w:tcW w:w="2268" w:type="dxa"/>
            <w:tcBorders>
              <w:top w:val="single" w:color="000000" w:sz="4" w:space="0"/>
              <w:left w:val="nil"/>
              <w:bottom w:val="nil"/>
              <w:right w:val="nil"/>
            </w:tcBorders>
          </w:tcPr>
          <w:p w14:paraId="3B2F1650">
            <w:pPr>
              <w:spacing w:after="0" w:line="360" w:lineRule="auto"/>
              <w:ind w:left="60" w:right="60"/>
              <w:jc w:val="center"/>
            </w:pPr>
            <w:r>
              <w:t>64.4</w:t>
            </w:r>
          </w:p>
        </w:tc>
      </w:tr>
      <w:tr w14:paraId="356232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49AAE285">
            <w:pPr>
              <w:widowControl w:val="0"/>
              <w:spacing w:after="0" w:line="360" w:lineRule="auto"/>
            </w:pPr>
          </w:p>
        </w:tc>
        <w:tc>
          <w:tcPr>
            <w:tcW w:w="2091" w:type="dxa"/>
            <w:tcBorders>
              <w:top w:val="nil"/>
              <w:left w:val="nil"/>
              <w:bottom w:val="nil"/>
              <w:right w:val="nil"/>
            </w:tcBorders>
          </w:tcPr>
          <w:p w14:paraId="3BC0DAD0">
            <w:pPr>
              <w:spacing w:after="0" w:line="360" w:lineRule="auto"/>
              <w:ind w:left="60" w:right="60"/>
              <w:jc w:val="center"/>
            </w:pPr>
            <w:r>
              <w:t>Agree</w:t>
            </w:r>
          </w:p>
        </w:tc>
        <w:tc>
          <w:tcPr>
            <w:tcW w:w="2268" w:type="dxa"/>
            <w:tcBorders>
              <w:top w:val="nil"/>
              <w:left w:val="nil"/>
              <w:bottom w:val="nil"/>
              <w:right w:val="nil"/>
            </w:tcBorders>
          </w:tcPr>
          <w:p w14:paraId="709736E0">
            <w:pPr>
              <w:spacing w:after="0" w:line="360" w:lineRule="auto"/>
              <w:ind w:left="60" w:right="60"/>
              <w:jc w:val="center"/>
            </w:pPr>
            <w:r>
              <w:t>107</w:t>
            </w:r>
          </w:p>
        </w:tc>
        <w:tc>
          <w:tcPr>
            <w:tcW w:w="2268" w:type="dxa"/>
            <w:tcBorders>
              <w:top w:val="nil"/>
              <w:left w:val="nil"/>
              <w:bottom w:val="nil"/>
              <w:right w:val="nil"/>
            </w:tcBorders>
          </w:tcPr>
          <w:p w14:paraId="74211CFE">
            <w:pPr>
              <w:spacing w:after="0" w:line="360" w:lineRule="auto"/>
              <w:ind w:left="60" w:right="60"/>
              <w:jc w:val="center"/>
            </w:pPr>
            <w:r>
              <w:t>34.0</w:t>
            </w:r>
          </w:p>
        </w:tc>
      </w:tr>
      <w:tr w14:paraId="348CC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133B7724">
            <w:pPr>
              <w:widowControl w:val="0"/>
              <w:spacing w:after="0" w:line="360" w:lineRule="auto"/>
            </w:pPr>
          </w:p>
        </w:tc>
        <w:tc>
          <w:tcPr>
            <w:tcW w:w="2091" w:type="dxa"/>
            <w:tcBorders>
              <w:top w:val="nil"/>
              <w:left w:val="nil"/>
              <w:bottom w:val="nil"/>
              <w:right w:val="nil"/>
            </w:tcBorders>
          </w:tcPr>
          <w:p w14:paraId="6B5660F7">
            <w:pPr>
              <w:spacing w:after="0" w:line="360" w:lineRule="auto"/>
              <w:ind w:left="60" w:right="60"/>
              <w:jc w:val="center"/>
            </w:pPr>
            <w:r>
              <w:t>Disagree</w:t>
            </w:r>
          </w:p>
        </w:tc>
        <w:tc>
          <w:tcPr>
            <w:tcW w:w="2268" w:type="dxa"/>
            <w:tcBorders>
              <w:top w:val="nil"/>
              <w:left w:val="nil"/>
              <w:bottom w:val="nil"/>
              <w:right w:val="nil"/>
            </w:tcBorders>
          </w:tcPr>
          <w:p w14:paraId="6BD2C91B">
            <w:pPr>
              <w:spacing w:after="0" w:line="360" w:lineRule="auto"/>
              <w:ind w:left="60" w:right="60"/>
              <w:jc w:val="center"/>
            </w:pPr>
            <w:r>
              <w:t>3</w:t>
            </w:r>
          </w:p>
        </w:tc>
        <w:tc>
          <w:tcPr>
            <w:tcW w:w="2268" w:type="dxa"/>
            <w:tcBorders>
              <w:top w:val="nil"/>
              <w:left w:val="nil"/>
              <w:bottom w:val="nil"/>
              <w:right w:val="nil"/>
            </w:tcBorders>
          </w:tcPr>
          <w:p w14:paraId="107A07DF">
            <w:pPr>
              <w:spacing w:after="0" w:line="360" w:lineRule="auto"/>
              <w:ind w:left="60" w:right="60"/>
              <w:jc w:val="center"/>
            </w:pPr>
            <w:r>
              <w:t>1.0</w:t>
            </w:r>
          </w:p>
        </w:tc>
      </w:tr>
      <w:tr w14:paraId="50A2D1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16EC8871">
            <w:pPr>
              <w:widowControl w:val="0"/>
              <w:spacing w:after="0" w:line="360" w:lineRule="auto"/>
            </w:pPr>
          </w:p>
        </w:tc>
        <w:tc>
          <w:tcPr>
            <w:tcW w:w="2091" w:type="dxa"/>
            <w:tcBorders>
              <w:top w:val="nil"/>
              <w:left w:val="nil"/>
              <w:bottom w:val="nil"/>
              <w:right w:val="nil"/>
            </w:tcBorders>
          </w:tcPr>
          <w:p w14:paraId="0B3B19D1">
            <w:pPr>
              <w:spacing w:after="0" w:line="360" w:lineRule="auto"/>
              <w:ind w:left="60" w:right="60"/>
              <w:jc w:val="center"/>
            </w:pPr>
            <w:r>
              <w:t>Strongly Disagree</w:t>
            </w:r>
          </w:p>
        </w:tc>
        <w:tc>
          <w:tcPr>
            <w:tcW w:w="2268" w:type="dxa"/>
            <w:tcBorders>
              <w:top w:val="nil"/>
              <w:left w:val="nil"/>
              <w:bottom w:val="nil"/>
              <w:right w:val="nil"/>
            </w:tcBorders>
          </w:tcPr>
          <w:p w14:paraId="755A1454">
            <w:pPr>
              <w:spacing w:after="0" w:line="360" w:lineRule="auto"/>
              <w:ind w:left="60" w:right="60"/>
              <w:jc w:val="center"/>
            </w:pPr>
            <w:r>
              <w:t>2</w:t>
            </w:r>
          </w:p>
        </w:tc>
        <w:tc>
          <w:tcPr>
            <w:tcW w:w="2268" w:type="dxa"/>
            <w:tcBorders>
              <w:top w:val="nil"/>
              <w:left w:val="nil"/>
              <w:bottom w:val="nil"/>
              <w:right w:val="nil"/>
            </w:tcBorders>
          </w:tcPr>
          <w:p w14:paraId="1BCADD91">
            <w:pPr>
              <w:spacing w:after="0" w:line="360" w:lineRule="auto"/>
              <w:ind w:left="60" w:right="60"/>
              <w:jc w:val="center"/>
            </w:pPr>
            <w:r>
              <w:t>.6</w:t>
            </w:r>
          </w:p>
        </w:tc>
      </w:tr>
      <w:tr w14:paraId="036AAC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1152B710">
            <w:pPr>
              <w:widowControl w:val="0"/>
              <w:spacing w:after="0" w:line="360" w:lineRule="auto"/>
            </w:pPr>
          </w:p>
        </w:tc>
        <w:tc>
          <w:tcPr>
            <w:tcW w:w="2091" w:type="dxa"/>
            <w:tcBorders>
              <w:top w:val="nil"/>
              <w:left w:val="nil"/>
              <w:bottom w:val="single" w:color="000000" w:sz="4" w:space="0"/>
              <w:right w:val="nil"/>
            </w:tcBorders>
          </w:tcPr>
          <w:p w14:paraId="2D4592CB">
            <w:pPr>
              <w:spacing w:after="0" w:line="360" w:lineRule="auto"/>
              <w:ind w:left="60" w:right="60"/>
              <w:jc w:val="center"/>
              <w:rPr>
                <w:b/>
              </w:rPr>
            </w:pPr>
            <w:r>
              <w:rPr>
                <w:b/>
              </w:rPr>
              <w:t>Total</w:t>
            </w:r>
          </w:p>
        </w:tc>
        <w:tc>
          <w:tcPr>
            <w:tcW w:w="2268" w:type="dxa"/>
            <w:tcBorders>
              <w:top w:val="nil"/>
              <w:left w:val="nil"/>
              <w:bottom w:val="single" w:color="000000" w:sz="4" w:space="0"/>
              <w:right w:val="nil"/>
            </w:tcBorders>
          </w:tcPr>
          <w:p w14:paraId="611D2F24">
            <w:pPr>
              <w:spacing w:after="0" w:line="360" w:lineRule="auto"/>
              <w:ind w:left="60" w:right="60"/>
              <w:jc w:val="center"/>
              <w:rPr>
                <w:b/>
              </w:rPr>
            </w:pPr>
            <w:r>
              <w:rPr>
                <w:b/>
              </w:rPr>
              <w:t>315</w:t>
            </w:r>
          </w:p>
        </w:tc>
        <w:tc>
          <w:tcPr>
            <w:tcW w:w="2268" w:type="dxa"/>
            <w:tcBorders>
              <w:top w:val="nil"/>
              <w:left w:val="nil"/>
              <w:bottom w:val="single" w:color="000000" w:sz="4" w:space="0"/>
              <w:right w:val="nil"/>
            </w:tcBorders>
          </w:tcPr>
          <w:p w14:paraId="37A6572A">
            <w:pPr>
              <w:spacing w:after="0" w:line="360" w:lineRule="auto"/>
              <w:ind w:left="60" w:right="60"/>
              <w:jc w:val="center"/>
              <w:rPr>
                <w:b/>
              </w:rPr>
            </w:pPr>
            <w:r>
              <w:rPr>
                <w:b/>
              </w:rPr>
              <w:t>100.0</w:t>
            </w:r>
          </w:p>
        </w:tc>
      </w:tr>
    </w:tbl>
    <w:p w14:paraId="2E7B51BC">
      <w:pPr>
        <w:spacing w:line="480" w:lineRule="auto"/>
        <w:rPr>
          <w:rFonts w:hint="default"/>
          <w:b/>
          <w:lang w:val="en-US"/>
        </w:rPr>
      </w:pPr>
      <w:r>
        <w:rPr>
          <w:b/>
        </w:rPr>
        <w:t>Field survey, 202</w:t>
      </w:r>
      <w:r>
        <w:rPr>
          <w:rFonts w:hint="default"/>
          <w:b/>
          <w:lang w:val="en-US"/>
        </w:rPr>
        <w:t>5</w:t>
      </w:r>
    </w:p>
    <w:p w14:paraId="4BFB5B62">
      <w:pPr>
        <w:spacing w:line="480" w:lineRule="auto"/>
        <w:jc w:val="both"/>
      </w:pPr>
      <w:bookmarkStart w:id="51" w:name="_heading=h.qsh70q" w:colFirst="0" w:colLast="0"/>
      <w:bookmarkEnd w:id="51"/>
      <w:r>
        <w:t>It can be deduced from the analysis in Table 19 that a significant majority of the respondents 98.4% (N=310) agreed with the fact that the LIS curriculum should include more practical training sessions while 1.6% disagreed. This implies that almost all of the respondents assert that the LIS curriculum should include more practical ICT training sessions.</w:t>
      </w:r>
    </w:p>
    <w:tbl>
      <w:tblPr>
        <w:tblStyle w:val="71"/>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1950"/>
        <w:gridCol w:w="2268"/>
        <w:gridCol w:w="2268"/>
        <w:gridCol w:w="433"/>
      </w:tblGrid>
      <w:tr w14:paraId="2B2EAB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04EDA063">
            <w:pPr>
              <w:spacing w:after="0" w:line="480" w:lineRule="auto"/>
              <w:ind w:left="60" w:right="60"/>
              <w:jc w:val="both"/>
            </w:pPr>
            <w:r>
              <w:rPr>
                <w:b/>
              </w:rPr>
              <w:t>Table 4.18: The university should provide more access to up-to-date ICT resources for LIS students</w:t>
            </w:r>
          </w:p>
        </w:tc>
      </w:tr>
      <w:tr w14:paraId="316AC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2694" w:type="dxa"/>
            <w:gridSpan w:val="2"/>
            <w:tcBorders>
              <w:top w:val="single" w:color="000000" w:sz="4" w:space="0"/>
              <w:left w:val="nil"/>
              <w:bottom w:val="single" w:color="000000" w:sz="4" w:space="0"/>
              <w:right w:val="nil"/>
            </w:tcBorders>
            <w:vAlign w:val="bottom"/>
          </w:tcPr>
          <w:p w14:paraId="38638302">
            <w:pPr>
              <w:spacing w:after="0" w:line="276" w:lineRule="auto"/>
              <w:jc w:val="center"/>
              <w:rPr>
                <w:b/>
              </w:rPr>
            </w:pPr>
          </w:p>
        </w:tc>
        <w:tc>
          <w:tcPr>
            <w:tcW w:w="2268" w:type="dxa"/>
            <w:tcBorders>
              <w:top w:val="single" w:color="000000" w:sz="4" w:space="0"/>
              <w:left w:val="nil"/>
              <w:bottom w:val="single" w:color="000000" w:sz="4" w:space="0"/>
              <w:right w:val="nil"/>
            </w:tcBorders>
            <w:vAlign w:val="bottom"/>
          </w:tcPr>
          <w:p w14:paraId="5CA5B34D">
            <w:pPr>
              <w:spacing w:after="0" w:line="276" w:lineRule="auto"/>
              <w:ind w:left="60" w:right="60"/>
              <w:jc w:val="center"/>
              <w:rPr>
                <w:b/>
              </w:rPr>
            </w:pPr>
            <w:r>
              <w:rPr>
                <w:b/>
              </w:rPr>
              <w:t>Frequency</w:t>
            </w:r>
          </w:p>
        </w:tc>
        <w:tc>
          <w:tcPr>
            <w:tcW w:w="2268" w:type="dxa"/>
            <w:tcBorders>
              <w:top w:val="single" w:color="000000" w:sz="4" w:space="0"/>
              <w:left w:val="nil"/>
              <w:bottom w:val="single" w:color="000000" w:sz="4" w:space="0"/>
              <w:right w:val="nil"/>
            </w:tcBorders>
            <w:vAlign w:val="bottom"/>
          </w:tcPr>
          <w:p w14:paraId="5BDC6710">
            <w:pPr>
              <w:spacing w:after="0" w:line="276" w:lineRule="auto"/>
              <w:ind w:left="60" w:right="60"/>
              <w:jc w:val="center"/>
              <w:rPr>
                <w:b/>
              </w:rPr>
            </w:pPr>
            <w:r>
              <w:rPr>
                <w:b/>
              </w:rPr>
              <w:t>Percent</w:t>
            </w:r>
          </w:p>
        </w:tc>
      </w:tr>
      <w:tr w14:paraId="6F27CE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restart"/>
            <w:tcBorders>
              <w:top w:val="single" w:color="000000" w:sz="4" w:space="0"/>
              <w:left w:val="nil"/>
              <w:bottom w:val="nil"/>
              <w:right w:val="nil"/>
            </w:tcBorders>
          </w:tcPr>
          <w:p w14:paraId="682F4BA7">
            <w:pPr>
              <w:spacing w:after="0" w:line="276" w:lineRule="auto"/>
              <w:ind w:left="60" w:right="60"/>
            </w:pPr>
          </w:p>
        </w:tc>
        <w:tc>
          <w:tcPr>
            <w:tcW w:w="1950" w:type="dxa"/>
            <w:tcBorders>
              <w:top w:val="single" w:color="000000" w:sz="4" w:space="0"/>
              <w:left w:val="nil"/>
              <w:bottom w:val="nil"/>
              <w:right w:val="nil"/>
            </w:tcBorders>
          </w:tcPr>
          <w:p w14:paraId="79762785">
            <w:pPr>
              <w:spacing w:after="0" w:line="276" w:lineRule="auto"/>
              <w:ind w:left="60" w:right="60"/>
              <w:jc w:val="center"/>
            </w:pPr>
            <w:r>
              <w:t>Strongly Agree</w:t>
            </w:r>
          </w:p>
        </w:tc>
        <w:tc>
          <w:tcPr>
            <w:tcW w:w="2268" w:type="dxa"/>
            <w:tcBorders>
              <w:top w:val="single" w:color="000000" w:sz="4" w:space="0"/>
              <w:left w:val="nil"/>
              <w:bottom w:val="nil"/>
              <w:right w:val="nil"/>
            </w:tcBorders>
          </w:tcPr>
          <w:p w14:paraId="44D72210">
            <w:pPr>
              <w:spacing w:after="0" w:line="276" w:lineRule="auto"/>
              <w:ind w:left="60" w:right="60"/>
              <w:jc w:val="center"/>
            </w:pPr>
            <w:r>
              <w:t>187</w:t>
            </w:r>
          </w:p>
        </w:tc>
        <w:tc>
          <w:tcPr>
            <w:tcW w:w="2268" w:type="dxa"/>
            <w:tcBorders>
              <w:top w:val="single" w:color="000000" w:sz="4" w:space="0"/>
              <w:left w:val="nil"/>
              <w:bottom w:val="nil"/>
              <w:right w:val="nil"/>
            </w:tcBorders>
          </w:tcPr>
          <w:p w14:paraId="0C428653">
            <w:pPr>
              <w:spacing w:after="0" w:line="276" w:lineRule="auto"/>
              <w:ind w:left="60" w:right="60"/>
              <w:jc w:val="center"/>
            </w:pPr>
            <w:r>
              <w:t>59.4</w:t>
            </w:r>
          </w:p>
        </w:tc>
      </w:tr>
      <w:tr w14:paraId="5B5161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6531C434">
            <w:pPr>
              <w:widowControl w:val="0"/>
              <w:spacing w:after="0" w:line="276" w:lineRule="auto"/>
            </w:pPr>
          </w:p>
        </w:tc>
        <w:tc>
          <w:tcPr>
            <w:tcW w:w="1950" w:type="dxa"/>
            <w:tcBorders>
              <w:top w:val="nil"/>
              <w:left w:val="nil"/>
              <w:bottom w:val="nil"/>
              <w:right w:val="nil"/>
            </w:tcBorders>
          </w:tcPr>
          <w:p w14:paraId="4140DFA0">
            <w:pPr>
              <w:spacing w:after="0" w:line="276" w:lineRule="auto"/>
              <w:ind w:left="60" w:right="60"/>
              <w:jc w:val="center"/>
            </w:pPr>
            <w:r>
              <w:t>Agree</w:t>
            </w:r>
          </w:p>
        </w:tc>
        <w:tc>
          <w:tcPr>
            <w:tcW w:w="2268" w:type="dxa"/>
            <w:tcBorders>
              <w:top w:val="nil"/>
              <w:left w:val="nil"/>
              <w:bottom w:val="nil"/>
              <w:right w:val="nil"/>
            </w:tcBorders>
          </w:tcPr>
          <w:p w14:paraId="70CFC3B4">
            <w:pPr>
              <w:spacing w:after="0" w:line="276" w:lineRule="auto"/>
              <w:ind w:left="60" w:right="60"/>
              <w:jc w:val="center"/>
            </w:pPr>
            <w:r>
              <w:t>120</w:t>
            </w:r>
          </w:p>
        </w:tc>
        <w:tc>
          <w:tcPr>
            <w:tcW w:w="2268" w:type="dxa"/>
            <w:tcBorders>
              <w:top w:val="nil"/>
              <w:left w:val="nil"/>
              <w:bottom w:val="nil"/>
              <w:right w:val="nil"/>
            </w:tcBorders>
          </w:tcPr>
          <w:p w14:paraId="6D93D4A3">
            <w:pPr>
              <w:spacing w:after="0" w:line="276" w:lineRule="auto"/>
              <w:ind w:left="60" w:right="60"/>
              <w:jc w:val="center"/>
            </w:pPr>
            <w:r>
              <w:t>38.1</w:t>
            </w:r>
          </w:p>
        </w:tc>
      </w:tr>
      <w:tr w14:paraId="3D1D8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5C28C242">
            <w:pPr>
              <w:widowControl w:val="0"/>
              <w:spacing w:after="0" w:line="276" w:lineRule="auto"/>
            </w:pPr>
          </w:p>
        </w:tc>
        <w:tc>
          <w:tcPr>
            <w:tcW w:w="1950" w:type="dxa"/>
            <w:tcBorders>
              <w:top w:val="nil"/>
              <w:left w:val="nil"/>
              <w:bottom w:val="nil"/>
              <w:right w:val="nil"/>
            </w:tcBorders>
          </w:tcPr>
          <w:p w14:paraId="22B14348">
            <w:pPr>
              <w:spacing w:after="0" w:line="276" w:lineRule="auto"/>
              <w:ind w:left="60" w:right="60"/>
              <w:jc w:val="center"/>
            </w:pPr>
            <w:r>
              <w:t>Disagree</w:t>
            </w:r>
          </w:p>
        </w:tc>
        <w:tc>
          <w:tcPr>
            <w:tcW w:w="2268" w:type="dxa"/>
            <w:tcBorders>
              <w:top w:val="nil"/>
              <w:left w:val="nil"/>
              <w:bottom w:val="nil"/>
              <w:right w:val="nil"/>
            </w:tcBorders>
          </w:tcPr>
          <w:p w14:paraId="056EEAD1">
            <w:pPr>
              <w:spacing w:after="0" w:line="276" w:lineRule="auto"/>
              <w:ind w:left="60" w:right="60"/>
              <w:jc w:val="center"/>
            </w:pPr>
            <w:r>
              <w:t>5</w:t>
            </w:r>
          </w:p>
        </w:tc>
        <w:tc>
          <w:tcPr>
            <w:tcW w:w="2268" w:type="dxa"/>
            <w:tcBorders>
              <w:top w:val="nil"/>
              <w:left w:val="nil"/>
              <w:bottom w:val="nil"/>
              <w:right w:val="nil"/>
            </w:tcBorders>
          </w:tcPr>
          <w:p w14:paraId="0B32F63F">
            <w:pPr>
              <w:spacing w:after="0" w:line="276" w:lineRule="auto"/>
              <w:ind w:left="60" w:right="60"/>
              <w:jc w:val="center"/>
            </w:pPr>
            <w:r>
              <w:t>1.6</w:t>
            </w:r>
          </w:p>
        </w:tc>
      </w:tr>
      <w:tr w14:paraId="0CC58D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3138AEC9">
            <w:pPr>
              <w:widowControl w:val="0"/>
              <w:spacing w:after="0" w:line="276" w:lineRule="auto"/>
            </w:pPr>
          </w:p>
        </w:tc>
        <w:tc>
          <w:tcPr>
            <w:tcW w:w="1950" w:type="dxa"/>
            <w:tcBorders>
              <w:top w:val="nil"/>
              <w:left w:val="nil"/>
              <w:bottom w:val="nil"/>
              <w:right w:val="nil"/>
            </w:tcBorders>
          </w:tcPr>
          <w:p w14:paraId="66961A2D">
            <w:pPr>
              <w:spacing w:after="0" w:line="276" w:lineRule="auto"/>
              <w:ind w:left="60" w:right="60"/>
              <w:jc w:val="center"/>
            </w:pPr>
            <w:r>
              <w:t>Strongly Disagree</w:t>
            </w:r>
          </w:p>
        </w:tc>
        <w:tc>
          <w:tcPr>
            <w:tcW w:w="2268" w:type="dxa"/>
            <w:tcBorders>
              <w:top w:val="nil"/>
              <w:left w:val="nil"/>
              <w:bottom w:val="nil"/>
              <w:right w:val="nil"/>
            </w:tcBorders>
          </w:tcPr>
          <w:p w14:paraId="2777234A">
            <w:pPr>
              <w:spacing w:after="0" w:line="276" w:lineRule="auto"/>
              <w:ind w:left="60" w:right="60"/>
              <w:jc w:val="center"/>
            </w:pPr>
            <w:r>
              <w:t>3</w:t>
            </w:r>
          </w:p>
        </w:tc>
        <w:tc>
          <w:tcPr>
            <w:tcW w:w="2268" w:type="dxa"/>
            <w:tcBorders>
              <w:top w:val="nil"/>
              <w:left w:val="nil"/>
              <w:bottom w:val="nil"/>
              <w:right w:val="nil"/>
            </w:tcBorders>
          </w:tcPr>
          <w:p w14:paraId="209199CA">
            <w:pPr>
              <w:spacing w:after="0" w:line="276" w:lineRule="auto"/>
              <w:ind w:left="60" w:right="60"/>
              <w:jc w:val="center"/>
            </w:pPr>
            <w:r>
              <w:t>1.0</w:t>
            </w:r>
          </w:p>
        </w:tc>
      </w:tr>
      <w:tr w14:paraId="545C1C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11E2E278">
            <w:pPr>
              <w:widowControl w:val="0"/>
              <w:spacing w:after="0" w:line="276" w:lineRule="auto"/>
            </w:pPr>
          </w:p>
        </w:tc>
        <w:tc>
          <w:tcPr>
            <w:tcW w:w="1950" w:type="dxa"/>
            <w:tcBorders>
              <w:top w:val="nil"/>
              <w:left w:val="nil"/>
              <w:bottom w:val="single" w:color="000000" w:sz="4" w:space="0"/>
              <w:right w:val="nil"/>
            </w:tcBorders>
          </w:tcPr>
          <w:p w14:paraId="4816C480">
            <w:pPr>
              <w:spacing w:after="0" w:line="276" w:lineRule="auto"/>
              <w:ind w:left="60" w:right="60"/>
              <w:jc w:val="center"/>
              <w:rPr>
                <w:b/>
              </w:rPr>
            </w:pPr>
            <w:r>
              <w:rPr>
                <w:b/>
              </w:rPr>
              <w:t>Total</w:t>
            </w:r>
          </w:p>
        </w:tc>
        <w:tc>
          <w:tcPr>
            <w:tcW w:w="2268" w:type="dxa"/>
            <w:tcBorders>
              <w:top w:val="nil"/>
              <w:left w:val="nil"/>
              <w:bottom w:val="single" w:color="000000" w:sz="4" w:space="0"/>
              <w:right w:val="nil"/>
            </w:tcBorders>
          </w:tcPr>
          <w:p w14:paraId="2C7D311A">
            <w:pPr>
              <w:spacing w:after="0" w:line="276" w:lineRule="auto"/>
              <w:ind w:left="60" w:right="60"/>
              <w:jc w:val="center"/>
              <w:rPr>
                <w:b/>
              </w:rPr>
            </w:pPr>
            <w:r>
              <w:rPr>
                <w:b/>
              </w:rPr>
              <w:t>315</w:t>
            </w:r>
          </w:p>
        </w:tc>
        <w:tc>
          <w:tcPr>
            <w:tcW w:w="2268" w:type="dxa"/>
            <w:tcBorders>
              <w:top w:val="nil"/>
              <w:left w:val="nil"/>
              <w:bottom w:val="single" w:color="000000" w:sz="4" w:space="0"/>
              <w:right w:val="nil"/>
            </w:tcBorders>
          </w:tcPr>
          <w:p w14:paraId="59D17AAD">
            <w:pPr>
              <w:spacing w:after="0" w:line="276" w:lineRule="auto"/>
              <w:ind w:left="60" w:right="60"/>
              <w:jc w:val="center"/>
              <w:rPr>
                <w:b/>
              </w:rPr>
            </w:pPr>
            <w:r>
              <w:rPr>
                <w:b/>
              </w:rPr>
              <w:t>100.0</w:t>
            </w:r>
          </w:p>
        </w:tc>
      </w:tr>
    </w:tbl>
    <w:p w14:paraId="6CC162E2">
      <w:pPr>
        <w:spacing w:line="480" w:lineRule="auto"/>
        <w:rPr>
          <w:rFonts w:hint="default"/>
          <w:b/>
          <w:lang w:val="en-US"/>
        </w:rPr>
      </w:pPr>
      <w:r>
        <w:rPr>
          <w:b/>
        </w:rPr>
        <w:t>Field survey, 202</w:t>
      </w:r>
      <w:r>
        <w:rPr>
          <w:rFonts w:hint="default"/>
          <w:b/>
          <w:lang w:val="en-US"/>
        </w:rPr>
        <w:t>5</w:t>
      </w:r>
    </w:p>
    <w:p w14:paraId="51FB6160">
      <w:pPr>
        <w:spacing w:line="480" w:lineRule="auto"/>
        <w:jc w:val="both"/>
      </w:pPr>
      <w:bookmarkStart w:id="52" w:name="_heading=h.3as4poj" w:colFirst="0" w:colLast="0"/>
      <w:bookmarkEnd w:id="52"/>
      <w:r>
        <w:t>The analysis in Table 20 above revealed that a significant majority 97.5% (N=307) of the respondents are in agreement with the fact that the university should provide more access to up-to-date ICT resources for LIS students while 2.6% disagreed. This connotes that majority of the respondents expect the university to provide more access to up-to-date ICT resources for LIS students.</w:t>
      </w:r>
    </w:p>
    <w:tbl>
      <w:tblPr>
        <w:tblStyle w:val="72"/>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2268"/>
        <w:gridCol w:w="2127"/>
        <w:gridCol w:w="433"/>
      </w:tblGrid>
      <w:tr w14:paraId="5421E5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33D381A8">
            <w:pPr>
              <w:spacing w:after="0" w:line="480" w:lineRule="auto"/>
              <w:ind w:left="60" w:right="60"/>
            </w:pPr>
            <w:r>
              <w:rPr>
                <w:b/>
              </w:rPr>
              <w:t>Table 4.19: There should be regular workshops and seminars on emerging ICT trends and technologies relevant to LIS</w:t>
            </w:r>
          </w:p>
        </w:tc>
      </w:tr>
      <w:tr w14:paraId="513FBB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2835" w:type="dxa"/>
            <w:gridSpan w:val="2"/>
            <w:tcBorders>
              <w:top w:val="single" w:color="000000" w:sz="4" w:space="0"/>
              <w:left w:val="nil"/>
              <w:bottom w:val="single" w:color="000000" w:sz="4" w:space="0"/>
              <w:right w:val="nil"/>
            </w:tcBorders>
            <w:vAlign w:val="bottom"/>
          </w:tcPr>
          <w:p w14:paraId="336C10F8">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53D3C9AB">
            <w:pPr>
              <w:spacing w:after="0" w:line="360" w:lineRule="auto"/>
              <w:ind w:left="60" w:right="60"/>
              <w:jc w:val="center"/>
              <w:rPr>
                <w:b/>
              </w:rPr>
            </w:pPr>
            <w:r>
              <w:rPr>
                <w:b/>
              </w:rPr>
              <w:t>Frequency</w:t>
            </w:r>
          </w:p>
        </w:tc>
        <w:tc>
          <w:tcPr>
            <w:tcW w:w="2127" w:type="dxa"/>
            <w:tcBorders>
              <w:top w:val="single" w:color="000000" w:sz="4" w:space="0"/>
              <w:left w:val="nil"/>
              <w:bottom w:val="single" w:color="000000" w:sz="4" w:space="0"/>
              <w:right w:val="nil"/>
            </w:tcBorders>
            <w:vAlign w:val="bottom"/>
          </w:tcPr>
          <w:p w14:paraId="7EEC7B36">
            <w:pPr>
              <w:spacing w:after="0" w:line="360" w:lineRule="auto"/>
              <w:ind w:left="60" w:right="60"/>
              <w:jc w:val="center"/>
              <w:rPr>
                <w:b/>
              </w:rPr>
            </w:pPr>
            <w:r>
              <w:rPr>
                <w:b/>
              </w:rPr>
              <w:t>Percent</w:t>
            </w:r>
          </w:p>
        </w:tc>
      </w:tr>
      <w:tr w14:paraId="2BD3C6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restart"/>
            <w:tcBorders>
              <w:top w:val="single" w:color="000000" w:sz="4" w:space="0"/>
              <w:left w:val="nil"/>
              <w:bottom w:val="nil"/>
              <w:right w:val="nil"/>
            </w:tcBorders>
          </w:tcPr>
          <w:p w14:paraId="15092B7E">
            <w:pPr>
              <w:spacing w:after="0" w:line="360" w:lineRule="auto"/>
              <w:ind w:left="60" w:right="60"/>
              <w:jc w:val="center"/>
            </w:pPr>
          </w:p>
        </w:tc>
        <w:tc>
          <w:tcPr>
            <w:tcW w:w="2091" w:type="dxa"/>
            <w:tcBorders>
              <w:top w:val="single" w:color="000000" w:sz="4" w:space="0"/>
              <w:left w:val="nil"/>
              <w:bottom w:val="nil"/>
              <w:right w:val="nil"/>
            </w:tcBorders>
          </w:tcPr>
          <w:p w14:paraId="1BD63C45">
            <w:pPr>
              <w:spacing w:after="0" w:line="360" w:lineRule="auto"/>
              <w:ind w:left="60" w:right="60"/>
              <w:jc w:val="center"/>
            </w:pPr>
            <w:r>
              <w:t>Strongly Agree</w:t>
            </w:r>
          </w:p>
        </w:tc>
        <w:tc>
          <w:tcPr>
            <w:tcW w:w="2268" w:type="dxa"/>
            <w:tcBorders>
              <w:top w:val="single" w:color="000000" w:sz="4" w:space="0"/>
              <w:left w:val="nil"/>
              <w:bottom w:val="nil"/>
              <w:right w:val="nil"/>
            </w:tcBorders>
          </w:tcPr>
          <w:p w14:paraId="04D2DF17">
            <w:pPr>
              <w:spacing w:after="0" w:line="360" w:lineRule="auto"/>
              <w:ind w:left="60" w:right="60"/>
              <w:jc w:val="center"/>
            </w:pPr>
            <w:r>
              <w:t>198</w:t>
            </w:r>
          </w:p>
        </w:tc>
        <w:tc>
          <w:tcPr>
            <w:tcW w:w="2127" w:type="dxa"/>
            <w:tcBorders>
              <w:top w:val="single" w:color="000000" w:sz="4" w:space="0"/>
              <w:left w:val="nil"/>
              <w:bottom w:val="nil"/>
              <w:right w:val="nil"/>
            </w:tcBorders>
          </w:tcPr>
          <w:p w14:paraId="28C5156D">
            <w:pPr>
              <w:spacing w:after="0" w:line="360" w:lineRule="auto"/>
              <w:ind w:left="60" w:right="60"/>
              <w:jc w:val="center"/>
            </w:pPr>
            <w:r>
              <w:t>62.9</w:t>
            </w:r>
          </w:p>
        </w:tc>
      </w:tr>
      <w:tr w14:paraId="3334F6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7674BB6D">
            <w:pPr>
              <w:widowControl w:val="0"/>
              <w:spacing w:after="0" w:line="360" w:lineRule="auto"/>
            </w:pPr>
          </w:p>
        </w:tc>
        <w:tc>
          <w:tcPr>
            <w:tcW w:w="2091" w:type="dxa"/>
            <w:tcBorders>
              <w:top w:val="nil"/>
              <w:left w:val="nil"/>
              <w:bottom w:val="nil"/>
              <w:right w:val="nil"/>
            </w:tcBorders>
          </w:tcPr>
          <w:p w14:paraId="77474B3E">
            <w:pPr>
              <w:spacing w:after="0" w:line="360" w:lineRule="auto"/>
              <w:ind w:left="60" w:right="60"/>
              <w:jc w:val="center"/>
            </w:pPr>
            <w:r>
              <w:t>Agree</w:t>
            </w:r>
          </w:p>
        </w:tc>
        <w:tc>
          <w:tcPr>
            <w:tcW w:w="2268" w:type="dxa"/>
            <w:tcBorders>
              <w:top w:val="nil"/>
              <w:left w:val="nil"/>
              <w:bottom w:val="nil"/>
              <w:right w:val="nil"/>
            </w:tcBorders>
          </w:tcPr>
          <w:p w14:paraId="051E731A">
            <w:pPr>
              <w:spacing w:after="0" w:line="360" w:lineRule="auto"/>
              <w:ind w:left="60" w:right="60"/>
              <w:jc w:val="center"/>
            </w:pPr>
            <w:r>
              <w:t>110</w:t>
            </w:r>
          </w:p>
        </w:tc>
        <w:tc>
          <w:tcPr>
            <w:tcW w:w="2127" w:type="dxa"/>
            <w:tcBorders>
              <w:top w:val="nil"/>
              <w:left w:val="nil"/>
              <w:bottom w:val="nil"/>
              <w:right w:val="nil"/>
            </w:tcBorders>
          </w:tcPr>
          <w:p w14:paraId="7C325D5F">
            <w:pPr>
              <w:spacing w:after="0" w:line="360" w:lineRule="auto"/>
              <w:ind w:left="60" w:right="60"/>
              <w:jc w:val="center"/>
            </w:pPr>
            <w:r>
              <w:t>34.9</w:t>
            </w:r>
          </w:p>
        </w:tc>
      </w:tr>
      <w:tr w14:paraId="4788A1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11ED08E4">
            <w:pPr>
              <w:widowControl w:val="0"/>
              <w:spacing w:after="0" w:line="360" w:lineRule="auto"/>
            </w:pPr>
          </w:p>
        </w:tc>
        <w:tc>
          <w:tcPr>
            <w:tcW w:w="2091" w:type="dxa"/>
            <w:tcBorders>
              <w:top w:val="nil"/>
              <w:left w:val="nil"/>
              <w:bottom w:val="nil"/>
              <w:right w:val="nil"/>
            </w:tcBorders>
          </w:tcPr>
          <w:p w14:paraId="4D7AD451">
            <w:pPr>
              <w:spacing w:after="0" w:line="360" w:lineRule="auto"/>
              <w:ind w:left="60" w:right="60"/>
              <w:jc w:val="center"/>
            </w:pPr>
            <w:r>
              <w:t>Disagree</w:t>
            </w:r>
          </w:p>
        </w:tc>
        <w:tc>
          <w:tcPr>
            <w:tcW w:w="2268" w:type="dxa"/>
            <w:tcBorders>
              <w:top w:val="nil"/>
              <w:left w:val="nil"/>
              <w:bottom w:val="nil"/>
              <w:right w:val="nil"/>
            </w:tcBorders>
          </w:tcPr>
          <w:p w14:paraId="7C2FF7D2">
            <w:pPr>
              <w:spacing w:after="0" w:line="360" w:lineRule="auto"/>
              <w:ind w:left="60" w:right="60"/>
              <w:jc w:val="center"/>
            </w:pPr>
            <w:r>
              <w:t>5</w:t>
            </w:r>
          </w:p>
        </w:tc>
        <w:tc>
          <w:tcPr>
            <w:tcW w:w="2127" w:type="dxa"/>
            <w:tcBorders>
              <w:top w:val="nil"/>
              <w:left w:val="nil"/>
              <w:bottom w:val="nil"/>
              <w:right w:val="nil"/>
            </w:tcBorders>
          </w:tcPr>
          <w:p w14:paraId="57432FAB">
            <w:pPr>
              <w:spacing w:after="0" w:line="360" w:lineRule="auto"/>
              <w:ind w:left="60" w:right="60"/>
              <w:jc w:val="center"/>
            </w:pPr>
            <w:r>
              <w:t>1.6</w:t>
            </w:r>
          </w:p>
        </w:tc>
      </w:tr>
      <w:tr w14:paraId="6E8D27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5F96E861">
            <w:pPr>
              <w:widowControl w:val="0"/>
              <w:spacing w:after="0" w:line="360" w:lineRule="auto"/>
            </w:pPr>
          </w:p>
        </w:tc>
        <w:tc>
          <w:tcPr>
            <w:tcW w:w="2091" w:type="dxa"/>
            <w:tcBorders>
              <w:top w:val="nil"/>
              <w:left w:val="nil"/>
              <w:bottom w:val="nil"/>
              <w:right w:val="nil"/>
            </w:tcBorders>
          </w:tcPr>
          <w:p w14:paraId="3B5DB2B8">
            <w:pPr>
              <w:spacing w:after="0" w:line="360" w:lineRule="auto"/>
              <w:ind w:left="60" w:right="60"/>
              <w:jc w:val="center"/>
            </w:pPr>
            <w:r>
              <w:t>Strongly Disagree</w:t>
            </w:r>
          </w:p>
        </w:tc>
        <w:tc>
          <w:tcPr>
            <w:tcW w:w="2268" w:type="dxa"/>
            <w:tcBorders>
              <w:top w:val="nil"/>
              <w:left w:val="nil"/>
              <w:bottom w:val="nil"/>
              <w:right w:val="nil"/>
            </w:tcBorders>
          </w:tcPr>
          <w:p w14:paraId="149E22C0">
            <w:pPr>
              <w:spacing w:after="0" w:line="360" w:lineRule="auto"/>
              <w:ind w:left="60" w:right="60"/>
              <w:jc w:val="center"/>
            </w:pPr>
            <w:r>
              <w:t>2</w:t>
            </w:r>
          </w:p>
        </w:tc>
        <w:tc>
          <w:tcPr>
            <w:tcW w:w="2127" w:type="dxa"/>
            <w:tcBorders>
              <w:top w:val="nil"/>
              <w:left w:val="nil"/>
              <w:bottom w:val="nil"/>
              <w:right w:val="nil"/>
            </w:tcBorders>
          </w:tcPr>
          <w:p w14:paraId="11A7D46E">
            <w:pPr>
              <w:spacing w:after="0" w:line="360" w:lineRule="auto"/>
              <w:ind w:left="60" w:right="60"/>
              <w:jc w:val="center"/>
            </w:pPr>
            <w:r>
              <w:t>.6</w:t>
            </w:r>
          </w:p>
        </w:tc>
      </w:tr>
      <w:tr w14:paraId="6A901B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3837D5AA">
            <w:pPr>
              <w:widowControl w:val="0"/>
              <w:spacing w:after="0" w:line="360" w:lineRule="auto"/>
            </w:pPr>
          </w:p>
        </w:tc>
        <w:tc>
          <w:tcPr>
            <w:tcW w:w="2091" w:type="dxa"/>
            <w:tcBorders>
              <w:top w:val="nil"/>
              <w:left w:val="nil"/>
              <w:bottom w:val="single" w:color="000000" w:sz="4" w:space="0"/>
              <w:right w:val="nil"/>
            </w:tcBorders>
          </w:tcPr>
          <w:p w14:paraId="510CAF0D">
            <w:pPr>
              <w:spacing w:after="0" w:line="360" w:lineRule="auto"/>
              <w:ind w:left="60" w:right="60"/>
              <w:jc w:val="center"/>
              <w:rPr>
                <w:b/>
              </w:rPr>
            </w:pPr>
            <w:r>
              <w:rPr>
                <w:b/>
              </w:rPr>
              <w:t>Total</w:t>
            </w:r>
          </w:p>
        </w:tc>
        <w:tc>
          <w:tcPr>
            <w:tcW w:w="2268" w:type="dxa"/>
            <w:tcBorders>
              <w:top w:val="nil"/>
              <w:left w:val="nil"/>
              <w:bottom w:val="single" w:color="000000" w:sz="4" w:space="0"/>
              <w:right w:val="nil"/>
            </w:tcBorders>
          </w:tcPr>
          <w:p w14:paraId="6EA46CD2">
            <w:pPr>
              <w:spacing w:after="0" w:line="360" w:lineRule="auto"/>
              <w:ind w:left="60" w:right="60"/>
              <w:jc w:val="center"/>
              <w:rPr>
                <w:b/>
              </w:rPr>
            </w:pPr>
            <w:r>
              <w:rPr>
                <w:b/>
              </w:rPr>
              <w:t>315</w:t>
            </w:r>
          </w:p>
        </w:tc>
        <w:tc>
          <w:tcPr>
            <w:tcW w:w="2127" w:type="dxa"/>
            <w:tcBorders>
              <w:top w:val="nil"/>
              <w:left w:val="nil"/>
              <w:bottom w:val="single" w:color="000000" w:sz="4" w:space="0"/>
              <w:right w:val="nil"/>
            </w:tcBorders>
          </w:tcPr>
          <w:p w14:paraId="34EFB218">
            <w:pPr>
              <w:spacing w:after="0" w:line="360" w:lineRule="auto"/>
              <w:ind w:left="60" w:right="60"/>
              <w:jc w:val="center"/>
              <w:rPr>
                <w:b/>
              </w:rPr>
            </w:pPr>
            <w:r>
              <w:rPr>
                <w:b/>
              </w:rPr>
              <w:t>100.0</w:t>
            </w:r>
          </w:p>
        </w:tc>
      </w:tr>
    </w:tbl>
    <w:p w14:paraId="3581ED2D">
      <w:pPr>
        <w:spacing w:line="480" w:lineRule="auto"/>
        <w:rPr>
          <w:rFonts w:hint="default"/>
          <w:b/>
          <w:lang w:val="en-US"/>
        </w:rPr>
      </w:pPr>
      <w:r>
        <w:rPr>
          <w:b/>
        </w:rPr>
        <w:t>Field survey, 202</w:t>
      </w:r>
      <w:r>
        <w:rPr>
          <w:rFonts w:hint="default"/>
          <w:b/>
          <w:lang w:val="en-US"/>
        </w:rPr>
        <w:t>5</w:t>
      </w:r>
    </w:p>
    <w:p w14:paraId="54749576">
      <w:pPr>
        <w:spacing w:line="480" w:lineRule="auto"/>
        <w:jc w:val="both"/>
      </w:pPr>
      <w:bookmarkStart w:id="53" w:name="_heading=h.1pxezwc" w:colFirst="0" w:colLast="0"/>
      <w:bookmarkEnd w:id="53"/>
      <w:r>
        <w:t>It can be deduced from the analysis in Table 21 that a significant majority of the respondents 97.8% (N=308) agreed with the fact that there should be regular workshops and seminars on emerging ICT trends and technologies relevant to LIS while 2.2% disagreed. This implies that almost all of the respondents assert that there should be regular workshops and seminars on emerging ICT trends and technologies relevant to LIS.</w:t>
      </w:r>
    </w:p>
    <w:tbl>
      <w:tblPr>
        <w:tblStyle w:val="73"/>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1950"/>
        <w:gridCol w:w="2268"/>
        <w:gridCol w:w="2268"/>
        <w:gridCol w:w="433"/>
      </w:tblGrid>
      <w:tr w14:paraId="0D4F10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1796BFF6">
            <w:pPr>
              <w:spacing w:after="0" w:line="480" w:lineRule="auto"/>
              <w:ind w:left="60" w:right="60"/>
            </w:pPr>
            <w:r>
              <w:rPr>
                <w:b/>
              </w:rPr>
              <w:t>Table 4.20: Collaboration with ICT professionals should be established to provide real-world ICT training for LIS students</w:t>
            </w:r>
          </w:p>
        </w:tc>
      </w:tr>
      <w:tr w14:paraId="25219C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2694" w:type="dxa"/>
            <w:gridSpan w:val="2"/>
            <w:tcBorders>
              <w:top w:val="single" w:color="000000" w:sz="4" w:space="0"/>
              <w:left w:val="nil"/>
              <w:bottom w:val="single" w:color="000000" w:sz="4" w:space="0"/>
              <w:right w:val="nil"/>
            </w:tcBorders>
            <w:vAlign w:val="bottom"/>
          </w:tcPr>
          <w:p w14:paraId="2D264684">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306C005C">
            <w:pPr>
              <w:spacing w:after="0" w:line="360" w:lineRule="auto"/>
              <w:ind w:left="60" w:right="60"/>
              <w:jc w:val="center"/>
              <w:rPr>
                <w:b/>
              </w:rPr>
            </w:pPr>
            <w:r>
              <w:rPr>
                <w:b/>
              </w:rPr>
              <w:t>Frequency</w:t>
            </w:r>
          </w:p>
        </w:tc>
        <w:tc>
          <w:tcPr>
            <w:tcW w:w="2268" w:type="dxa"/>
            <w:tcBorders>
              <w:top w:val="single" w:color="000000" w:sz="4" w:space="0"/>
              <w:left w:val="nil"/>
              <w:bottom w:val="single" w:color="000000" w:sz="4" w:space="0"/>
              <w:right w:val="nil"/>
            </w:tcBorders>
            <w:vAlign w:val="bottom"/>
          </w:tcPr>
          <w:p w14:paraId="3A568B0F">
            <w:pPr>
              <w:spacing w:after="0" w:line="360" w:lineRule="auto"/>
              <w:ind w:left="60" w:right="60"/>
              <w:jc w:val="center"/>
              <w:rPr>
                <w:b/>
              </w:rPr>
            </w:pPr>
            <w:r>
              <w:rPr>
                <w:b/>
              </w:rPr>
              <w:t>Percent</w:t>
            </w:r>
          </w:p>
        </w:tc>
      </w:tr>
      <w:tr w14:paraId="2D8FF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restart"/>
            <w:tcBorders>
              <w:top w:val="single" w:color="000000" w:sz="4" w:space="0"/>
              <w:left w:val="nil"/>
              <w:bottom w:val="nil"/>
              <w:right w:val="nil"/>
            </w:tcBorders>
          </w:tcPr>
          <w:p w14:paraId="158898CC">
            <w:pPr>
              <w:spacing w:after="0" w:line="360" w:lineRule="auto"/>
              <w:ind w:left="60" w:right="60"/>
              <w:jc w:val="center"/>
            </w:pPr>
          </w:p>
        </w:tc>
        <w:tc>
          <w:tcPr>
            <w:tcW w:w="1950" w:type="dxa"/>
            <w:tcBorders>
              <w:top w:val="single" w:color="000000" w:sz="4" w:space="0"/>
              <w:left w:val="nil"/>
              <w:bottom w:val="nil"/>
              <w:right w:val="nil"/>
            </w:tcBorders>
          </w:tcPr>
          <w:p w14:paraId="345A926B">
            <w:pPr>
              <w:spacing w:after="0" w:line="360" w:lineRule="auto"/>
              <w:ind w:left="60" w:right="60"/>
              <w:jc w:val="center"/>
            </w:pPr>
            <w:r>
              <w:t>Strongly Agree</w:t>
            </w:r>
          </w:p>
        </w:tc>
        <w:tc>
          <w:tcPr>
            <w:tcW w:w="2268" w:type="dxa"/>
            <w:tcBorders>
              <w:top w:val="single" w:color="000000" w:sz="4" w:space="0"/>
              <w:left w:val="nil"/>
              <w:bottom w:val="nil"/>
              <w:right w:val="nil"/>
            </w:tcBorders>
          </w:tcPr>
          <w:p w14:paraId="11AFD137">
            <w:pPr>
              <w:spacing w:after="0" w:line="360" w:lineRule="auto"/>
              <w:ind w:left="60" w:right="60"/>
              <w:jc w:val="center"/>
            </w:pPr>
            <w:r>
              <w:t>200</w:t>
            </w:r>
          </w:p>
        </w:tc>
        <w:tc>
          <w:tcPr>
            <w:tcW w:w="2268" w:type="dxa"/>
            <w:tcBorders>
              <w:top w:val="single" w:color="000000" w:sz="4" w:space="0"/>
              <w:left w:val="nil"/>
              <w:bottom w:val="nil"/>
              <w:right w:val="nil"/>
            </w:tcBorders>
          </w:tcPr>
          <w:p w14:paraId="20F9E341">
            <w:pPr>
              <w:spacing w:after="0" w:line="360" w:lineRule="auto"/>
              <w:ind w:left="60" w:right="60"/>
              <w:jc w:val="center"/>
            </w:pPr>
            <w:r>
              <w:t>63.5</w:t>
            </w:r>
          </w:p>
        </w:tc>
      </w:tr>
      <w:tr w14:paraId="7CF1DB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072610BE">
            <w:pPr>
              <w:widowControl w:val="0"/>
              <w:spacing w:after="0" w:line="360" w:lineRule="auto"/>
            </w:pPr>
          </w:p>
        </w:tc>
        <w:tc>
          <w:tcPr>
            <w:tcW w:w="1950" w:type="dxa"/>
            <w:tcBorders>
              <w:top w:val="nil"/>
              <w:left w:val="nil"/>
              <w:bottom w:val="nil"/>
              <w:right w:val="nil"/>
            </w:tcBorders>
          </w:tcPr>
          <w:p w14:paraId="5A5D08DC">
            <w:pPr>
              <w:spacing w:after="0" w:line="360" w:lineRule="auto"/>
              <w:ind w:left="60" w:right="60"/>
              <w:jc w:val="center"/>
            </w:pPr>
            <w:r>
              <w:t>Agree</w:t>
            </w:r>
          </w:p>
        </w:tc>
        <w:tc>
          <w:tcPr>
            <w:tcW w:w="2268" w:type="dxa"/>
            <w:tcBorders>
              <w:top w:val="nil"/>
              <w:left w:val="nil"/>
              <w:bottom w:val="nil"/>
              <w:right w:val="nil"/>
            </w:tcBorders>
          </w:tcPr>
          <w:p w14:paraId="3E29D6D5">
            <w:pPr>
              <w:spacing w:after="0" w:line="360" w:lineRule="auto"/>
              <w:ind w:left="60" w:right="60"/>
              <w:jc w:val="center"/>
            </w:pPr>
            <w:r>
              <w:t>110</w:t>
            </w:r>
          </w:p>
        </w:tc>
        <w:tc>
          <w:tcPr>
            <w:tcW w:w="2268" w:type="dxa"/>
            <w:tcBorders>
              <w:top w:val="nil"/>
              <w:left w:val="nil"/>
              <w:bottom w:val="nil"/>
              <w:right w:val="nil"/>
            </w:tcBorders>
          </w:tcPr>
          <w:p w14:paraId="66238D55">
            <w:pPr>
              <w:spacing w:after="0" w:line="360" w:lineRule="auto"/>
              <w:ind w:left="60" w:right="60"/>
              <w:jc w:val="center"/>
            </w:pPr>
            <w:r>
              <w:t>34.9</w:t>
            </w:r>
          </w:p>
        </w:tc>
      </w:tr>
      <w:tr w14:paraId="33F1AD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6580C315">
            <w:pPr>
              <w:widowControl w:val="0"/>
              <w:spacing w:after="0" w:line="360" w:lineRule="auto"/>
            </w:pPr>
          </w:p>
        </w:tc>
        <w:tc>
          <w:tcPr>
            <w:tcW w:w="1950" w:type="dxa"/>
            <w:tcBorders>
              <w:top w:val="nil"/>
              <w:left w:val="nil"/>
              <w:bottom w:val="nil"/>
              <w:right w:val="nil"/>
            </w:tcBorders>
          </w:tcPr>
          <w:p w14:paraId="17C8D712">
            <w:pPr>
              <w:spacing w:after="0" w:line="360" w:lineRule="auto"/>
              <w:ind w:left="60" w:right="60"/>
              <w:jc w:val="center"/>
            </w:pPr>
            <w:r>
              <w:t>Disagree</w:t>
            </w:r>
          </w:p>
        </w:tc>
        <w:tc>
          <w:tcPr>
            <w:tcW w:w="2268" w:type="dxa"/>
            <w:tcBorders>
              <w:top w:val="nil"/>
              <w:left w:val="nil"/>
              <w:bottom w:val="nil"/>
              <w:right w:val="nil"/>
            </w:tcBorders>
          </w:tcPr>
          <w:p w14:paraId="0EEF8A3C">
            <w:pPr>
              <w:spacing w:after="0" w:line="360" w:lineRule="auto"/>
              <w:ind w:left="60" w:right="60"/>
              <w:jc w:val="center"/>
            </w:pPr>
            <w:r>
              <w:t>4</w:t>
            </w:r>
          </w:p>
        </w:tc>
        <w:tc>
          <w:tcPr>
            <w:tcW w:w="2268" w:type="dxa"/>
            <w:tcBorders>
              <w:top w:val="nil"/>
              <w:left w:val="nil"/>
              <w:bottom w:val="nil"/>
              <w:right w:val="nil"/>
            </w:tcBorders>
          </w:tcPr>
          <w:p w14:paraId="1696D839">
            <w:pPr>
              <w:spacing w:after="0" w:line="360" w:lineRule="auto"/>
              <w:ind w:left="60" w:right="60"/>
              <w:jc w:val="center"/>
            </w:pPr>
            <w:r>
              <w:t>1.3</w:t>
            </w:r>
          </w:p>
        </w:tc>
      </w:tr>
      <w:tr w14:paraId="32EE14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599C699E">
            <w:pPr>
              <w:widowControl w:val="0"/>
              <w:spacing w:after="0" w:line="360" w:lineRule="auto"/>
            </w:pPr>
          </w:p>
        </w:tc>
        <w:tc>
          <w:tcPr>
            <w:tcW w:w="1950" w:type="dxa"/>
            <w:tcBorders>
              <w:top w:val="nil"/>
              <w:left w:val="nil"/>
              <w:bottom w:val="nil"/>
              <w:right w:val="nil"/>
            </w:tcBorders>
          </w:tcPr>
          <w:p w14:paraId="608CB959">
            <w:pPr>
              <w:spacing w:after="0" w:line="360" w:lineRule="auto"/>
              <w:ind w:left="60" w:right="60"/>
              <w:jc w:val="center"/>
            </w:pPr>
            <w:r>
              <w:t>Strongly Disagree</w:t>
            </w:r>
          </w:p>
        </w:tc>
        <w:tc>
          <w:tcPr>
            <w:tcW w:w="2268" w:type="dxa"/>
            <w:tcBorders>
              <w:top w:val="nil"/>
              <w:left w:val="nil"/>
              <w:bottom w:val="nil"/>
              <w:right w:val="nil"/>
            </w:tcBorders>
          </w:tcPr>
          <w:p w14:paraId="11AF7B34">
            <w:pPr>
              <w:spacing w:after="0" w:line="360" w:lineRule="auto"/>
              <w:ind w:left="60" w:right="60"/>
              <w:jc w:val="center"/>
            </w:pPr>
            <w:r>
              <w:t>1</w:t>
            </w:r>
          </w:p>
        </w:tc>
        <w:tc>
          <w:tcPr>
            <w:tcW w:w="2268" w:type="dxa"/>
            <w:tcBorders>
              <w:top w:val="nil"/>
              <w:left w:val="nil"/>
              <w:bottom w:val="nil"/>
              <w:right w:val="nil"/>
            </w:tcBorders>
          </w:tcPr>
          <w:p w14:paraId="141634A3">
            <w:pPr>
              <w:spacing w:after="0" w:line="360" w:lineRule="auto"/>
              <w:ind w:left="60" w:right="60"/>
              <w:jc w:val="center"/>
            </w:pPr>
            <w:r>
              <w:t>.3</w:t>
            </w:r>
          </w:p>
        </w:tc>
      </w:tr>
      <w:tr w14:paraId="31D30F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728CB112">
            <w:pPr>
              <w:widowControl w:val="0"/>
              <w:spacing w:after="0" w:line="360" w:lineRule="auto"/>
            </w:pPr>
          </w:p>
        </w:tc>
        <w:tc>
          <w:tcPr>
            <w:tcW w:w="1950" w:type="dxa"/>
            <w:tcBorders>
              <w:top w:val="nil"/>
              <w:left w:val="nil"/>
              <w:bottom w:val="single" w:color="000000" w:sz="4" w:space="0"/>
              <w:right w:val="nil"/>
            </w:tcBorders>
          </w:tcPr>
          <w:p w14:paraId="1A71F21B">
            <w:pPr>
              <w:spacing w:after="0" w:line="360" w:lineRule="auto"/>
              <w:ind w:left="60" w:right="60"/>
              <w:jc w:val="center"/>
              <w:rPr>
                <w:b/>
              </w:rPr>
            </w:pPr>
            <w:r>
              <w:rPr>
                <w:b/>
              </w:rPr>
              <w:t>Total</w:t>
            </w:r>
          </w:p>
        </w:tc>
        <w:tc>
          <w:tcPr>
            <w:tcW w:w="2268" w:type="dxa"/>
            <w:tcBorders>
              <w:top w:val="nil"/>
              <w:left w:val="nil"/>
              <w:bottom w:val="single" w:color="000000" w:sz="4" w:space="0"/>
              <w:right w:val="nil"/>
            </w:tcBorders>
          </w:tcPr>
          <w:p w14:paraId="2061C54F">
            <w:pPr>
              <w:spacing w:after="0" w:line="360" w:lineRule="auto"/>
              <w:ind w:left="60" w:right="60"/>
              <w:jc w:val="center"/>
              <w:rPr>
                <w:b/>
              </w:rPr>
            </w:pPr>
            <w:r>
              <w:rPr>
                <w:b/>
              </w:rPr>
              <w:t>315</w:t>
            </w:r>
          </w:p>
        </w:tc>
        <w:tc>
          <w:tcPr>
            <w:tcW w:w="2268" w:type="dxa"/>
            <w:tcBorders>
              <w:top w:val="nil"/>
              <w:left w:val="nil"/>
              <w:bottom w:val="single" w:color="000000" w:sz="4" w:space="0"/>
              <w:right w:val="nil"/>
            </w:tcBorders>
          </w:tcPr>
          <w:p w14:paraId="61DB36D2">
            <w:pPr>
              <w:spacing w:after="0" w:line="360" w:lineRule="auto"/>
              <w:ind w:left="60" w:right="60"/>
              <w:jc w:val="center"/>
              <w:rPr>
                <w:b/>
              </w:rPr>
            </w:pPr>
            <w:r>
              <w:rPr>
                <w:b/>
              </w:rPr>
              <w:t>100.0</w:t>
            </w:r>
          </w:p>
        </w:tc>
      </w:tr>
    </w:tbl>
    <w:p w14:paraId="08FEBDDD">
      <w:pPr>
        <w:spacing w:line="360" w:lineRule="auto"/>
        <w:rPr>
          <w:rFonts w:hint="default"/>
          <w:b/>
          <w:lang w:val="en-US"/>
        </w:rPr>
      </w:pPr>
      <w:r>
        <w:rPr>
          <w:b/>
        </w:rPr>
        <w:t>Field survey, 202</w:t>
      </w:r>
      <w:r>
        <w:rPr>
          <w:rFonts w:hint="default"/>
          <w:b/>
          <w:lang w:val="en-US"/>
        </w:rPr>
        <w:t>5</w:t>
      </w:r>
    </w:p>
    <w:p w14:paraId="2FC6864D">
      <w:pPr>
        <w:spacing w:line="480" w:lineRule="auto"/>
        <w:jc w:val="both"/>
      </w:pPr>
      <w:bookmarkStart w:id="54" w:name="_heading=h.49x2ik5" w:colFirst="0" w:colLast="0"/>
      <w:bookmarkEnd w:id="54"/>
      <w:r>
        <w:t>The analysis in Table 22 above revealed that a significant majority 98.4% (N=310) of the respondents are in agreement with the fact that a collaboration with ICT professionals should be established to provide real-world ICT training for LIS students while 1.6% disagreed. This means that respondents who think there should be a collaboration with ICT professional to provide real-world ICT trainings for LIS students constituted the majority.</w:t>
      </w:r>
    </w:p>
    <w:tbl>
      <w:tblPr>
        <w:tblStyle w:val="74"/>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1985"/>
        <w:gridCol w:w="2410"/>
        <w:gridCol w:w="433"/>
      </w:tblGrid>
      <w:tr w14:paraId="1E259A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6E1B0898">
            <w:pPr>
              <w:spacing w:after="0" w:line="480" w:lineRule="auto"/>
              <w:ind w:left="60" w:right="60"/>
            </w:pPr>
            <w:r>
              <w:rPr>
                <w:b/>
              </w:rPr>
              <w:t>Table 4.21: Feedback from students on ICT courses should be regularly collected and used to improve the curriculum</w:t>
            </w:r>
          </w:p>
        </w:tc>
      </w:tr>
      <w:tr w14:paraId="530A5D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2835" w:type="dxa"/>
            <w:gridSpan w:val="2"/>
            <w:tcBorders>
              <w:top w:val="single" w:color="000000" w:sz="4" w:space="0"/>
              <w:left w:val="nil"/>
              <w:bottom w:val="single" w:color="000000" w:sz="4" w:space="0"/>
              <w:right w:val="nil"/>
            </w:tcBorders>
            <w:vAlign w:val="bottom"/>
          </w:tcPr>
          <w:p w14:paraId="239738B6">
            <w:pPr>
              <w:spacing w:after="0" w:line="276" w:lineRule="auto"/>
              <w:jc w:val="center"/>
              <w:rPr>
                <w:b/>
              </w:rPr>
            </w:pPr>
          </w:p>
        </w:tc>
        <w:tc>
          <w:tcPr>
            <w:tcW w:w="1985" w:type="dxa"/>
            <w:tcBorders>
              <w:top w:val="single" w:color="000000" w:sz="4" w:space="0"/>
              <w:left w:val="nil"/>
              <w:bottom w:val="single" w:color="000000" w:sz="4" w:space="0"/>
              <w:right w:val="nil"/>
            </w:tcBorders>
            <w:vAlign w:val="bottom"/>
          </w:tcPr>
          <w:p w14:paraId="7B676B97">
            <w:pPr>
              <w:spacing w:after="0" w:line="276" w:lineRule="auto"/>
              <w:ind w:left="60" w:right="60"/>
              <w:jc w:val="center"/>
              <w:rPr>
                <w:b/>
              </w:rPr>
            </w:pPr>
            <w:r>
              <w:rPr>
                <w:b/>
              </w:rPr>
              <w:t>Frequency</w:t>
            </w:r>
          </w:p>
        </w:tc>
        <w:tc>
          <w:tcPr>
            <w:tcW w:w="2410" w:type="dxa"/>
            <w:tcBorders>
              <w:top w:val="single" w:color="000000" w:sz="4" w:space="0"/>
              <w:left w:val="nil"/>
              <w:bottom w:val="single" w:color="000000" w:sz="4" w:space="0"/>
              <w:right w:val="nil"/>
            </w:tcBorders>
            <w:vAlign w:val="bottom"/>
          </w:tcPr>
          <w:p w14:paraId="49977904">
            <w:pPr>
              <w:spacing w:after="0" w:line="276" w:lineRule="auto"/>
              <w:ind w:left="60" w:right="60"/>
              <w:jc w:val="center"/>
              <w:rPr>
                <w:b/>
              </w:rPr>
            </w:pPr>
            <w:r>
              <w:rPr>
                <w:b/>
              </w:rPr>
              <w:t>Percent</w:t>
            </w:r>
          </w:p>
        </w:tc>
      </w:tr>
      <w:tr w14:paraId="063D6E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restart"/>
            <w:tcBorders>
              <w:top w:val="single" w:color="000000" w:sz="4" w:space="0"/>
              <w:left w:val="nil"/>
              <w:bottom w:val="nil"/>
              <w:right w:val="nil"/>
            </w:tcBorders>
          </w:tcPr>
          <w:p w14:paraId="4FAC29CD">
            <w:pPr>
              <w:spacing w:after="0" w:line="276" w:lineRule="auto"/>
              <w:ind w:left="60" w:right="60"/>
              <w:jc w:val="center"/>
            </w:pPr>
          </w:p>
        </w:tc>
        <w:tc>
          <w:tcPr>
            <w:tcW w:w="2091" w:type="dxa"/>
            <w:tcBorders>
              <w:top w:val="single" w:color="000000" w:sz="4" w:space="0"/>
              <w:left w:val="nil"/>
              <w:bottom w:val="nil"/>
              <w:right w:val="nil"/>
            </w:tcBorders>
          </w:tcPr>
          <w:p w14:paraId="1ACC6ABA">
            <w:pPr>
              <w:spacing w:after="0" w:line="276" w:lineRule="auto"/>
              <w:ind w:left="60" w:right="60"/>
              <w:jc w:val="center"/>
            </w:pPr>
            <w:r>
              <w:t>Strongly Agree</w:t>
            </w:r>
          </w:p>
        </w:tc>
        <w:tc>
          <w:tcPr>
            <w:tcW w:w="1985" w:type="dxa"/>
            <w:tcBorders>
              <w:top w:val="single" w:color="000000" w:sz="4" w:space="0"/>
              <w:left w:val="nil"/>
              <w:bottom w:val="nil"/>
              <w:right w:val="nil"/>
            </w:tcBorders>
          </w:tcPr>
          <w:p w14:paraId="2F271F76">
            <w:pPr>
              <w:spacing w:after="0" w:line="276" w:lineRule="auto"/>
              <w:ind w:left="60" w:right="60"/>
              <w:jc w:val="center"/>
            </w:pPr>
            <w:r>
              <w:t>175</w:t>
            </w:r>
          </w:p>
        </w:tc>
        <w:tc>
          <w:tcPr>
            <w:tcW w:w="2410" w:type="dxa"/>
            <w:tcBorders>
              <w:top w:val="single" w:color="000000" w:sz="4" w:space="0"/>
              <w:left w:val="nil"/>
              <w:bottom w:val="nil"/>
              <w:right w:val="nil"/>
            </w:tcBorders>
          </w:tcPr>
          <w:p w14:paraId="0AEECD0F">
            <w:pPr>
              <w:spacing w:after="0" w:line="276" w:lineRule="auto"/>
              <w:ind w:left="60" w:right="60"/>
              <w:jc w:val="center"/>
            </w:pPr>
            <w:r>
              <w:t>55.6</w:t>
            </w:r>
          </w:p>
        </w:tc>
      </w:tr>
      <w:tr w14:paraId="57B353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7DB59104">
            <w:pPr>
              <w:widowControl w:val="0"/>
              <w:spacing w:after="0" w:line="276" w:lineRule="auto"/>
            </w:pPr>
          </w:p>
        </w:tc>
        <w:tc>
          <w:tcPr>
            <w:tcW w:w="2091" w:type="dxa"/>
            <w:tcBorders>
              <w:top w:val="nil"/>
              <w:left w:val="nil"/>
              <w:bottom w:val="nil"/>
              <w:right w:val="nil"/>
            </w:tcBorders>
          </w:tcPr>
          <w:p w14:paraId="398941C9">
            <w:pPr>
              <w:spacing w:after="0" w:line="276" w:lineRule="auto"/>
              <w:ind w:left="60" w:right="60"/>
              <w:jc w:val="center"/>
            </w:pPr>
            <w:r>
              <w:t>Agree</w:t>
            </w:r>
          </w:p>
        </w:tc>
        <w:tc>
          <w:tcPr>
            <w:tcW w:w="1985" w:type="dxa"/>
            <w:tcBorders>
              <w:top w:val="nil"/>
              <w:left w:val="nil"/>
              <w:bottom w:val="nil"/>
              <w:right w:val="nil"/>
            </w:tcBorders>
          </w:tcPr>
          <w:p w14:paraId="61AD9542">
            <w:pPr>
              <w:spacing w:after="0" w:line="276" w:lineRule="auto"/>
              <w:ind w:left="60" w:right="60"/>
              <w:jc w:val="center"/>
            </w:pPr>
            <w:r>
              <w:t>132</w:t>
            </w:r>
          </w:p>
        </w:tc>
        <w:tc>
          <w:tcPr>
            <w:tcW w:w="2410" w:type="dxa"/>
            <w:tcBorders>
              <w:top w:val="nil"/>
              <w:left w:val="nil"/>
              <w:bottom w:val="nil"/>
              <w:right w:val="nil"/>
            </w:tcBorders>
          </w:tcPr>
          <w:p w14:paraId="5B43EBA1">
            <w:pPr>
              <w:spacing w:after="0" w:line="276" w:lineRule="auto"/>
              <w:ind w:left="60" w:right="60"/>
              <w:jc w:val="center"/>
            </w:pPr>
            <w:r>
              <w:t>41.9</w:t>
            </w:r>
          </w:p>
        </w:tc>
      </w:tr>
      <w:tr w14:paraId="3FEEF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15968747">
            <w:pPr>
              <w:widowControl w:val="0"/>
              <w:spacing w:after="0" w:line="276" w:lineRule="auto"/>
            </w:pPr>
          </w:p>
        </w:tc>
        <w:tc>
          <w:tcPr>
            <w:tcW w:w="2091" w:type="dxa"/>
            <w:tcBorders>
              <w:top w:val="nil"/>
              <w:left w:val="nil"/>
              <w:bottom w:val="nil"/>
              <w:right w:val="nil"/>
            </w:tcBorders>
          </w:tcPr>
          <w:p w14:paraId="4AD0705B">
            <w:pPr>
              <w:spacing w:after="0" w:line="276" w:lineRule="auto"/>
              <w:ind w:left="60" w:right="60"/>
              <w:jc w:val="center"/>
            </w:pPr>
            <w:r>
              <w:t>Disagree</w:t>
            </w:r>
          </w:p>
        </w:tc>
        <w:tc>
          <w:tcPr>
            <w:tcW w:w="1985" w:type="dxa"/>
            <w:tcBorders>
              <w:top w:val="nil"/>
              <w:left w:val="nil"/>
              <w:bottom w:val="nil"/>
              <w:right w:val="nil"/>
            </w:tcBorders>
          </w:tcPr>
          <w:p w14:paraId="39732A6D">
            <w:pPr>
              <w:spacing w:after="0" w:line="276" w:lineRule="auto"/>
              <w:ind w:left="60" w:right="60"/>
              <w:jc w:val="center"/>
            </w:pPr>
            <w:r>
              <w:t>6</w:t>
            </w:r>
          </w:p>
        </w:tc>
        <w:tc>
          <w:tcPr>
            <w:tcW w:w="2410" w:type="dxa"/>
            <w:tcBorders>
              <w:top w:val="nil"/>
              <w:left w:val="nil"/>
              <w:bottom w:val="nil"/>
              <w:right w:val="nil"/>
            </w:tcBorders>
          </w:tcPr>
          <w:p w14:paraId="122F697F">
            <w:pPr>
              <w:spacing w:after="0" w:line="276" w:lineRule="auto"/>
              <w:ind w:left="60" w:right="60"/>
              <w:jc w:val="center"/>
            </w:pPr>
            <w:r>
              <w:t>1.9</w:t>
            </w:r>
          </w:p>
        </w:tc>
      </w:tr>
      <w:tr w14:paraId="37388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4D3C7567">
            <w:pPr>
              <w:widowControl w:val="0"/>
              <w:spacing w:after="0" w:line="276" w:lineRule="auto"/>
            </w:pPr>
          </w:p>
        </w:tc>
        <w:tc>
          <w:tcPr>
            <w:tcW w:w="2091" w:type="dxa"/>
            <w:tcBorders>
              <w:top w:val="nil"/>
              <w:left w:val="nil"/>
              <w:bottom w:val="nil"/>
              <w:right w:val="nil"/>
            </w:tcBorders>
          </w:tcPr>
          <w:p w14:paraId="2370BD4C">
            <w:pPr>
              <w:spacing w:after="0" w:line="276" w:lineRule="auto"/>
              <w:ind w:left="60" w:right="60"/>
              <w:jc w:val="center"/>
            </w:pPr>
            <w:r>
              <w:t>Strongly Disagree</w:t>
            </w:r>
          </w:p>
        </w:tc>
        <w:tc>
          <w:tcPr>
            <w:tcW w:w="1985" w:type="dxa"/>
            <w:tcBorders>
              <w:top w:val="nil"/>
              <w:left w:val="nil"/>
              <w:bottom w:val="nil"/>
              <w:right w:val="nil"/>
            </w:tcBorders>
          </w:tcPr>
          <w:p w14:paraId="371ACE06">
            <w:pPr>
              <w:spacing w:after="0" w:line="276" w:lineRule="auto"/>
              <w:ind w:left="60" w:right="60"/>
              <w:jc w:val="center"/>
            </w:pPr>
            <w:r>
              <w:t>2</w:t>
            </w:r>
          </w:p>
        </w:tc>
        <w:tc>
          <w:tcPr>
            <w:tcW w:w="2410" w:type="dxa"/>
            <w:tcBorders>
              <w:top w:val="nil"/>
              <w:left w:val="nil"/>
              <w:bottom w:val="nil"/>
              <w:right w:val="nil"/>
            </w:tcBorders>
          </w:tcPr>
          <w:p w14:paraId="1A5E859D">
            <w:pPr>
              <w:spacing w:after="0" w:line="276" w:lineRule="auto"/>
              <w:ind w:left="60" w:right="60"/>
              <w:jc w:val="center"/>
            </w:pPr>
            <w:r>
              <w:t>.6</w:t>
            </w:r>
          </w:p>
        </w:tc>
      </w:tr>
      <w:tr w14:paraId="3ACC5C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0F5871BF">
            <w:pPr>
              <w:widowControl w:val="0"/>
              <w:spacing w:after="0" w:line="276" w:lineRule="auto"/>
            </w:pPr>
          </w:p>
        </w:tc>
        <w:tc>
          <w:tcPr>
            <w:tcW w:w="2091" w:type="dxa"/>
            <w:tcBorders>
              <w:top w:val="nil"/>
              <w:left w:val="nil"/>
              <w:bottom w:val="single" w:color="000000" w:sz="4" w:space="0"/>
              <w:right w:val="nil"/>
            </w:tcBorders>
          </w:tcPr>
          <w:p w14:paraId="4F10754B">
            <w:pPr>
              <w:spacing w:after="0" w:line="276" w:lineRule="auto"/>
              <w:ind w:left="60" w:right="60"/>
              <w:jc w:val="center"/>
              <w:rPr>
                <w:b/>
              </w:rPr>
            </w:pPr>
            <w:r>
              <w:rPr>
                <w:b/>
              </w:rPr>
              <w:t>Total</w:t>
            </w:r>
          </w:p>
        </w:tc>
        <w:tc>
          <w:tcPr>
            <w:tcW w:w="1985" w:type="dxa"/>
            <w:tcBorders>
              <w:top w:val="nil"/>
              <w:left w:val="nil"/>
              <w:bottom w:val="single" w:color="000000" w:sz="4" w:space="0"/>
              <w:right w:val="nil"/>
            </w:tcBorders>
          </w:tcPr>
          <w:p w14:paraId="45708DF8">
            <w:pPr>
              <w:spacing w:after="0" w:line="276" w:lineRule="auto"/>
              <w:ind w:left="60" w:right="60"/>
              <w:jc w:val="center"/>
              <w:rPr>
                <w:b/>
              </w:rPr>
            </w:pPr>
            <w:r>
              <w:rPr>
                <w:b/>
              </w:rPr>
              <w:t>315</w:t>
            </w:r>
          </w:p>
        </w:tc>
        <w:tc>
          <w:tcPr>
            <w:tcW w:w="2410" w:type="dxa"/>
            <w:tcBorders>
              <w:top w:val="nil"/>
              <w:left w:val="nil"/>
              <w:bottom w:val="single" w:color="000000" w:sz="4" w:space="0"/>
              <w:right w:val="nil"/>
            </w:tcBorders>
          </w:tcPr>
          <w:p w14:paraId="0A034720">
            <w:pPr>
              <w:spacing w:after="0" w:line="276" w:lineRule="auto"/>
              <w:ind w:left="60" w:right="60"/>
              <w:jc w:val="center"/>
              <w:rPr>
                <w:b/>
              </w:rPr>
            </w:pPr>
            <w:r>
              <w:rPr>
                <w:b/>
              </w:rPr>
              <w:t>100.0</w:t>
            </w:r>
          </w:p>
        </w:tc>
      </w:tr>
    </w:tbl>
    <w:p w14:paraId="4D1518A8">
      <w:pPr>
        <w:spacing w:line="276" w:lineRule="auto"/>
        <w:rPr>
          <w:rFonts w:hint="default"/>
          <w:b/>
          <w:lang w:val="en-US"/>
        </w:rPr>
      </w:pPr>
      <w:r>
        <w:rPr>
          <w:b/>
        </w:rPr>
        <w:t>Field survey, 202</w:t>
      </w:r>
      <w:r>
        <w:rPr>
          <w:rFonts w:hint="default"/>
          <w:b/>
          <w:lang w:val="en-US"/>
        </w:rPr>
        <w:t>5</w:t>
      </w:r>
    </w:p>
    <w:p w14:paraId="1D4FA101">
      <w:pPr>
        <w:spacing w:line="480" w:lineRule="auto"/>
        <w:jc w:val="both"/>
      </w:pPr>
      <w:bookmarkStart w:id="55" w:name="_heading=h.2p2csry" w:colFirst="0" w:colLast="0"/>
      <w:bookmarkEnd w:id="55"/>
      <w:r>
        <w:t>It can be deduced from the analysis in Table 23 that a significant majority of the respondents 97.5% (N=307) agreed with the fact that the LIS curriculum should include more practical training sessions while 2.5% disagreed. This implies that almost all of the respondents assert that regular feedbacks should be collected from students on ICT courses in order to improve the curriculum.</w:t>
      </w:r>
      <w:bookmarkStart w:id="56" w:name="_Toc174208579"/>
    </w:p>
    <w:p w14:paraId="12E06D8C">
      <w:pPr>
        <w:pStyle w:val="3"/>
        <w:ind w:left="0" w:firstLine="0"/>
      </w:pPr>
      <w:r>
        <w:t>4.4 Discussion of the Findings</w:t>
      </w:r>
      <w:bookmarkEnd w:id="56"/>
    </w:p>
    <w:p w14:paraId="46D74097">
      <w:pPr>
        <w:spacing w:line="480" w:lineRule="auto"/>
        <w:jc w:val="both"/>
      </w:pPr>
      <w:r>
        <w:t xml:space="preserve">The result generated from the findings revealed that majority of the respondents use the internet daily while minority use the internet several times a week for academic purposes, pointing to the fact that majority (with little disparity) fall within the attribute of being a regular internet user. The findings generated for the research question one supported the claim of Mathew and Schrum (2003) which stated that the Internet provides several opportunities for academia; it is a mechanism for information dissemination and a medium for collaborative interaction between individuals and their computers without regard for the geographic limitation of space. </w:t>
      </w:r>
      <w:r>
        <w:rPr>
          <w:highlight w:val="white"/>
        </w:rPr>
        <w:t xml:space="preserve">In addition, </w:t>
      </w:r>
      <w:r>
        <w:t xml:space="preserve">the findings of the study is in concert with that of Robinson (2015) that the Internet carries an extensive range of information resources and services, such as the interlinked hypertext documents of the World Wide Web (www) and the infrastructure to support email which is mostly used by students. </w:t>
      </w:r>
      <w:bookmarkStart w:id="57" w:name="_heading=h.147n2zr" w:colFirst="0" w:colLast="0"/>
      <w:bookmarkEnd w:id="57"/>
      <w:r>
        <w:t xml:space="preserve"> Findings also indicate that a significant majority of LIS undergraduates in Kwara State University can start up, log on and shut down a computer system properly and majority can use a mouse, pointing device and keyboard while some can identify and use icons (folders, files, applications and shortcuts/aliases). It was also found that majority of the respondents can create documents of various types and save them in a desired location. A good number of respondent can select, copy and paste texts in a desired location and print a document. Additionally, the study discovered that almost all of the respondents with a little variation can send and open an attachment from an email, using a common email program while majority of the respondents can launch any of the web browsers. </w:t>
      </w:r>
    </w:p>
    <w:p w14:paraId="4AD5CB8E">
      <w:pPr>
        <w:spacing w:line="480" w:lineRule="auto"/>
        <w:jc w:val="both"/>
      </w:pPr>
      <w:r>
        <w:t>Finally, the results found that a significant majority of the respondents can download files and images from a webpage. The findings of the study accredit Hossain and Sormunen (2019)’s findings that students possess proficient computer and internet skills. The findings further agree with Iwona (2008) who asserted that in order to utilize the growing range of electronic resources, students must possess and practice the skills necessary to exploit them. These skills include basic knowledge of computer, proficiency in using productivity software, electronic communication skills as well as internet skills. Finally, the result validates that of Ikenwe et al. (2022) which indicated that the students demonstrated a high proficiency in locating, creating, and communicating digital content.</w:t>
      </w:r>
      <w:bookmarkStart w:id="58" w:name="_heading=h.dct1kmv77pwb" w:colFirst="0" w:colLast="0"/>
      <w:bookmarkEnd w:id="58"/>
      <w:r>
        <w:t xml:space="preserve"> Data from the survey further revealed that ICT skills acquisition is not integrated into the students’ course of study at the university as acknowledged by majority of the respondents. The study also found that some of the respondents acquired ICT skills through courses outside the university. Furthermore, the study discovered that over half of the respondents were self-taught by manuals and handbooks while most of the respondents acquired ICT skills through friends, family or other students. Finally, the results showed that majority of the respondents did not acquire ICT skills through trial-and-error methods and a significant majority of the respondents were taught by cybercafé/Information centre staff.</w:t>
      </w:r>
      <w:bookmarkStart w:id="59" w:name="_heading=h.i3lxmoly8pbp" w:colFirst="0" w:colLast="0"/>
      <w:bookmarkEnd w:id="59"/>
      <w:r>
        <w:t xml:space="preserve"> The findings of the study corroborates the study of Israel and Edesiri (2014) which indicated that undergraduates mostly acquired ICT skills through acquaintances, self-teaching using manuals and handbooks but refutes the acquisition of such skills through the university courses. </w:t>
      </w:r>
      <w:bookmarkStart w:id="60" w:name="_heading=h.qzid18eu3cn5" w:colFirst="0" w:colLast="0"/>
      <w:bookmarkEnd w:id="60"/>
      <w:r>
        <w:t>Additionally, the findings of the study accredit Beebe (2004)’s claim that there are different methods in which students can acquire information and communication technology skills which includes informal tuition from friends, family or peers or students can also teach themselves with user manuals. Conversely, the findings of the study refute the claim of Mattheos et al. (2002) who noted that students are generally exposed to some form of ICT literacy education in their university, for them to acquire ICT skills. Finally, the result is at variance with the findings of Kumar and Kaur (2006) which stated that ICT skills can be acquired through trial-and-error methods but supports the claim that guidance from colleagues and friends, training from college, self-instruction, and external courses are means through which ICT skills can be acquired.</w:t>
      </w:r>
    </w:p>
    <w:p w14:paraId="06EED33E">
      <w:pPr>
        <w:spacing w:line="480" w:lineRule="auto"/>
        <w:jc w:val="both"/>
      </w:pPr>
      <w:bookmarkStart w:id="61" w:name="_heading=h.23ckvvd" w:colFirst="0" w:colLast="0"/>
      <w:bookmarkEnd w:id="61"/>
      <w:r>
        <w:t xml:space="preserve">The result of the study recommended that the LIS curriculum should include more practical ICT training sessions as asserted by almost all the respondents while a significant majority of the respondents expect the university to provide more access to up-to-date ICT resources for LIS students. Additionally, it can also be deduced from the study that there should be regular workshops and seminars on emerging ICT trends and technologies relevant to LIS as stated by majority of the respondents. Similarly, the analysis discovered that most of the respondents propose a collaboration with ICT professional to provide real-world ICT trainings for LIS students. Finally, a significant majority of the respondents assert that regular feedbacks should be collected from students on ICT courses in order to improve the curriculum. The recommendations proposed by the study strongly validates that of Korte and Husing (2007) who equally recommended curriculum modification for effective and efficient service delivery. In the same vein, the study corroborates the study of Abubakar (2010) who recommendeded a review of the department's curriculum to incorporate more core courses related to information and communication technology (ICT). Additionally, the result validates the recommendation of Toyo (2017) and Emeka (2017) who suggested an increase in the number and standard of ICT training infrastructure together with an increased awareness about the importance of applying ICT infrastructure to ensure the actual implementation in teaching and learning. Finally, the results accredit the findings of Kamba (2011) which revealed the urgent necessity to educate and train library and information professionals in order to develop a sustainable competency in ICT by addressing issues that lie within the comprehensive ICT policies and infrastructures at both the national and institutional levels, as well as the insufficient money, suitable equipment, expertise, and administration in Nigeria and LIS schools specifically. </w:t>
      </w:r>
    </w:p>
    <w:p w14:paraId="132A9E09">
      <w:pPr>
        <w:rPr>
          <w:b/>
          <w:color w:val="000000"/>
        </w:rPr>
      </w:pPr>
      <w:bookmarkStart w:id="62" w:name="_heading=h.ihv636" w:colFirst="0" w:colLast="0"/>
      <w:bookmarkEnd w:id="62"/>
      <w:r>
        <w:rPr>
          <w:b/>
          <w:color w:val="000000"/>
        </w:rPr>
        <w:br w:type="page"/>
      </w:r>
    </w:p>
    <w:p w14:paraId="64FD6EB2">
      <w:pPr>
        <w:pStyle w:val="2"/>
      </w:pPr>
      <w:bookmarkStart w:id="63" w:name="_Toc174208580"/>
      <w:r>
        <w:t>CHAPTER FIVE</w:t>
      </w:r>
      <w:bookmarkEnd w:id="63"/>
    </w:p>
    <w:p w14:paraId="698CA20A">
      <w:pPr>
        <w:pStyle w:val="2"/>
      </w:pPr>
      <w:bookmarkStart w:id="64" w:name="_heading=h.32hioqz" w:colFirst="0" w:colLast="0"/>
      <w:bookmarkEnd w:id="64"/>
      <w:bookmarkStart w:id="65" w:name="_Toc174208581"/>
      <w:r>
        <w:t>SUMMARY, CONCLUSION AND RECOMMENDATION</w:t>
      </w:r>
      <w:bookmarkEnd w:id="65"/>
    </w:p>
    <w:p w14:paraId="533151BE">
      <w:pPr>
        <w:pStyle w:val="3"/>
      </w:pPr>
      <w:bookmarkStart w:id="66" w:name="_heading=h.1hmsyys" w:colFirst="0" w:colLast="0"/>
      <w:bookmarkEnd w:id="66"/>
      <w:bookmarkStart w:id="67" w:name="_Toc174208582"/>
      <w:r>
        <w:t>5.1 Introduction</w:t>
      </w:r>
      <w:bookmarkEnd w:id="67"/>
    </w:p>
    <w:p w14:paraId="2619C662">
      <w:pPr>
        <w:spacing w:after="0" w:line="480" w:lineRule="auto"/>
        <w:jc w:val="both"/>
      </w:pPr>
      <w:r>
        <w:t>This chapter provides the summary of findings, conclusion, and recommendations from the analysis of the research data presented as follow:</w:t>
      </w:r>
    </w:p>
    <w:p w14:paraId="45DC67B5">
      <w:pPr>
        <w:spacing w:after="0" w:line="480" w:lineRule="auto"/>
      </w:pPr>
      <w:r>
        <w:t xml:space="preserve">5.2 Summary of the Findings  </w:t>
      </w:r>
    </w:p>
    <w:p w14:paraId="338356E2">
      <w:pPr>
        <w:spacing w:after="0" w:line="480" w:lineRule="auto"/>
      </w:pPr>
      <w:r>
        <w:t xml:space="preserve">5.3 Conclusion </w:t>
      </w:r>
    </w:p>
    <w:p w14:paraId="50A8E48E">
      <w:pPr>
        <w:spacing w:after="0" w:line="480" w:lineRule="auto"/>
      </w:pPr>
      <w:r>
        <w:t>5.4 Recommendation</w:t>
      </w:r>
    </w:p>
    <w:p w14:paraId="7A550E39">
      <w:pPr>
        <w:keepNext/>
        <w:keepLines/>
        <w:spacing w:line="480" w:lineRule="auto"/>
      </w:pPr>
      <w:r>
        <w:t>5.5 Suggestions for Further Studies</w:t>
      </w:r>
    </w:p>
    <w:p w14:paraId="2C0F9D77">
      <w:pPr>
        <w:spacing w:line="480" w:lineRule="auto"/>
        <w:rPr>
          <w:color w:val="FF0000"/>
        </w:rPr>
      </w:pPr>
      <w:r>
        <w:t>5.6 Limitations of study</w:t>
      </w:r>
    </w:p>
    <w:p w14:paraId="6E18A256">
      <w:pPr>
        <w:pStyle w:val="3"/>
        <w:ind w:left="0" w:leftChars="0" w:firstLine="0" w:firstLineChars="0"/>
      </w:pPr>
      <w:bookmarkStart w:id="68" w:name="_heading=h.41mghml" w:colFirst="0" w:colLast="0"/>
      <w:bookmarkEnd w:id="68"/>
      <w:bookmarkStart w:id="69" w:name="_Toc174208583"/>
      <w:r>
        <w:t>5.2</w:t>
      </w:r>
      <w:r>
        <w:tab/>
      </w:r>
      <w:r>
        <w:t xml:space="preserve"> Summary of the Findings</w:t>
      </w:r>
      <w:bookmarkEnd w:id="69"/>
      <w:r>
        <w:t xml:space="preserve"> </w:t>
      </w:r>
    </w:p>
    <w:p w14:paraId="4218C1B7">
      <w:pPr>
        <w:numPr>
          <w:ilvl w:val="0"/>
          <w:numId w:val="8"/>
        </w:numPr>
        <w:spacing w:after="0" w:line="480" w:lineRule="auto"/>
        <w:jc w:val="both"/>
      </w:pPr>
      <w:bookmarkStart w:id="70" w:name="_heading=h.2grqrue" w:colFirst="0" w:colLast="0"/>
      <w:bookmarkEnd w:id="70"/>
      <w:r>
        <w:rPr>
          <w:color w:val="000000"/>
        </w:rPr>
        <w:t>The study found that respondents regularly use the internet for academic purposes.</w:t>
      </w:r>
    </w:p>
    <w:p w14:paraId="4ACC68B7">
      <w:pPr>
        <w:numPr>
          <w:ilvl w:val="0"/>
          <w:numId w:val="8"/>
        </w:numPr>
        <w:spacing w:after="0" w:line="480" w:lineRule="auto"/>
        <w:jc w:val="both"/>
      </w:pPr>
      <w:r>
        <w:rPr>
          <w:color w:val="000000"/>
        </w:rPr>
        <w:t>The study found that respondents demonstrated a high level of proficiency in basic ICT skills such as starting up, logging on, and shutting down a computer system properly, using a mouse, pointing device, and keyboard, identifying and using icons (folders, files, applications, and shortcuts/aliases), creating documents of various types and saving them in a desired location, selecting, copying, and pasting text in a desired location, printing a document, sending and opening attachments from emails, using a common email program, and downloading files and images from a webpage.</w:t>
      </w:r>
    </w:p>
    <w:p w14:paraId="1EDA0927">
      <w:pPr>
        <w:numPr>
          <w:ilvl w:val="0"/>
          <w:numId w:val="8"/>
        </w:numPr>
        <w:spacing w:after="0" w:line="480" w:lineRule="auto"/>
        <w:jc w:val="both"/>
      </w:pPr>
      <w:r>
        <w:rPr>
          <w:color w:val="000000"/>
        </w:rPr>
        <w:t>The study found that most respondents acquired ICT skills through courses outside the university, manuals and handbooks, friends, family or other students, and cybercafé/Information center staff, rather than through trial-and-error methods or their course of study.</w:t>
      </w:r>
    </w:p>
    <w:p w14:paraId="2D9DDA63">
      <w:pPr>
        <w:numPr>
          <w:ilvl w:val="0"/>
          <w:numId w:val="8"/>
        </w:numPr>
        <w:spacing w:line="480" w:lineRule="auto"/>
        <w:jc w:val="both"/>
      </w:pPr>
      <w:r>
        <w:rPr>
          <w:color w:val="000000"/>
        </w:rPr>
        <w:t>The study proposed recommendations including the inclusion of more practical ICT training sessions, provision of more access to up-to-date ICT resources for LIS students, organization of regular workshops and seminars on emerging ICT trends and technologies relevant to LIS, collaboration with ICT professionals to provide real-world ICT training for LIS students, and the collection of regular feedback from students on ICT courses to improve the curriculum.</w:t>
      </w:r>
    </w:p>
    <w:p w14:paraId="1BCFCACE">
      <w:pPr>
        <w:pStyle w:val="3"/>
      </w:pPr>
      <w:bookmarkStart w:id="71" w:name="_Toc174208584"/>
      <w:r>
        <w:t>5.3      Conclusion</w:t>
      </w:r>
      <w:bookmarkEnd w:id="71"/>
    </w:p>
    <w:p w14:paraId="0DA3F537">
      <w:pPr>
        <w:spacing w:after="240" w:line="480" w:lineRule="auto"/>
      </w:pPr>
      <w:r>
        <w:t>Based on findings, from LIS undergraduates in Kwara State University, Malete. The researcher concludes that LIS undergraduates use the internet regularly and possess basic ICT skills which they acquired through means outside their course of study and proposes the inclusion of practical ICT trainings in the LIS course curriculum.</w:t>
      </w:r>
    </w:p>
    <w:p w14:paraId="6602F12E">
      <w:pPr>
        <w:pStyle w:val="3"/>
      </w:pPr>
      <w:bookmarkStart w:id="72" w:name="_heading=h.vx1227" w:colFirst="0" w:colLast="0"/>
      <w:bookmarkEnd w:id="72"/>
      <w:bookmarkStart w:id="73" w:name="_Toc174208585"/>
      <w:r>
        <w:t>5.4      Recommendations</w:t>
      </w:r>
      <w:bookmarkEnd w:id="73"/>
    </w:p>
    <w:p w14:paraId="19EB6660">
      <w:pPr>
        <w:pStyle w:val="3"/>
        <w:ind w:left="0" w:leftChars="0" w:firstLine="0" w:firstLineChars="0"/>
      </w:pPr>
      <w:r>
        <w:rPr>
          <w:b w:val="0"/>
          <w:color w:val="000000"/>
        </w:rPr>
        <w:t xml:space="preserve">Based on findings and discussions with relevant conclusion, the following recommendations are made to expose </w:t>
      </w:r>
      <w:r>
        <w:rPr>
          <w:b w:val="0"/>
        </w:rPr>
        <w:t>Library and Information Science students to more than just basic ICT skills</w:t>
      </w:r>
      <w:r>
        <w:t xml:space="preserve">. </w:t>
      </w:r>
    </w:p>
    <w:p w14:paraId="76C34398">
      <w:pPr>
        <w:numPr>
          <w:ilvl w:val="0"/>
          <w:numId w:val="9"/>
        </w:numPr>
        <w:spacing w:after="0" w:line="480" w:lineRule="auto"/>
        <w:jc w:val="both"/>
        <w:rPr>
          <w:color w:val="000000"/>
        </w:rPr>
      </w:pPr>
      <w:bookmarkStart w:id="74" w:name="_heading=h.3fwokq0" w:colFirst="0" w:colLast="0"/>
      <w:bookmarkEnd w:id="74"/>
      <w:r>
        <w:rPr>
          <w:color w:val="000000"/>
        </w:rPr>
        <w:t>The University should increase duration of practical ICT sessions to integrate hands-on projects that solve real-world problems.</w:t>
      </w:r>
    </w:p>
    <w:p w14:paraId="3C050C70">
      <w:pPr>
        <w:numPr>
          <w:ilvl w:val="0"/>
          <w:numId w:val="9"/>
        </w:numPr>
        <w:spacing w:after="0" w:line="480" w:lineRule="auto"/>
        <w:jc w:val="both"/>
        <w:rPr>
          <w:color w:val="000000"/>
        </w:rPr>
      </w:pPr>
      <w:r>
        <w:rPr>
          <w:color w:val="000000"/>
        </w:rPr>
        <w:t xml:space="preserve">The University should provide access to the latest hardware and software and regularly update ICT labs with new technologies to enhance the skills of students. </w:t>
      </w:r>
    </w:p>
    <w:p w14:paraId="28BB0605">
      <w:pPr>
        <w:numPr>
          <w:ilvl w:val="0"/>
          <w:numId w:val="9"/>
        </w:numPr>
        <w:spacing w:after="0" w:line="480" w:lineRule="auto"/>
        <w:jc w:val="both"/>
        <w:rPr>
          <w:color w:val="000000"/>
        </w:rPr>
      </w:pPr>
      <w:r>
        <w:rPr>
          <w:color w:val="000000"/>
        </w:rPr>
        <w:t>The University should conduct workshops and seminars on emerging ICT trends and technologies and invite industry professionals for training sessions so that students can acquire relevant ICT skills.</w:t>
      </w:r>
    </w:p>
    <w:p w14:paraId="29E2C5C9">
      <w:pPr>
        <w:numPr>
          <w:ilvl w:val="0"/>
          <w:numId w:val="9"/>
        </w:numPr>
        <w:spacing w:line="480" w:lineRule="auto"/>
        <w:jc w:val="both"/>
        <w:rPr>
          <w:color w:val="000000"/>
        </w:rPr>
      </w:pPr>
      <w:r>
        <w:rPr>
          <w:color w:val="000000"/>
        </w:rPr>
        <w:t>The Management should partner with ICT companies and professionals for internships and real-world training to implement a system to collect feedback on ICT courses and use feedback to continuously improve the curriculum and teaching methods.</w:t>
      </w:r>
    </w:p>
    <w:p w14:paraId="7BCA6CEF">
      <w:pPr>
        <w:pStyle w:val="3"/>
      </w:pPr>
      <w:bookmarkStart w:id="75" w:name="_heading=h.1v1yuxt" w:colFirst="0" w:colLast="0"/>
      <w:bookmarkEnd w:id="75"/>
      <w:bookmarkStart w:id="76" w:name="_Toc174208586"/>
      <w:r>
        <w:t>5.5     Suggestions for Further Studies</w:t>
      </w:r>
      <w:bookmarkEnd w:id="76"/>
    </w:p>
    <w:p w14:paraId="1FC20084">
      <w:pPr>
        <w:numPr>
          <w:ilvl w:val="0"/>
          <w:numId w:val="10"/>
        </w:numPr>
        <w:spacing w:after="0" w:line="480" w:lineRule="auto"/>
        <w:jc w:val="both"/>
        <w:rPr>
          <w:color w:val="000000"/>
        </w:rPr>
      </w:pPr>
      <w:r>
        <w:rPr>
          <w:color w:val="000000"/>
        </w:rPr>
        <w:t>Conduct longitudinal studies to track the development of ICT skills among students over their academic careers and assess the impact of enhanced ICT training on students' academic performance and career readiness.</w:t>
      </w:r>
    </w:p>
    <w:p w14:paraId="709A8CCF">
      <w:pPr>
        <w:numPr>
          <w:ilvl w:val="0"/>
          <w:numId w:val="10"/>
        </w:numPr>
        <w:spacing w:after="0" w:line="480" w:lineRule="auto"/>
        <w:jc w:val="both"/>
        <w:rPr>
          <w:color w:val="000000"/>
        </w:rPr>
      </w:pPr>
      <w:r>
        <w:rPr>
          <w:color w:val="000000"/>
        </w:rPr>
        <w:t>Comparative Studies of the ICT skills and usage patterns of students from different academic disciplines and analysis of how different teaching methods impact the acquisition of ICT skills.</w:t>
      </w:r>
    </w:p>
    <w:p w14:paraId="7418DEA0">
      <w:pPr>
        <w:numPr>
          <w:ilvl w:val="0"/>
          <w:numId w:val="10"/>
        </w:numPr>
        <w:spacing w:after="0" w:line="480" w:lineRule="auto"/>
        <w:jc w:val="both"/>
        <w:rPr>
          <w:color w:val="000000"/>
        </w:rPr>
      </w:pPr>
      <w:r>
        <w:rPr>
          <w:color w:val="000000"/>
        </w:rPr>
        <w:t>Investigation of the impact of emerging technologies such as artificial intelligence and machine learning on ICT skills requirements and the exploration of how integrating these technologies into the curriculum can enhance students' ICT competencies.</w:t>
      </w:r>
    </w:p>
    <w:p w14:paraId="7921A306">
      <w:pPr>
        <w:numPr>
          <w:ilvl w:val="0"/>
          <w:numId w:val="10"/>
        </w:numPr>
        <w:spacing w:line="480" w:lineRule="auto"/>
        <w:jc w:val="both"/>
        <w:rPr>
          <w:color w:val="000000"/>
        </w:rPr>
      </w:pPr>
      <w:r>
        <w:rPr>
          <w:color w:val="000000"/>
        </w:rPr>
        <w:t>Identification of the barriers that hinder students from fully utilizing ICT resources and the development of strategies to overcome these barriers.</w:t>
      </w:r>
    </w:p>
    <w:p w14:paraId="1A78039C">
      <w:pPr>
        <w:pStyle w:val="3"/>
        <w:rPr>
          <w:color w:val="FF0000"/>
        </w:rPr>
      </w:pPr>
      <w:bookmarkStart w:id="77" w:name="_Toc174208587"/>
      <w:r>
        <w:t>5.6 Limitations of the study</w:t>
      </w:r>
      <w:bookmarkEnd w:id="77"/>
    </w:p>
    <w:p w14:paraId="092F36D7">
      <w:pPr>
        <w:spacing w:line="480" w:lineRule="auto"/>
        <w:jc w:val="both"/>
      </w:pPr>
      <w:r>
        <w:t>One limitation of this study is the focus on undergraduates of LIS in Kwara State University, which cannot allow for a generalization of the research findings to the entire population. Also, the scope of ICT skills assessed is limited to basic skills, potentially neglecting more advanced or specialized skills. Furthermore, ICT is a rapidly evolving field, so the findings may become outdated quickly.</w:t>
      </w:r>
    </w:p>
    <w:p w14:paraId="73578E4D">
      <w:pPr>
        <w:spacing w:line="480" w:lineRule="auto"/>
        <w:jc w:val="both"/>
      </w:pPr>
      <w:r>
        <w:t>Other limitations include time frame and respondents’ attitude. The duration to undertake the research with inclusion of other academic activities outside the study was a limiting factor towards examining a broader sample size as well as ability to exhaust all areas related to the research. However, all of these limitations are not considered highly significant enough to jeopardize the outcome of the research.</w:t>
      </w:r>
    </w:p>
    <w:p w14:paraId="00FB02A8">
      <w:r>
        <w:br w:type="page"/>
      </w:r>
    </w:p>
    <w:p w14:paraId="38A1A30D">
      <w:pPr>
        <w:pStyle w:val="2"/>
      </w:pPr>
      <w:bookmarkStart w:id="78" w:name="_Toc174208588"/>
      <w:r>
        <w:t>REFERENCES</w:t>
      </w:r>
      <w:bookmarkEnd w:id="78"/>
    </w:p>
    <w:p w14:paraId="2BF8F028">
      <w:pPr>
        <w:spacing w:line="480" w:lineRule="auto"/>
        <w:ind w:left="810" w:hanging="810"/>
        <w:jc w:val="both"/>
      </w:pPr>
      <w:r>
        <w:t>Abedelhaheen, A.,&amp; Al Musawi, A. (2003). Instructional uses of internet services by Sultan Qaboos     University faculty members (Part 1). International Journal of Instruction Media, 30(1):45-49.</w:t>
      </w:r>
    </w:p>
    <w:p w14:paraId="082209F3">
      <w:pPr>
        <w:spacing w:line="480" w:lineRule="auto"/>
        <w:ind w:left="810" w:hanging="810"/>
        <w:jc w:val="both"/>
      </w:pPr>
      <w:r>
        <w:t xml:space="preserve">Abubakar, M. K. (2010). ICT knowledge and skills among students of library and information  science in Umaru Musa Yar’adu University, Nigeria. </w:t>
      </w:r>
      <w:r>
        <w:rPr>
          <w:i/>
        </w:rPr>
        <w:t>Information Manager (The), 10</w:t>
      </w:r>
      <w:r>
        <w:t>(12), 40-47.</w:t>
      </w:r>
    </w:p>
    <w:p w14:paraId="1CE45378">
      <w:pPr>
        <w:spacing w:line="480" w:lineRule="auto"/>
        <w:ind w:left="810" w:hanging="810"/>
        <w:jc w:val="both"/>
      </w:pPr>
      <w:r>
        <w:t>Adebayo, J. O., &amp; Alex-Nmecha, J. A. (2019). Survey of library and information science education in Nigeria: The case of two LIS schools</w:t>
      </w:r>
      <w:r>
        <w:rPr>
          <w:i/>
        </w:rPr>
        <w:t>. Library Philosophy and Practice,</w:t>
      </w:r>
      <w:r>
        <w:t xml:space="preserve"> 1-17.</w:t>
      </w:r>
    </w:p>
    <w:p w14:paraId="7E62F22A">
      <w:pPr>
        <w:spacing w:line="480" w:lineRule="auto"/>
        <w:ind w:left="810" w:hanging="810"/>
        <w:jc w:val="both"/>
      </w:pPr>
      <w:r>
        <w:t xml:space="preserve">Adeogun, M. (2003). The Digital Divide and University Education System in Sub-Saharan Africa. </w:t>
      </w:r>
      <w:r>
        <w:rPr>
          <w:i/>
        </w:rPr>
        <w:t>Afr. J. Library Arch. Infor Sci. 13</w:t>
      </w:r>
      <w:r>
        <w:t>(1),11-20.</w:t>
      </w:r>
    </w:p>
    <w:p w14:paraId="34F131B7">
      <w:pPr>
        <w:spacing w:line="480" w:lineRule="auto"/>
        <w:ind w:left="810" w:hanging="810"/>
        <w:jc w:val="both"/>
      </w:pPr>
      <w:r>
        <w:t>Akintude, S. A. (2004). Libraries as tools for ICT development. A paper presented at the 2004 NLA National Conference and AGM, held at Akure 20-25 June, 2004.p10.</w:t>
      </w:r>
    </w:p>
    <w:p w14:paraId="240D0815">
      <w:pPr>
        <w:spacing w:line="480" w:lineRule="auto"/>
        <w:ind w:left="810" w:hanging="810"/>
        <w:jc w:val="both"/>
      </w:pPr>
      <w:r>
        <w:t xml:space="preserve">Attwell, J. (2005). </w:t>
      </w:r>
      <w:r>
        <w:rPr>
          <w:i/>
        </w:rPr>
        <w:t>Mobile Technologies and Learning. Learning and Skills Development Agency</w:t>
      </w:r>
      <w:r>
        <w:t>: UK. State University of New York Press.</w:t>
      </w:r>
    </w:p>
    <w:p w14:paraId="22FBD5DD">
      <w:pPr>
        <w:spacing w:line="480" w:lineRule="auto"/>
        <w:ind w:left="810" w:hanging="810"/>
        <w:jc w:val="both"/>
      </w:pPr>
      <w:r>
        <w:t>Beebe, M. A. (2004). Impact of ICT Revolution on the African Academic Landscape. CODESRIA Conference on Electronic Publishing and Dissemination, Dakar, Senegal 1 -2 September 2004. Retrieved 10.</w:t>
      </w:r>
    </w:p>
    <w:p w14:paraId="324836A9">
      <w:pPr>
        <w:spacing w:line="480" w:lineRule="auto"/>
        <w:ind w:left="810" w:hanging="810"/>
        <w:jc w:val="both"/>
      </w:pPr>
      <w:r>
        <w:t xml:space="preserve">B-HERT (2002). Enhancing the learning and employability of graduates: The role of generic skills. </w:t>
      </w:r>
      <w:r>
        <w:rPr>
          <w:i/>
        </w:rPr>
        <w:t>Position paper no.9, Business Education Roundtable, HREF</w:t>
      </w:r>
      <w:r>
        <w:t xml:space="preserve">. Retrieved August, 2007 from </w:t>
      </w:r>
      <w:r>
        <w:fldChar w:fldCharType="begin"/>
      </w:r>
      <w:r>
        <w:instrText xml:space="preserve"> HYPERLINK "http://www.bhert.com/publication_PolicyStatements.htm" </w:instrText>
      </w:r>
      <w:r>
        <w:fldChar w:fldCharType="separate"/>
      </w:r>
      <w:r>
        <w:rPr>
          <w:rStyle w:val="12"/>
        </w:rPr>
        <w:t>http://www.bhert.com/publication_PolicyStatements.htm</w:t>
      </w:r>
      <w:r>
        <w:rPr>
          <w:rStyle w:val="12"/>
        </w:rPr>
        <w:fldChar w:fldCharType="end"/>
      </w:r>
    </w:p>
    <w:p w14:paraId="1765ADCA">
      <w:pPr>
        <w:spacing w:line="480" w:lineRule="auto"/>
        <w:ind w:left="810" w:hanging="810"/>
        <w:jc w:val="both"/>
      </w:pPr>
      <w:r>
        <w:t>Brophy, P. (1993). Networking in British academic libraries. British J. Acad. Librarianship, 8(1):49-60.</w:t>
      </w:r>
    </w:p>
    <w:p w14:paraId="32C8E14B">
      <w:pPr>
        <w:spacing w:line="480" w:lineRule="auto"/>
        <w:ind w:left="810" w:hanging="810"/>
        <w:jc w:val="both"/>
      </w:pPr>
      <w:r>
        <w:t>Buarki, H., Hepworth, M., &amp; Murray, I. (2011). LIS Students’ ICT Skills in Kuwait: Perspectives of Employers, Teaching Staff and Students. US-China Education Review, 89.</w:t>
      </w:r>
    </w:p>
    <w:p w14:paraId="5F77DBF3">
      <w:pPr>
        <w:spacing w:line="480" w:lineRule="auto"/>
        <w:ind w:left="810" w:hanging="810"/>
        <w:jc w:val="both"/>
      </w:pPr>
      <w:r>
        <w:t>Buckingham, D. (2015). Defining digital literacy - What do young people need to know about digital media? Nordic Journal of Digital Literacy, 10(Jubileumsnummer), 21–35. https://doi.org/10.18261/issn1891-943x-2015-jubileumsnummer-03</w:t>
      </w:r>
    </w:p>
    <w:p w14:paraId="143DF416">
      <w:pPr>
        <w:spacing w:line="480" w:lineRule="auto"/>
        <w:ind w:left="810" w:hanging="810"/>
        <w:jc w:val="both"/>
      </w:pPr>
      <w:r>
        <w:t>Chavez, C. (1997). Students take flight with Daedalus: Learning Spanish in a networked classroom. Foreign Language Annals, 30(1):27-37</w:t>
      </w:r>
    </w:p>
    <w:p w14:paraId="27C9BEAB">
      <w:pPr>
        <w:spacing w:line="480" w:lineRule="auto"/>
        <w:jc w:val="both"/>
      </w:pPr>
      <w:r>
        <w:t>Dutton B. G. (1990). An introduction to end-user searching.In: Bysouth,</w:t>
      </w:r>
    </w:p>
    <w:p w14:paraId="01A47553">
      <w:pPr>
        <w:spacing w:line="480" w:lineRule="auto"/>
        <w:ind w:left="810" w:hanging="810"/>
        <w:jc w:val="both"/>
      </w:pPr>
      <w:r>
        <w:t>Emeka, O. (2017). The extent of information and communication technology (ICT) infrastructure application in library and information science education in Nigeria. International Journal of Library and Information Science, 9(5), 44-53.</w:t>
      </w:r>
    </w:p>
    <w:p w14:paraId="1D35A468">
      <w:pPr>
        <w:spacing w:line="480" w:lineRule="auto"/>
        <w:ind w:left="900" w:hanging="900"/>
        <w:jc w:val="both"/>
      </w:pPr>
      <w:r>
        <w:t>Emele, O. U., Emele C. J. (1995). Fundamentals Research Methodology and Statistics in Education and Behavioural Science. Aba: Model Academic Publisher.</w:t>
      </w:r>
    </w:p>
    <w:p w14:paraId="2DF0E68D">
      <w:pPr>
        <w:spacing w:line="480" w:lineRule="auto"/>
        <w:ind w:left="900" w:hanging="900"/>
        <w:jc w:val="both"/>
      </w:pPr>
      <w:r>
        <w:t>Engeldinger, E. A. (1998). Technology infrastructure and information literacy. Library Philosophy and Practice, 1:1.</w:t>
      </w:r>
    </w:p>
    <w:p w14:paraId="0DC97A1E">
      <w:pPr>
        <w:spacing w:line="480" w:lineRule="auto"/>
        <w:ind w:left="900" w:hanging="900"/>
        <w:jc w:val="both"/>
      </w:pPr>
      <w:r>
        <w:t>Fatima, H. Z., Shafique, F., &amp; Firdous, A. (2016). ICT skills of LIS students: A survey of two library schools of the Punjab. Pakistan Journal of Information Management and Libraries, 13, 43-53.</w:t>
      </w:r>
    </w:p>
    <w:p w14:paraId="055E864A">
      <w:pPr>
        <w:spacing w:line="480" w:lineRule="auto"/>
        <w:ind w:left="900" w:hanging="900"/>
        <w:jc w:val="both"/>
      </w:pPr>
      <w:r>
        <w:t>Alleyne, G. (2006). Perception of information and communication technology among undergraduate management students in Barbados. J. Edu. Dev. 2(4):6-17.</w:t>
      </w:r>
    </w:p>
    <w:p w14:paraId="16527540">
      <w:pPr>
        <w:spacing w:line="480" w:lineRule="auto"/>
        <w:jc w:val="both"/>
      </w:pPr>
      <w:r>
        <w:t>Gilster, P. (1997). Digital Literacy. New York: Wiley</w:t>
      </w:r>
    </w:p>
    <w:p w14:paraId="7468E875">
      <w:pPr>
        <w:spacing w:line="480" w:lineRule="auto"/>
        <w:jc w:val="both"/>
      </w:pPr>
      <w:r>
        <w:t>Glenda Gay, Sonia Mahon, Dwayne Devonish, Philmore Alleyne, Peter</w:t>
      </w:r>
    </w:p>
    <w:p w14:paraId="77AACEA5">
      <w:pPr>
        <w:spacing w:line="480" w:lineRule="auto"/>
        <w:ind w:left="990" w:hanging="990"/>
        <w:jc w:val="both"/>
      </w:pPr>
      <w:r>
        <w:t>Goldman, S., Cole, K., Syer, C. (1999). ‘The technology/content dileman’ Paper presented at the Secretary’s Conference on Educational Technology. Retrieved July 10, 2006.</w:t>
      </w:r>
    </w:p>
    <w:p w14:paraId="6EC67504">
      <w:pPr>
        <w:spacing w:line="480" w:lineRule="auto"/>
        <w:ind w:left="990" w:hanging="990"/>
        <w:jc w:val="both"/>
      </w:pPr>
      <w:r>
        <w:t>Gremm, J., Barth, J., Fietkiewicz, K. J., &amp; Stock, W. G. (2018). Transitioning Towards a Knowledge Society. Cham: Springer International Publishing. https://doi.org/10.1007/978-3-319-71195-9</w:t>
      </w:r>
    </w:p>
    <w:p w14:paraId="4E841C01">
      <w:pPr>
        <w:spacing w:line="480" w:lineRule="auto"/>
        <w:ind w:left="990" w:hanging="990"/>
        <w:jc w:val="both"/>
      </w:pPr>
      <w:r>
        <w:t>Harris, C. (1996). An Internet education: a guide to doing research on the Internet. Belmont, CA: Wadsworth.</w:t>
      </w:r>
    </w:p>
    <w:p w14:paraId="3D332E73">
      <w:pPr>
        <w:spacing w:line="480" w:lineRule="auto"/>
        <w:ind w:left="1080" w:hanging="1080"/>
        <w:jc w:val="both"/>
      </w:pPr>
      <w:r>
        <w:t>Haywood, D. (2003). Confidence, Experience and Attitudes of Undergraduate Students towards ICT</w:t>
      </w:r>
    </w:p>
    <w:p w14:paraId="6F89D4AE">
      <w:pPr>
        <w:spacing w:line="480" w:lineRule="auto"/>
        <w:ind w:left="1080" w:hanging="1080"/>
        <w:jc w:val="both"/>
      </w:pPr>
      <w:r>
        <w:t xml:space="preserve"> Hossain, M. A., &amp; Sormunen, E. (2019). ICT skills of library and information science (LIS) students in Bangladesh. International Information &amp; Library Review, 51(4), 285-299.</w:t>
      </w:r>
    </w:p>
    <w:p w14:paraId="15B10E6D">
      <w:pPr>
        <w:spacing w:line="480" w:lineRule="auto"/>
        <w:ind w:left="1080" w:hanging="1080"/>
        <w:jc w:val="both"/>
      </w:pPr>
      <w:r>
        <w:t>Ikenwe, I. J., Aiyebelehin, A. J., &amp; Adjarho, O. (2022). Understanding the digital literacy skills of digital natives: A case study of LIS undergraduates in a Nigerian University. International Journal on Integrated Education, 5(3), 18-29.</w:t>
      </w:r>
    </w:p>
    <w:p w14:paraId="44831EC6">
      <w:pPr>
        <w:spacing w:line="480" w:lineRule="auto"/>
        <w:ind w:left="1080" w:hanging="1080"/>
        <w:jc w:val="both"/>
      </w:pPr>
      <w:r>
        <w:t>INTECU (2006). History, Strategic Plan and Policy OAU, ILE-Ife, Osun State, Nigeria, p.8.</w:t>
      </w:r>
    </w:p>
    <w:p w14:paraId="75406E17">
      <w:pPr>
        <w:spacing w:line="480" w:lineRule="auto"/>
        <w:ind w:left="1170" w:hanging="1170"/>
        <w:jc w:val="both"/>
      </w:pPr>
      <w:r>
        <w:t>International Society for Technology in Education (ISTE). (2000). National educational technology standards for students-connecting curriculum and technology. Eugene, OR: International Society for Technology in Education.</w:t>
      </w:r>
    </w:p>
    <w:p w14:paraId="43CC523B">
      <w:pPr>
        <w:spacing w:line="480" w:lineRule="auto"/>
        <w:ind w:left="1170" w:hanging="1170"/>
        <w:jc w:val="both"/>
      </w:pPr>
      <w:r>
        <w:t>Ioanna, P. (2008). An analysis of educational studies undergraduate students’ perception of ICT: a case study.e-journal of the British Education Studies Association 1(1).</w:t>
      </w:r>
    </w:p>
    <w:p w14:paraId="107B6E3D">
      <w:pPr>
        <w:spacing w:line="480" w:lineRule="auto"/>
        <w:ind w:left="1170" w:hanging="1170"/>
        <w:jc w:val="both"/>
      </w:pPr>
      <w:r>
        <w:t>Israel, O., &amp; Edesiri, E. (2014). ICT skills and Internet usage among Library and Information Science students in Delta and Edo States, Nigeria. International journal of Library and Information science, 6(5), 98-107.</w:t>
      </w:r>
    </w:p>
    <w:p w14:paraId="6A40D49A">
      <w:pPr>
        <w:spacing w:line="480" w:lineRule="auto"/>
        <w:ind w:left="1170" w:hanging="1170"/>
        <w:jc w:val="both"/>
      </w:pPr>
      <w:r>
        <w:t>Iwona, M. (2008). ICT Skills: An Essential Graduate Skill in Today’s Global Economy Higher Edu. Res. Dev. 19:261-277.</w:t>
      </w:r>
    </w:p>
    <w:p w14:paraId="54290BDC">
      <w:pPr>
        <w:spacing w:line="480" w:lineRule="auto"/>
        <w:ind w:left="1170" w:hanging="1170"/>
        <w:jc w:val="both"/>
      </w:pPr>
      <w:r>
        <w:t>Kamba, M. A. (2011). ICT competency framework for library and information science schools in Nigeria: The need for model curriculum. International Journal of Library and Information Science, 3(4), 68-80.</w:t>
      </w:r>
    </w:p>
    <w:p w14:paraId="45B8D0B0">
      <w:pPr>
        <w:spacing w:line="480" w:lineRule="auto"/>
        <w:ind w:left="1170" w:hanging="1170"/>
        <w:jc w:val="both"/>
      </w:pPr>
      <w:r>
        <w:t>Keengwe, J. (2002). Faculty integration of technology into instruction and students’ perceptions of computer technology to improve student learning. Journal of Information Technology Education, 6, 169-180. Retrieved</w:t>
      </w:r>
      <w:r>
        <w:tab/>
      </w:r>
      <w:r>
        <w:t>March</w:t>
      </w:r>
      <w:r>
        <w:tab/>
      </w:r>
      <w:r>
        <w:t>26,</w:t>
      </w:r>
      <w:r>
        <w:tab/>
      </w:r>
      <w:r>
        <w:t>2008</w:t>
      </w:r>
      <w:r>
        <w:tab/>
      </w:r>
      <w:r>
        <w:t xml:space="preserve">from </w:t>
      </w:r>
      <w:r>
        <w:fldChar w:fldCharType="begin"/>
      </w:r>
      <w:r>
        <w:instrText xml:space="preserve"> HYPERLINK "http://jite.org/documents/Vol6/JITEv6p169-180Keengwe218.pdf" </w:instrText>
      </w:r>
      <w:r>
        <w:fldChar w:fldCharType="separate"/>
      </w:r>
      <w:r>
        <w:rPr>
          <w:rStyle w:val="12"/>
        </w:rPr>
        <w:t>http://jite.org/documents/Vol6/JITEv6p169-180Keengwe218.pdf</w:t>
      </w:r>
      <w:r>
        <w:rPr>
          <w:rStyle w:val="12"/>
        </w:rPr>
        <w:fldChar w:fldCharType="end"/>
      </w:r>
    </w:p>
    <w:p w14:paraId="5E2ABAA4">
      <w:pPr>
        <w:spacing w:line="480" w:lineRule="auto"/>
        <w:ind w:left="1170" w:hanging="1170"/>
        <w:jc w:val="both"/>
      </w:pPr>
      <w:r>
        <w:t>Kilker, J. A. (2003). Shaping Convergence Media: ‘Meta-Control’ and the Domestication of DVD and Web Technologies, Convergence: J. Res. New Media Technol. 9(3):20-39.</w:t>
      </w:r>
    </w:p>
    <w:p w14:paraId="28470317">
      <w:pPr>
        <w:spacing w:line="480" w:lineRule="auto"/>
        <w:ind w:left="1170" w:hanging="1170"/>
        <w:jc w:val="both"/>
      </w:pPr>
      <w:r>
        <w:t>Korte, W. B., Husing T (2007). Benchmarking access and use of ICT in European schools 2006: Results from Head Teacher and A Classroom Teacher Surveys in 27 European countries. eLearning Papers 2(1):1-6.</w:t>
      </w:r>
    </w:p>
    <w:p w14:paraId="474E5735">
      <w:pPr>
        <w:spacing w:line="480" w:lineRule="auto"/>
        <w:ind w:left="1170" w:hanging="1170"/>
        <w:jc w:val="both"/>
      </w:pPr>
      <w:r>
        <w:t>Kumar. R., Kaur, A. (2006). Internet use by teachers and students in engineering colleges of Punjab, Haryana, and Himachal Pradesh states of India: An analysis. Electronic J. Acad. Special Librariansh. 7(1):1-12.</w:t>
      </w:r>
    </w:p>
    <w:p w14:paraId="23745B88">
      <w:pPr>
        <w:spacing w:line="480" w:lineRule="auto"/>
        <w:ind w:left="1170" w:hanging="1170"/>
        <w:jc w:val="both"/>
      </w:pPr>
      <w:r>
        <w:t>Ling, P., Arger, G., Smallwood, H., Toomey, R., Kirkpatrick, D., Bamard, I. (2001). The Effectiveness of Models of Flexible Provision of Higher Education, Department of Education, Training and Youth Affairs, Commonwealth of Australia.</w:t>
      </w:r>
    </w:p>
    <w:p w14:paraId="41E82AA0">
      <w:pPr>
        <w:spacing w:line="480" w:lineRule="auto"/>
        <w:ind w:left="1170" w:hanging="1170"/>
        <w:jc w:val="both"/>
      </w:pPr>
      <w:r>
        <w:t>Lippincott, J. K. (2015). Libraries and the Digital University. College &amp; Research Libraries, 76(3), 283–295. https://doi.org/10.5860/crl.76.3.283</w:t>
      </w:r>
    </w:p>
    <w:p w14:paraId="02B81B23">
      <w:pPr>
        <w:spacing w:line="480" w:lineRule="auto"/>
        <w:ind w:left="1170" w:hanging="1170"/>
        <w:jc w:val="both"/>
      </w:pPr>
      <w:r>
        <w:t>Mathew, D., Schrum, L. (2003). High speed Internet use and academic gratification in the college residence. Internet Higher Educ. 6(2):125- 144.</w:t>
      </w:r>
    </w:p>
    <w:p w14:paraId="6BF5CD7A">
      <w:pPr>
        <w:spacing w:line="480" w:lineRule="auto"/>
        <w:ind w:left="1170" w:hanging="1170"/>
        <w:jc w:val="both"/>
      </w:pPr>
      <w:r>
        <w:t>Mentkowski, M., Associates (2000). Learning that lasts: Integrating learning, development, and performance in college and beyond. San Francisco: Jossey-Bass.</w:t>
      </w:r>
    </w:p>
    <w:p w14:paraId="4FD8B144">
      <w:pPr>
        <w:spacing w:line="480" w:lineRule="auto"/>
        <w:ind w:left="1170" w:hanging="1170"/>
        <w:jc w:val="both"/>
      </w:pPr>
      <w:r>
        <w:t xml:space="preserve">Michaelsen, L. K., Knight, A. B., &amp; Fink, L. D. (2023). Team-Based Learning: A Transformative Use of Small Groups in College Teaching. In Google Books. Taylor &amp; Francis. </w:t>
      </w:r>
    </w:p>
    <w:p w14:paraId="4715567E">
      <w:pPr>
        <w:spacing w:line="480" w:lineRule="auto"/>
        <w:ind w:left="1170" w:hanging="1170"/>
        <w:jc w:val="both"/>
      </w:pPr>
      <w:r>
        <w:t xml:space="preserve">Micheal, B., Johnson, D. (2004). Learning and Teaching Information Technology: Computer Skills in Context. Retrieved 1 January 2002 from </w:t>
      </w:r>
      <w:r>
        <w:fldChar w:fldCharType="begin"/>
      </w:r>
      <w:r>
        <w:instrText xml:space="preserve"> HYPERLINK "http://www.libraryinstruction.com/info-tech.html" </w:instrText>
      </w:r>
      <w:r>
        <w:fldChar w:fldCharType="separate"/>
      </w:r>
      <w:r>
        <w:rPr>
          <w:rStyle w:val="12"/>
        </w:rPr>
        <w:t>www.libraryinstruction.com/info-tech.html</w:t>
      </w:r>
      <w:r>
        <w:rPr>
          <w:rStyle w:val="12"/>
        </w:rPr>
        <w:fldChar w:fldCharType="end"/>
      </w:r>
    </w:p>
    <w:p w14:paraId="18A402FB">
      <w:pPr>
        <w:spacing w:line="480" w:lineRule="auto"/>
        <w:ind w:left="1170" w:hanging="1170"/>
        <w:jc w:val="both"/>
      </w:pPr>
      <w:r>
        <w:t>National Statistics (2004). Internet Access: 12,1 million households online. Retrieved November 29,2007</w:t>
      </w:r>
    </w:p>
    <w:p w14:paraId="67131D8A">
      <w:pPr>
        <w:spacing w:line="480" w:lineRule="auto"/>
        <w:ind w:left="1170" w:hanging="1170"/>
        <w:jc w:val="both"/>
      </w:pPr>
      <w:r>
        <w:t>Niebel, T. (2018). ICT and economic growth – Comparing developing, emerging and developed countries. World Development, 104, 197–211. https://doi.org/10.1016/j.worlddev.2017.11.024</w:t>
      </w:r>
    </w:p>
    <w:p w14:paraId="63612679">
      <w:pPr>
        <w:spacing w:line="480" w:lineRule="auto"/>
        <w:ind w:left="1170" w:hanging="1170"/>
        <w:jc w:val="both"/>
      </w:pPr>
      <w:r>
        <w:t>Nikitakis, M. (2007). Proceedings of the 16th Panhellenic Conference of Academic Libraries, Pireas, Greece, 1-3 October, 2007. pp.532-544. Petrova K, Sinclair R (2005). Business Undergraduate Learning Online: A one Semester Snapshot,’ Inter. J. Edu. Develop. Using Infor. Commun. Technol. 1(4):69-88.</w:t>
      </w:r>
    </w:p>
    <w:p w14:paraId="210DED04">
      <w:pPr>
        <w:spacing w:line="480" w:lineRule="auto"/>
        <w:ind w:left="1170" w:hanging="1170"/>
        <w:jc w:val="both"/>
      </w:pPr>
      <w:r>
        <w:t>Pavel, A.-P., Fruth, A., &amp; Neacsu, M. N. (2015). ICT and E-Learning – Catalysts for Innovation and Quality in Higher Education. Procedia Economics and Finance, 23, 704–711. https://doi.org/10.1016/s2212-5671(15)00409-8</w:t>
      </w:r>
    </w:p>
    <w:p w14:paraId="2E4A6C00">
      <w:pPr>
        <w:spacing w:line="480" w:lineRule="auto"/>
        <w:ind w:left="1170" w:hanging="1170"/>
        <w:jc w:val="both"/>
      </w:pPr>
      <w:r>
        <w:t>Robinson, J. W. (2005). Internet use among African-American college students: An Exploratory study. Retrieved May 12, 2006, from ProQuest database.</w:t>
      </w:r>
    </w:p>
    <w:p w14:paraId="781E02A7">
      <w:pPr>
        <w:spacing w:line="480" w:lineRule="auto"/>
        <w:ind w:left="1170" w:hanging="1170"/>
        <w:jc w:val="both"/>
      </w:pPr>
      <w:r>
        <w:t>Rowland, J. (2006). Student’s technical skills acquisition in a laptop environment: the effects of infrastructure, instructor use and experience. In C. Crawford et al. (Eds), Proceedings of Society for Information Technology and Teacher Education International Conference 2006 (pp.1773-1776). Chesapeake, VA: AACE., instructor use and experience.</w:t>
      </w:r>
    </w:p>
    <w:p w14:paraId="3258CBE3">
      <w:pPr>
        <w:spacing w:line="480" w:lineRule="auto"/>
        <w:ind w:left="1170" w:hanging="1170"/>
        <w:jc w:val="both"/>
      </w:pPr>
      <w:r>
        <w:t>Ryan, S. M. (1994). Uncle Sam online: government information on the internet. Commun. Educ. 43:151-158.</w:t>
      </w:r>
    </w:p>
    <w:p w14:paraId="139289D3">
      <w:pPr>
        <w:spacing w:line="480" w:lineRule="auto"/>
        <w:ind w:left="1170" w:hanging="1170"/>
        <w:jc w:val="both"/>
      </w:pPr>
      <w:r>
        <w:t>Sicherl, P. (2019). Different statistical measures create different perceptions of the digital divide. The Information Society, 35(3), 143–157. https://doi.org/10.1080/01972243.2019.1582568</w:t>
      </w:r>
    </w:p>
    <w:p w14:paraId="77BE2CA1">
      <w:pPr>
        <w:spacing w:line="480" w:lineRule="auto"/>
        <w:ind w:left="1170" w:hanging="1170"/>
        <w:jc w:val="both"/>
      </w:pPr>
      <w:r>
        <w:t>Tariq, V. N., Cochrane, A. C. (2003). ‘Reflections on key skills: implementing change in a traditional university’. J. Edu. Policy 18(5):481-498.</w:t>
      </w:r>
    </w:p>
    <w:p w14:paraId="55C3198B">
      <w:pPr>
        <w:spacing w:line="480" w:lineRule="auto"/>
        <w:ind w:left="1170" w:hanging="1170"/>
        <w:jc w:val="both"/>
      </w:pPr>
      <w:r>
        <w:t>Taylor, J., Rico, M., Hardy, P. (2004). Research priorities for e-learning,</w:t>
      </w:r>
    </w:p>
    <w:p w14:paraId="38B7C97B">
      <w:pPr>
        <w:spacing w:line="480" w:lineRule="auto"/>
        <w:ind w:left="1170" w:hanging="1170"/>
        <w:jc w:val="both"/>
      </w:pPr>
      <w:r>
        <w:t>The Guardian (2003). Why Nigeria’s IT Market is backward. Lagos: Guardian Newspaper. 48p. Wednesday September 20.</w:t>
      </w:r>
    </w:p>
    <w:p w14:paraId="7DB9414E">
      <w:pPr>
        <w:spacing w:line="480" w:lineRule="auto"/>
        <w:ind w:left="1170" w:hanging="1170"/>
        <w:jc w:val="both"/>
      </w:pPr>
      <w:r>
        <w:t>Toyo, O. D. (2017). Undergraduates’ information literacy skills and the use of electronic resources in Delta State University, Abraka, Nigeria. International Journal of Education and Evaluation, 3(1), 27-36.</w:t>
      </w:r>
    </w:p>
    <w:p w14:paraId="470B546E">
      <w:pPr>
        <w:spacing w:line="480" w:lineRule="auto"/>
        <w:ind w:left="1170" w:hanging="1170"/>
        <w:jc w:val="both"/>
      </w:pPr>
      <w:r>
        <w:t xml:space="preserve">Yu, T.-K., Lin, M.-L., &amp; Liao, Y.-K. (2017). Understanding factors influencing information communication technology adoption behaviour: The moderators of information literacy and digital skills. Computers in Human Behaviour, 71, 196–208. </w:t>
      </w:r>
      <w:r>
        <w:fldChar w:fldCharType="begin"/>
      </w:r>
      <w:r>
        <w:instrText xml:space="preserve"> HYPERLINK "https://doi.org/10.1016/j.chb.2017.02.005" </w:instrText>
      </w:r>
      <w:r>
        <w:fldChar w:fldCharType="separate"/>
      </w:r>
      <w:r>
        <w:rPr>
          <w:rStyle w:val="12"/>
        </w:rPr>
        <w:t>https://doi.org/10.1016/j.chb.2017.02.005</w:t>
      </w:r>
      <w:r>
        <w:rPr>
          <w:rStyle w:val="12"/>
        </w:rPr>
        <w:fldChar w:fldCharType="end"/>
      </w:r>
    </w:p>
    <w:p w14:paraId="4A5D7EAE"/>
    <w:sectPr>
      <w:footerReference r:id="rId6" w:type="default"/>
      <w:pgSz w:w="12240" w:h="15840"/>
      <w:pgMar w:top="1440" w:right="1440" w:bottom="144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81E0E">
    <w:pPr>
      <w:pStyle w:val="10"/>
      <w:jc w:val="cente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7099"/>
                            <w:docPartObj>
                              <w:docPartGallery w:val="autotext"/>
                            </w:docPartObj>
                          </w:sdtPr>
                          <w:sdtContent>
                            <w:p w14:paraId="277B39AE">
                              <w:pPr>
                                <w:pStyle w:val="10"/>
                                <w:jc w:val="center"/>
                              </w:pPr>
                              <w:r>
                                <w:fldChar w:fldCharType="begin"/>
                              </w:r>
                              <w:r>
                                <w:instrText xml:space="preserve"> PAGE   \* MERGEFORMAT </w:instrText>
                              </w:r>
                              <w:r>
                                <w:fldChar w:fldCharType="separate"/>
                              </w:r>
                              <w:r>
                                <w:t>ii</w:t>
                              </w:r>
                              <w:r>
                                <w:fldChar w:fldCharType="end"/>
                              </w:r>
                            </w:p>
                          </w:sdtContent>
                        </w:sdt>
                        <w:p w14:paraId="11A9D93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sdt>
                    <w:sdtPr>
                      <w:id w:val="147477099"/>
                      <w:docPartObj>
                        <w:docPartGallery w:val="autotext"/>
                      </w:docPartObj>
                    </w:sdtPr>
                    <w:sdtContent>
                      <w:p w14:paraId="277B39AE">
                        <w:pPr>
                          <w:pStyle w:val="10"/>
                          <w:jc w:val="center"/>
                        </w:pPr>
                        <w:r>
                          <w:fldChar w:fldCharType="begin"/>
                        </w:r>
                        <w:r>
                          <w:instrText xml:space="preserve"> PAGE   \* MERGEFORMAT </w:instrText>
                        </w:r>
                        <w:r>
                          <w:fldChar w:fldCharType="separate"/>
                        </w:r>
                        <w:r>
                          <w:t>ii</w:t>
                        </w:r>
                        <w:r>
                          <w:fldChar w:fldCharType="end"/>
                        </w:r>
                      </w:p>
                    </w:sdtContent>
                  </w:sdt>
                  <w:p w14:paraId="11A9D930"/>
                </w:txbxContent>
              </v:textbox>
            </v:shape>
          </w:pict>
        </mc:Fallback>
      </mc:AlternateContent>
    </w:r>
  </w:p>
  <w:p w14:paraId="7485F58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FE7E8">
    <w:pPr>
      <w:pStyle w:val="10"/>
      <w:jc w:val="cente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6593"/>
                            <w:docPartObj>
                              <w:docPartGallery w:val="autotext"/>
                            </w:docPartObj>
                          </w:sdtPr>
                          <w:sdtContent>
                            <w:p w14:paraId="060D13A1">
                              <w:pPr>
                                <w:pStyle w:val="10"/>
                                <w:jc w:val="center"/>
                              </w:pPr>
                              <w:r>
                                <w:fldChar w:fldCharType="begin"/>
                              </w:r>
                              <w:r>
                                <w:instrText xml:space="preserve"> PAGE   \* MERGEFORMAT </w:instrText>
                              </w:r>
                              <w:r>
                                <w:fldChar w:fldCharType="separate"/>
                              </w:r>
                              <w:r>
                                <w:t>ii</w:t>
                              </w:r>
                              <w:r>
                                <w:fldChar w:fldCharType="end"/>
                              </w:r>
                            </w:p>
                          </w:sdtContent>
                        </w:sdt>
                        <w:p w14:paraId="3A71D36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sdt>
                    <w:sdtPr>
                      <w:id w:val="147456593"/>
                      <w:docPartObj>
                        <w:docPartGallery w:val="autotext"/>
                      </w:docPartObj>
                    </w:sdtPr>
                    <w:sdtContent>
                      <w:p w14:paraId="060D13A1">
                        <w:pPr>
                          <w:pStyle w:val="10"/>
                          <w:jc w:val="center"/>
                        </w:pPr>
                        <w:r>
                          <w:fldChar w:fldCharType="begin"/>
                        </w:r>
                        <w:r>
                          <w:instrText xml:space="preserve"> PAGE   \* MERGEFORMAT </w:instrText>
                        </w:r>
                        <w:r>
                          <w:fldChar w:fldCharType="separate"/>
                        </w:r>
                        <w:r>
                          <w:t>ii</w:t>
                        </w:r>
                        <w:r>
                          <w:fldChar w:fldCharType="end"/>
                        </w:r>
                      </w:p>
                    </w:sdtContent>
                  </w:sdt>
                  <w:p w14:paraId="3A71D367"/>
                </w:txbxContent>
              </v:textbox>
            </v:shape>
          </w:pict>
        </mc:Fallback>
      </mc:AlternateContent>
    </w:r>
  </w:p>
  <w:p w14:paraId="7A0F6016">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03C9B"/>
    <w:multiLevelType w:val="multilevel"/>
    <w:tmpl w:val="11B03C9B"/>
    <w:lvl w:ilvl="0" w:tentative="0">
      <w:start w:val="1"/>
      <w:numFmt w:val="decimal"/>
      <w:lvlText w:val="%1."/>
      <w:lvlJc w:val="left"/>
      <w:pPr>
        <w:ind w:left="720" w:hanging="360"/>
      </w:pPr>
    </w:lvl>
    <w:lvl w:ilvl="1" w:tentative="0">
      <w:start w:val="1"/>
      <w:numFmt w:val="decimal"/>
      <w:lvlText w:val="%1.%2"/>
      <w:lvlJc w:val="left"/>
      <w:pPr>
        <w:ind w:left="720" w:hanging="360"/>
      </w:pPr>
    </w:lvl>
    <w:lvl w:ilvl="2" w:tentative="0">
      <w:start w:val="1"/>
      <w:numFmt w:val="decimal"/>
      <w:lvlText w:val="%1.%2.%3"/>
      <w:lvlJc w:val="left"/>
      <w:pPr>
        <w:ind w:left="1080" w:hanging="720"/>
      </w:pPr>
    </w:lvl>
    <w:lvl w:ilvl="3" w:tentative="0">
      <w:start w:val="1"/>
      <w:numFmt w:val="decimal"/>
      <w:lvlText w:val="%1.%2.%3.%4"/>
      <w:lvlJc w:val="left"/>
      <w:pPr>
        <w:ind w:left="1080" w:hanging="720"/>
      </w:pPr>
    </w:lvl>
    <w:lvl w:ilvl="4" w:tentative="0">
      <w:start w:val="1"/>
      <w:numFmt w:val="decimal"/>
      <w:lvlText w:val="%1.%2.%3.%4.%5"/>
      <w:lvlJc w:val="left"/>
      <w:pPr>
        <w:ind w:left="1440" w:hanging="1080"/>
      </w:pPr>
    </w:lvl>
    <w:lvl w:ilvl="5" w:tentative="0">
      <w:start w:val="1"/>
      <w:numFmt w:val="decimal"/>
      <w:lvlText w:val="%1.%2.%3.%4.%5.%6"/>
      <w:lvlJc w:val="left"/>
      <w:pPr>
        <w:ind w:left="1440" w:hanging="1080"/>
      </w:pPr>
    </w:lvl>
    <w:lvl w:ilvl="6" w:tentative="0">
      <w:start w:val="1"/>
      <w:numFmt w:val="decimal"/>
      <w:lvlText w:val="%1.%2.%3.%4.%5.%6.%7"/>
      <w:lvlJc w:val="left"/>
      <w:pPr>
        <w:ind w:left="1800" w:hanging="1440"/>
      </w:pPr>
    </w:lvl>
    <w:lvl w:ilvl="7" w:tentative="0">
      <w:start w:val="1"/>
      <w:numFmt w:val="decimal"/>
      <w:lvlText w:val="%1.%2.%3.%4.%5.%6.%7.%8"/>
      <w:lvlJc w:val="left"/>
      <w:pPr>
        <w:ind w:left="1800" w:hanging="1440"/>
      </w:pPr>
    </w:lvl>
    <w:lvl w:ilvl="8" w:tentative="0">
      <w:start w:val="1"/>
      <w:numFmt w:val="decimal"/>
      <w:lvlText w:val="%1.%2.%3.%4.%5.%6.%7.%8.%9"/>
      <w:lvlJc w:val="left"/>
      <w:pPr>
        <w:ind w:left="2160" w:hanging="1800"/>
      </w:pPr>
    </w:lvl>
  </w:abstractNum>
  <w:abstractNum w:abstractNumId="1">
    <w:nsid w:val="15D960D7"/>
    <w:multiLevelType w:val="multilevel"/>
    <w:tmpl w:val="15D960D7"/>
    <w:lvl w:ilvl="0" w:tentative="0">
      <w:start w:val="2"/>
      <w:numFmt w:val="decimal"/>
      <w:lvlText w:val="%1"/>
      <w:lvlJc w:val="left"/>
      <w:pPr>
        <w:ind w:left="360" w:hanging="360"/>
      </w:pPr>
    </w:lvl>
    <w:lvl w:ilvl="1" w:tentative="0">
      <w:start w:val="2"/>
      <w:numFmt w:val="decimal"/>
      <w:lvlText w:val="%1.%2"/>
      <w:lvlJc w:val="left"/>
      <w:pPr>
        <w:ind w:left="360" w:hanging="360"/>
      </w:p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800" w:hanging="1800"/>
      </w:pPr>
    </w:lvl>
  </w:abstractNum>
  <w:abstractNum w:abstractNumId="2">
    <w:nsid w:val="18A51EAB"/>
    <w:multiLevelType w:val="multilevel"/>
    <w:tmpl w:val="18A51EA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A0143A2"/>
    <w:multiLevelType w:val="multilevel"/>
    <w:tmpl w:val="1A0143A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6DD287E"/>
    <w:multiLevelType w:val="multilevel"/>
    <w:tmpl w:val="26DD287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A6806A6"/>
    <w:multiLevelType w:val="multilevel"/>
    <w:tmpl w:val="2A6806A6"/>
    <w:lvl w:ilvl="0" w:tentative="0">
      <w:start w:val="4"/>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2C7963B3"/>
    <w:multiLevelType w:val="multilevel"/>
    <w:tmpl w:val="2C7963B3"/>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
    <w:nsid w:val="529443F5"/>
    <w:multiLevelType w:val="multilevel"/>
    <w:tmpl w:val="529443F5"/>
    <w:lvl w:ilvl="0" w:tentative="0">
      <w:start w:val="1"/>
      <w:numFmt w:val="decimal"/>
      <w:lvlText w:val="%1."/>
      <w:lvlJc w:val="left"/>
      <w:pPr>
        <w:ind w:left="1260" w:hanging="360"/>
      </w:pPr>
    </w:lvl>
    <w:lvl w:ilvl="1" w:tentative="0">
      <w:start w:val="2"/>
      <w:numFmt w:val="decimal"/>
      <w:lvlText w:val="%1.%2"/>
      <w:lvlJc w:val="left"/>
      <w:pPr>
        <w:ind w:left="1260" w:hanging="360"/>
      </w:pPr>
    </w:lvl>
    <w:lvl w:ilvl="2" w:tentative="0">
      <w:start w:val="1"/>
      <w:numFmt w:val="decimal"/>
      <w:lvlText w:val="%1.%2.%3"/>
      <w:lvlJc w:val="left"/>
      <w:pPr>
        <w:ind w:left="1620" w:hanging="720"/>
      </w:pPr>
    </w:lvl>
    <w:lvl w:ilvl="3" w:tentative="0">
      <w:start w:val="1"/>
      <w:numFmt w:val="decimal"/>
      <w:lvlText w:val="%1.%2.%3.%4"/>
      <w:lvlJc w:val="left"/>
      <w:pPr>
        <w:ind w:left="1620" w:hanging="720"/>
      </w:pPr>
    </w:lvl>
    <w:lvl w:ilvl="4" w:tentative="0">
      <w:start w:val="1"/>
      <w:numFmt w:val="decimal"/>
      <w:lvlText w:val="%1.%2.%3.%4.%5"/>
      <w:lvlJc w:val="left"/>
      <w:pPr>
        <w:ind w:left="1980" w:hanging="1080"/>
      </w:pPr>
    </w:lvl>
    <w:lvl w:ilvl="5" w:tentative="0">
      <w:start w:val="1"/>
      <w:numFmt w:val="decimal"/>
      <w:lvlText w:val="%1.%2.%3.%4.%5.%6"/>
      <w:lvlJc w:val="left"/>
      <w:pPr>
        <w:ind w:left="1980" w:hanging="1080"/>
      </w:pPr>
    </w:lvl>
    <w:lvl w:ilvl="6" w:tentative="0">
      <w:start w:val="1"/>
      <w:numFmt w:val="decimal"/>
      <w:lvlText w:val="%1.%2.%3.%4.%5.%6.%7"/>
      <w:lvlJc w:val="left"/>
      <w:pPr>
        <w:ind w:left="2340" w:hanging="1440"/>
      </w:pPr>
    </w:lvl>
    <w:lvl w:ilvl="7" w:tentative="0">
      <w:start w:val="1"/>
      <w:numFmt w:val="decimal"/>
      <w:lvlText w:val="%1.%2.%3.%4.%5.%6.%7.%8"/>
      <w:lvlJc w:val="left"/>
      <w:pPr>
        <w:ind w:left="2340" w:hanging="1440"/>
      </w:pPr>
    </w:lvl>
    <w:lvl w:ilvl="8" w:tentative="0">
      <w:start w:val="1"/>
      <w:numFmt w:val="decimal"/>
      <w:lvlText w:val="%1.%2.%3.%4.%5.%6.%7.%8.%9"/>
      <w:lvlJc w:val="left"/>
      <w:pPr>
        <w:ind w:left="2700" w:hanging="1800"/>
      </w:pPr>
    </w:lvl>
  </w:abstractNum>
  <w:abstractNum w:abstractNumId="8">
    <w:nsid w:val="67E86F77"/>
    <w:multiLevelType w:val="multilevel"/>
    <w:tmpl w:val="67E86F77"/>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9">
    <w:nsid w:val="778506BF"/>
    <w:multiLevelType w:val="multilevel"/>
    <w:tmpl w:val="778506BF"/>
    <w:lvl w:ilvl="0" w:tentative="0">
      <w:start w:val="3"/>
      <w:numFmt w:val="decimal"/>
      <w:lvlText w:val="%1"/>
      <w:lvlJc w:val="left"/>
      <w:pPr>
        <w:ind w:left="360" w:hanging="360"/>
      </w:pPr>
    </w:lvl>
    <w:lvl w:ilvl="1" w:tentative="0">
      <w:start w:val="2"/>
      <w:numFmt w:val="decimal"/>
      <w:lvlText w:val="%1.%2"/>
      <w:lvlJc w:val="left"/>
      <w:pPr>
        <w:ind w:left="720" w:hanging="360"/>
      </w:pPr>
    </w:lvl>
    <w:lvl w:ilvl="2" w:tentative="0">
      <w:start w:val="1"/>
      <w:numFmt w:val="decimal"/>
      <w:lvlText w:val="%1.%2.%3"/>
      <w:lvlJc w:val="left"/>
      <w:pPr>
        <w:ind w:left="1440" w:hanging="720"/>
      </w:pPr>
    </w:lvl>
    <w:lvl w:ilvl="3" w:tentative="0">
      <w:start w:val="1"/>
      <w:numFmt w:val="decimal"/>
      <w:lvlText w:val="%1.%2.%3.%4"/>
      <w:lvlJc w:val="left"/>
      <w:pPr>
        <w:ind w:left="1800" w:hanging="720"/>
      </w:pPr>
    </w:lvl>
    <w:lvl w:ilvl="4" w:tentative="0">
      <w:start w:val="1"/>
      <w:numFmt w:val="decimal"/>
      <w:lvlText w:val="%1.%2.%3.%4.%5"/>
      <w:lvlJc w:val="left"/>
      <w:pPr>
        <w:ind w:left="2520" w:hanging="1080"/>
      </w:pPr>
    </w:lvl>
    <w:lvl w:ilvl="5" w:tentative="0">
      <w:start w:val="1"/>
      <w:numFmt w:val="decimal"/>
      <w:lvlText w:val="%1.%2.%3.%4.%5.%6"/>
      <w:lvlJc w:val="left"/>
      <w:pPr>
        <w:ind w:left="2880" w:hanging="1080"/>
      </w:pPr>
    </w:lvl>
    <w:lvl w:ilvl="6" w:tentative="0">
      <w:start w:val="1"/>
      <w:numFmt w:val="decimal"/>
      <w:lvlText w:val="%1.%2.%3.%4.%5.%6.%7"/>
      <w:lvlJc w:val="left"/>
      <w:pPr>
        <w:ind w:left="3600" w:hanging="1440"/>
      </w:pPr>
    </w:lvl>
    <w:lvl w:ilvl="7" w:tentative="0">
      <w:start w:val="1"/>
      <w:numFmt w:val="decimal"/>
      <w:lvlText w:val="%1.%2.%3.%4.%5.%6.%7.%8"/>
      <w:lvlJc w:val="left"/>
      <w:pPr>
        <w:ind w:left="3960" w:hanging="1440"/>
      </w:pPr>
    </w:lvl>
    <w:lvl w:ilvl="8" w:tentative="0">
      <w:start w:val="1"/>
      <w:numFmt w:val="decimal"/>
      <w:lvlText w:val="%1.%2.%3.%4.%5.%6.%7.%8.%9"/>
      <w:lvlJc w:val="left"/>
      <w:pPr>
        <w:ind w:left="4680" w:hanging="1800"/>
      </w:pPr>
    </w:lvl>
  </w:abstractNum>
  <w:num w:numId="1">
    <w:abstractNumId w:val="8"/>
  </w:num>
  <w:num w:numId="2">
    <w:abstractNumId w:val="6"/>
  </w:num>
  <w:num w:numId="3">
    <w:abstractNumId w:val="0"/>
  </w:num>
  <w:num w:numId="4">
    <w:abstractNumId w:val="1"/>
  </w:num>
  <w:num w:numId="5">
    <w:abstractNumId w:val="7"/>
  </w:num>
  <w:num w:numId="6">
    <w:abstractNumId w:val="9"/>
  </w:num>
  <w:num w:numId="7">
    <w:abstractNumId w:val="5"/>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68E"/>
    <w:rsid w:val="0027168E"/>
    <w:rsid w:val="00587F9A"/>
    <w:rsid w:val="00D15E69"/>
    <w:rsid w:val="00DC0477"/>
    <w:rsid w:val="00DD7E00"/>
    <w:rsid w:val="0FDA2DD8"/>
    <w:rsid w:val="1146273C"/>
    <w:rsid w:val="18F17662"/>
    <w:rsid w:val="1F417E01"/>
    <w:rsid w:val="289E33FD"/>
    <w:rsid w:val="38E575EF"/>
    <w:rsid w:val="39D43313"/>
    <w:rsid w:val="428E2DE8"/>
    <w:rsid w:val="448A1EA7"/>
    <w:rsid w:val="589D764C"/>
    <w:rsid w:val="59D91303"/>
    <w:rsid w:val="771F5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imes New Roman" w:cs="Times New Roman"/>
      <w:kern w:val="0"/>
      <w:sz w:val="24"/>
      <w:szCs w:val="24"/>
      <w:lang w:val="en-GB" w:eastAsia="en-US" w:bidi="ar-SA"/>
      <w14:ligatures w14:val="none"/>
    </w:rPr>
  </w:style>
  <w:style w:type="paragraph" w:styleId="2">
    <w:name w:val="heading 1"/>
    <w:basedOn w:val="1"/>
    <w:next w:val="1"/>
    <w:link w:val="19"/>
    <w:autoRedefine/>
    <w:qFormat/>
    <w:uiPriority w:val="9"/>
    <w:pPr>
      <w:keepNext/>
      <w:keepLines/>
      <w:spacing w:before="240" w:after="0" w:line="240" w:lineRule="auto"/>
      <w:jc w:val="center"/>
      <w:outlineLvl w:val="0"/>
    </w:pPr>
    <w:rPr>
      <w:rFonts w:eastAsia="Calibri" w:cs="Calibri"/>
      <w:b/>
      <w:sz w:val="28"/>
      <w:szCs w:val="32"/>
    </w:rPr>
  </w:style>
  <w:style w:type="paragraph" w:styleId="3">
    <w:name w:val="heading 2"/>
    <w:basedOn w:val="1"/>
    <w:next w:val="1"/>
    <w:link w:val="20"/>
    <w:autoRedefine/>
    <w:unhideWhenUsed/>
    <w:qFormat/>
    <w:uiPriority w:val="9"/>
    <w:pPr>
      <w:widowControl w:val="0"/>
      <w:spacing w:after="0" w:line="480" w:lineRule="auto"/>
      <w:ind w:left="204" w:firstLine="204"/>
      <w:outlineLvl w:val="1"/>
    </w:pPr>
    <w:rPr>
      <w:b/>
    </w:rPr>
  </w:style>
  <w:style w:type="paragraph" w:styleId="4">
    <w:name w:val="heading 3"/>
    <w:basedOn w:val="1"/>
    <w:next w:val="1"/>
    <w:link w:val="21"/>
    <w:autoRedefine/>
    <w:semiHidden/>
    <w:unhideWhenUsed/>
    <w:qFormat/>
    <w:uiPriority w:val="9"/>
    <w:pPr>
      <w:keepNext/>
      <w:keepLines/>
      <w:spacing w:before="280" w:after="80"/>
      <w:outlineLvl w:val="2"/>
    </w:pPr>
    <w:rPr>
      <w:b/>
      <w:szCs w:val="28"/>
    </w:rPr>
  </w:style>
  <w:style w:type="paragraph" w:styleId="5">
    <w:name w:val="heading 4"/>
    <w:basedOn w:val="1"/>
    <w:next w:val="1"/>
    <w:link w:val="22"/>
    <w:semiHidden/>
    <w:unhideWhenUsed/>
    <w:qFormat/>
    <w:uiPriority w:val="9"/>
    <w:pPr>
      <w:keepNext/>
      <w:keepLines/>
      <w:spacing w:before="240" w:after="40"/>
      <w:outlineLvl w:val="3"/>
    </w:pPr>
    <w:rPr>
      <w:b/>
    </w:rPr>
  </w:style>
  <w:style w:type="paragraph" w:styleId="6">
    <w:name w:val="heading 5"/>
    <w:basedOn w:val="1"/>
    <w:next w:val="1"/>
    <w:link w:val="23"/>
    <w:semiHidden/>
    <w:unhideWhenUsed/>
    <w:qFormat/>
    <w:uiPriority w:val="9"/>
    <w:pPr>
      <w:keepNext/>
      <w:keepLines/>
      <w:spacing w:before="220" w:after="40"/>
      <w:outlineLvl w:val="4"/>
    </w:pPr>
    <w:rPr>
      <w:b/>
      <w:sz w:val="22"/>
      <w:szCs w:val="22"/>
    </w:rPr>
  </w:style>
  <w:style w:type="paragraph" w:styleId="7">
    <w:name w:val="heading 6"/>
    <w:basedOn w:val="1"/>
    <w:next w:val="1"/>
    <w:link w:val="24"/>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footer"/>
    <w:basedOn w:val="1"/>
    <w:link w:val="25"/>
    <w:unhideWhenUsed/>
    <w:qFormat/>
    <w:uiPriority w:val="99"/>
    <w:pPr>
      <w:tabs>
        <w:tab w:val="center" w:pos="4680"/>
        <w:tab w:val="right" w:pos="9360"/>
      </w:tabs>
      <w:spacing w:after="0" w:line="240" w:lineRule="auto"/>
    </w:pPr>
  </w:style>
  <w:style w:type="paragraph" w:styleId="11">
    <w:name w:val="header"/>
    <w:basedOn w:val="1"/>
    <w:link w:val="26"/>
    <w:unhideWhenUsed/>
    <w:qFormat/>
    <w:uiPriority w:val="99"/>
    <w:pPr>
      <w:tabs>
        <w:tab w:val="center" w:pos="4680"/>
        <w:tab w:val="right" w:pos="9360"/>
      </w:tabs>
      <w:spacing w:after="0" w:line="240" w:lineRule="auto"/>
    </w:pPr>
  </w:style>
  <w:style w:type="character" w:styleId="12">
    <w:name w:val="Hyperlink"/>
    <w:basedOn w:val="8"/>
    <w:unhideWhenUsed/>
    <w:qFormat/>
    <w:uiPriority w:val="99"/>
    <w:rPr>
      <w:color w:val="0563C1" w:themeColor="hyperlink"/>
      <w:u w:val="single"/>
      <w14:textFill>
        <w14:solidFill>
          <w14:schemeClr w14:val="hlink"/>
        </w14:solidFill>
      </w14:textFill>
    </w:rPr>
  </w:style>
  <w:style w:type="paragraph" w:styleId="13">
    <w:name w:val="Normal (Web)"/>
    <w:basedOn w:val="1"/>
    <w:unhideWhenUsed/>
    <w:qFormat/>
    <w:uiPriority w:val="99"/>
    <w:pPr>
      <w:spacing w:before="100" w:beforeAutospacing="1" w:after="100" w:afterAutospacing="1" w:line="240" w:lineRule="auto"/>
    </w:pPr>
  </w:style>
  <w:style w:type="paragraph" w:styleId="14">
    <w:name w:val="Subtitle"/>
    <w:basedOn w:val="1"/>
    <w:next w:val="1"/>
    <w:link w:val="27"/>
    <w:qFormat/>
    <w:uiPriority w:val="11"/>
    <w:pPr>
      <w:keepNext/>
      <w:keepLines/>
      <w:spacing w:before="360" w:after="80"/>
    </w:pPr>
    <w:rPr>
      <w:rFonts w:ascii="Georgia" w:hAnsi="Georgia" w:eastAsia="Georgia" w:cs="Georgia"/>
      <w:i/>
      <w:color w:val="666666"/>
      <w:sz w:val="48"/>
      <w:szCs w:val="48"/>
    </w:rPr>
  </w:style>
  <w:style w:type="table" w:styleId="15">
    <w:name w:val="Table Grid"/>
    <w:basedOn w:val="9"/>
    <w:qFormat/>
    <w:uiPriority w:val="39"/>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Title"/>
    <w:basedOn w:val="1"/>
    <w:next w:val="1"/>
    <w:link w:val="28"/>
    <w:qFormat/>
    <w:uiPriority w:val="10"/>
    <w:pPr>
      <w:keepNext/>
      <w:keepLines/>
      <w:spacing w:before="480" w:after="120"/>
    </w:pPr>
    <w:rPr>
      <w:b/>
      <w:sz w:val="72"/>
      <w:szCs w:val="72"/>
    </w:rPr>
  </w:style>
  <w:style w:type="paragraph" w:styleId="17">
    <w:name w:val="toc 1"/>
    <w:basedOn w:val="1"/>
    <w:next w:val="1"/>
    <w:autoRedefine/>
    <w:unhideWhenUsed/>
    <w:qFormat/>
    <w:uiPriority w:val="39"/>
    <w:pPr>
      <w:spacing w:after="100"/>
    </w:pPr>
  </w:style>
  <w:style w:type="paragraph" w:styleId="18">
    <w:name w:val="toc 2"/>
    <w:basedOn w:val="1"/>
    <w:next w:val="1"/>
    <w:autoRedefine/>
    <w:unhideWhenUsed/>
    <w:qFormat/>
    <w:uiPriority w:val="39"/>
    <w:pPr>
      <w:spacing w:after="100"/>
      <w:ind w:left="240"/>
    </w:pPr>
  </w:style>
  <w:style w:type="character" w:customStyle="1" w:styleId="19">
    <w:name w:val="Heading 1 Char"/>
    <w:basedOn w:val="8"/>
    <w:link w:val="2"/>
    <w:qFormat/>
    <w:uiPriority w:val="9"/>
    <w:rPr>
      <w:rFonts w:ascii="Times New Roman" w:hAnsi="Times New Roman" w:eastAsia="Calibri" w:cs="Calibri"/>
      <w:b/>
      <w:kern w:val="0"/>
      <w:sz w:val="28"/>
      <w:szCs w:val="32"/>
      <w:lang w:val="en-GB"/>
      <w14:ligatures w14:val="none"/>
    </w:rPr>
  </w:style>
  <w:style w:type="character" w:customStyle="1" w:styleId="20">
    <w:name w:val="Heading 2 Char"/>
    <w:basedOn w:val="8"/>
    <w:link w:val="3"/>
    <w:qFormat/>
    <w:uiPriority w:val="9"/>
    <w:rPr>
      <w:rFonts w:ascii="Times New Roman" w:hAnsi="Times New Roman" w:eastAsia="Times New Roman" w:cs="Times New Roman"/>
      <w:b/>
      <w:kern w:val="0"/>
      <w:sz w:val="24"/>
      <w:szCs w:val="24"/>
      <w:lang w:val="en-GB"/>
      <w14:ligatures w14:val="none"/>
    </w:rPr>
  </w:style>
  <w:style w:type="character" w:customStyle="1" w:styleId="21">
    <w:name w:val="Heading 3 Char"/>
    <w:basedOn w:val="8"/>
    <w:link w:val="4"/>
    <w:semiHidden/>
    <w:qFormat/>
    <w:uiPriority w:val="9"/>
    <w:rPr>
      <w:rFonts w:ascii="Times New Roman" w:hAnsi="Times New Roman" w:eastAsia="Times New Roman" w:cs="Times New Roman"/>
      <w:b/>
      <w:kern w:val="0"/>
      <w:sz w:val="24"/>
      <w:szCs w:val="28"/>
      <w:lang w:val="en-GB"/>
      <w14:ligatures w14:val="none"/>
    </w:rPr>
  </w:style>
  <w:style w:type="character" w:customStyle="1" w:styleId="22">
    <w:name w:val="Heading 4 Char"/>
    <w:basedOn w:val="8"/>
    <w:link w:val="5"/>
    <w:semiHidden/>
    <w:qFormat/>
    <w:uiPriority w:val="9"/>
    <w:rPr>
      <w:rFonts w:ascii="Times New Roman" w:hAnsi="Times New Roman" w:eastAsia="Times New Roman" w:cs="Times New Roman"/>
      <w:b/>
      <w:kern w:val="0"/>
      <w:sz w:val="24"/>
      <w:szCs w:val="24"/>
      <w:lang w:val="en-GB"/>
      <w14:ligatures w14:val="none"/>
    </w:rPr>
  </w:style>
  <w:style w:type="character" w:customStyle="1" w:styleId="23">
    <w:name w:val="Heading 5 Char"/>
    <w:basedOn w:val="8"/>
    <w:link w:val="6"/>
    <w:semiHidden/>
    <w:qFormat/>
    <w:uiPriority w:val="9"/>
    <w:rPr>
      <w:rFonts w:ascii="Times New Roman" w:hAnsi="Times New Roman" w:eastAsia="Times New Roman" w:cs="Times New Roman"/>
      <w:b/>
      <w:kern w:val="0"/>
      <w:lang w:val="en-GB"/>
      <w14:ligatures w14:val="none"/>
    </w:rPr>
  </w:style>
  <w:style w:type="character" w:customStyle="1" w:styleId="24">
    <w:name w:val="Heading 6 Char"/>
    <w:basedOn w:val="8"/>
    <w:link w:val="7"/>
    <w:semiHidden/>
    <w:qFormat/>
    <w:uiPriority w:val="9"/>
    <w:rPr>
      <w:rFonts w:ascii="Times New Roman" w:hAnsi="Times New Roman" w:eastAsia="Times New Roman" w:cs="Times New Roman"/>
      <w:b/>
      <w:kern w:val="0"/>
      <w:sz w:val="20"/>
      <w:szCs w:val="20"/>
      <w:lang w:val="en-GB"/>
      <w14:ligatures w14:val="none"/>
    </w:rPr>
  </w:style>
  <w:style w:type="character" w:customStyle="1" w:styleId="25">
    <w:name w:val="Footer Char"/>
    <w:basedOn w:val="8"/>
    <w:link w:val="10"/>
    <w:qFormat/>
    <w:uiPriority w:val="99"/>
    <w:rPr>
      <w:rFonts w:ascii="Times New Roman" w:hAnsi="Times New Roman" w:eastAsia="Times New Roman" w:cs="Times New Roman"/>
      <w:kern w:val="0"/>
      <w:sz w:val="24"/>
      <w:szCs w:val="24"/>
      <w:lang w:val="en-GB"/>
      <w14:ligatures w14:val="none"/>
    </w:rPr>
  </w:style>
  <w:style w:type="character" w:customStyle="1" w:styleId="26">
    <w:name w:val="Header Char"/>
    <w:basedOn w:val="8"/>
    <w:link w:val="11"/>
    <w:qFormat/>
    <w:uiPriority w:val="99"/>
    <w:rPr>
      <w:rFonts w:ascii="Times New Roman" w:hAnsi="Times New Roman" w:eastAsia="Times New Roman" w:cs="Times New Roman"/>
      <w:kern w:val="0"/>
      <w:sz w:val="24"/>
      <w:szCs w:val="24"/>
      <w:lang w:val="en-GB"/>
      <w14:ligatures w14:val="none"/>
    </w:rPr>
  </w:style>
  <w:style w:type="character" w:customStyle="1" w:styleId="27">
    <w:name w:val="Subtitle Char"/>
    <w:basedOn w:val="8"/>
    <w:link w:val="14"/>
    <w:qFormat/>
    <w:uiPriority w:val="11"/>
    <w:rPr>
      <w:rFonts w:ascii="Georgia" w:hAnsi="Georgia" w:eastAsia="Georgia" w:cs="Georgia"/>
      <w:i/>
      <w:color w:val="666666"/>
      <w:kern w:val="0"/>
      <w:sz w:val="48"/>
      <w:szCs w:val="48"/>
      <w:lang w:val="en-GB"/>
      <w14:ligatures w14:val="none"/>
    </w:rPr>
  </w:style>
  <w:style w:type="character" w:customStyle="1" w:styleId="28">
    <w:name w:val="Title Char"/>
    <w:basedOn w:val="8"/>
    <w:link w:val="16"/>
    <w:qFormat/>
    <w:uiPriority w:val="10"/>
    <w:rPr>
      <w:rFonts w:ascii="Times New Roman" w:hAnsi="Times New Roman" w:eastAsia="Times New Roman" w:cs="Times New Roman"/>
      <w:b/>
      <w:kern w:val="0"/>
      <w:sz w:val="72"/>
      <w:szCs w:val="72"/>
      <w:lang w:val="en-GB"/>
      <w14:ligatures w14:val="none"/>
    </w:rPr>
  </w:style>
  <w:style w:type="table" w:customStyle="1" w:styleId="29">
    <w:name w:val="_Style 11"/>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30">
    <w:name w:val="_Style 12"/>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31">
    <w:name w:val="_Style 13"/>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32">
    <w:name w:val="_Style 14"/>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33">
    <w:name w:val="_Style 15"/>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34">
    <w:name w:val="_Style 16"/>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35">
    <w:name w:val="_Style 17"/>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36">
    <w:name w:val="_Style 18"/>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37">
    <w:name w:val="_Style 19"/>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38">
    <w:name w:val="_Style 20"/>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39">
    <w:name w:val="_Style 21"/>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40">
    <w:name w:val="_Style 22"/>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41">
    <w:name w:val="_Style 23"/>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42">
    <w:name w:val="_Style 24"/>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43">
    <w:name w:val="_Style 25"/>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44">
    <w:name w:val="_Style 26"/>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45">
    <w:name w:val="_Style 27"/>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46">
    <w:name w:val="_Style 28"/>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47">
    <w:name w:val="_Style 29"/>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48">
    <w:name w:val="_Style 30"/>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49">
    <w:name w:val="_Style 31"/>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50">
    <w:name w:val="_Style 32"/>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51">
    <w:name w:val="_Style 33"/>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52">
    <w:name w:val="_Style 34"/>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53">
    <w:name w:val="_Style 35"/>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54">
    <w:name w:val="_Style 36"/>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55">
    <w:name w:val="_Style 37"/>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56">
    <w:name w:val="_Style 38"/>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57">
    <w:name w:val="_Style 39"/>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58">
    <w:name w:val="_Style 40"/>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59">
    <w:name w:val="_Style 41"/>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60">
    <w:name w:val="_Style 42"/>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61">
    <w:name w:val="_Style 43"/>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62">
    <w:name w:val="_Style 44"/>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63">
    <w:name w:val="_Style 45"/>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64">
    <w:name w:val="_Style 46"/>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65">
    <w:name w:val="_Style 47"/>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66">
    <w:name w:val="_Style 48"/>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67">
    <w:name w:val="_Style 49"/>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68">
    <w:name w:val="_Style 50"/>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69">
    <w:name w:val="_Style 51"/>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70">
    <w:name w:val="_Style 52"/>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71">
    <w:name w:val="_Style 53"/>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72">
    <w:name w:val="_Style 54"/>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73">
    <w:name w:val="_Style 55"/>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74">
    <w:name w:val="_Style 56"/>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paragraph" w:styleId="75">
    <w:name w:val="List Paragraph"/>
    <w:basedOn w:val="1"/>
    <w:qFormat/>
    <w:uiPriority w:val="34"/>
    <w:pPr>
      <w:ind w:left="720"/>
      <w:contextualSpacing/>
    </w:pPr>
  </w:style>
  <w:style w:type="paragraph" w:customStyle="1" w:styleId="76">
    <w:name w:val="Table Paragraph"/>
    <w:basedOn w:val="1"/>
    <w:qFormat/>
    <w:uiPriority w:val="1"/>
    <w:pPr>
      <w:widowControl w:val="0"/>
      <w:autoSpaceDE w:val="0"/>
      <w:autoSpaceDN w:val="0"/>
      <w:spacing w:before="17" w:after="0" w:line="240" w:lineRule="auto"/>
      <w:jc w:val="center"/>
    </w:pPr>
    <w:rPr>
      <w:rFonts w:ascii="Arial" w:hAnsi="Arial" w:eastAsia="Arial" w:cs="Arial"/>
      <w:sz w:val="22"/>
      <w:szCs w:val="22"/>
      <w:lang w:val="en-US"/>
    </w:rPr>
  </w:style>
  <w:style w:type="table" w:customStyle="1" w:styleId="77">
    <w:name w:val="TableGrid"/>
    <w:qFormat/>
    <w:uiPriority w:val="0"/>
    <w:pPr>
      <w:spacing w:after="0" w:line="240" w:lineRule="auto"/>
    </w:pPr>
    <w:rPr>
      <w:rFonts w:eastAsiaTheme="minorEastAsia"/>
      <w:kern w:val="0"/>
      <w14:ligatures w14:val="none"/>
    </w:rPr>
    <w:tblPr>
      <w:tblCellMar>
        <w:top w:w="0" w:type="dxa"/>
        <w:left w:w="0" w:type="dxa"/>
        <w:bottom w:w="0" w:type="dxa"/>
        <w:right w:w="0" w:type="dxa"/>
      </w:tblCellMar>
    </w:tblPr>
  </w:style>
  <w:style w:type="paragraph" w:customStyle="1" w:styleId="78">
    <w:name w:val="TOC Heading1"/>
    <w:basedOn w:val="2"/>
    <w:next w:val="1"/>
    <w:unhideWhenUsed/>
    <w:qFormat/>
    <w:uiPriority w:val="39"/>
    <w:pPr>
      <w:spacing w:line="259" w:lineRule="auto"/>
      <w:jc w:val="left"/>
      <w:outlineLvl w:val="9"/>
    </w:pPr>
    <w:rPr>
      <w:rFonts w:asciiTheme="majorHAnsi" w:hAnsiTheme="majorHAnsi" w:eastAsiaTheme="majorEastAsia" w:cstheme="majorBidi"/>
      <w:b w:val="0"/>
      <w:color w:val="2E75B6" w:themeColor="accent1" w:themeShade="BF"/>
      <w:sz w:val="32"/>
      <w:lang w:val="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13289</Words>
  <Characters>76950</Characters>
  <Lines>1672</Lines>
  <Paragraphs>805</Paragraphs>
  <TotalTime>14</TotalTime>
  <ScaleCrop>false</ScaleCrop>
  <LinksUpToDate>false</LinksUpToDate>
  <CharactersWithSpaces>89434</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2025-01-16T12:48:00Z</dcterms:created>
  <dc:creator>HP</dc:creator>
  <cp:lastModifiedBy>WPS_1617172529</cp:lastModifiedBy>
  <dcterms:modified xsi:type="dcterms:W3CDTF">2025-05-31T15:39:12Z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4ed61e73-12b2-4b01-8abb-88de9cc5695c</vt:lpwstr>
  </property>
  <property fmtid="{D5CDD505-2E9C-101B-9397-08002B2CF9AE}" pid="3" name="KSOProductBuildVer">
    <vt:lpwstr>1033-12.2.0.20326</vt:lpwstr>
  </property>
  <property fmtid="{D5CDD505-2E9C-101B-9397-08002B2CF9AE}" pid="4" name="ICV">
    <vt:lpwstr>DFDD4DD59FA44645BF9C414362FDC5AD_12</vt:lpwstr>
  </property>
</Properties>
</file>