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271871" w:rsidP="000767B3">
      <w:pPr>
        <w:jc w:val="center"/>
        <w:rPr>
          <w:rFonts w:ascii="Arial Black" w:hAnsi="Arial Black"/>
          <w:b/>
          <w:sz w:val="40"/>
          <w:szCs w:val="28"/>
        </w:rPr>
      </w:pPr>
      <w:r>
        <w:rPr>
          <w:rFonts w:ascii="Arial Black" w:hAnsi="Arial Black"/>
          <w:b/>
          <w:sz w:val="40"/>
          <w:szCs w:val="28"/>
        </w:rPr>
        <w:t>IMPA</w:t>
      </w:r>
      <w:r w:rsidR="00836139" w:rsidRPr="00836139">
        <w:rPr>
          <w:rFonts w:ascii="Arial Black" w:hAnsi="Arial Black"/>
          <w:b/>
          <w:sz w:val="40"/>
          <w:szCs w:val="28"/>
        </w:rPr>
        <w:t xml:space="preserve">CT OF MARKETING </w:t>
      </w:r>
      <w:r w:rsidR="004569C0">
        <w:rPr>
          <w:rFonts w:ascii="Arial Black" w:hAnsi="Arial Black"/>
          <w:b/>
          <w:sz w:val="40"/>
          <w:szCs w:val="28"/>
        </w:rPr>
        <w:t>STRATEGY</w:t>
      </w:r>
      <w:r>
        <w:rPr>
          <w:rFonts w:ascii="Arial Black" w:hAnsi="Arial Black"/>
          <w:b/>
          <w:sz w:val="40"/>
          <w:szCs w:val="28"/>
        </w:rPr>
        <w:t xml:space="preserve"> </w:t>
      </w:r>
      <w:r w:rsidR="00836139"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4569C0" w:rsidP="006F7E31">
      <w:pPr>
        <w:spacing w:line="240" w:lineRule="auto"/>
        <w:jc w:val="center"/>
        <w:rPr>
          <w:rFonts w:ascii="Arial Black" w:hAnsi="Arial Black"/>
          <w:b/>
          <w:sz w:val="36"/>
          <w:szCs w:val="36"/>
        </w:rPr>
      </w:pPr>
      <w:r>
        <w:rPr>
          <w:rFonts w:ascii="Arial Black" w:hAnsi="Arial Black"/>
          <w:b/>
          <w:sz w:val="36"/>
          <w:szCs w:val="36"/>
        </w:rPr>
        <w:t>AZEEZ SAMAD ATANDA</w:t>
      </w:r>
    </w:p>
    <w:p w:rsidR="00B733C2"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4569C0">
        <w:rPr>
          <w:rFonts w:ascii="Arial Black" w:hAnsi="Arial Black"/>
          <w:b/>
          <w:sz w:val="44"/>
          <w:szCs w:val="28"/>
        </w:rPr>
        <w:t>0006</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4569C0" w:rsidRDefault="004569C0" w:rsidP="00366D08">
      <w:pPr>
        <w:spacing w:after="0" w:line="360" w:lineRule="auto"/>
        <w:jc w:val="center"/>
        <w:rPr>
          <w:rFonts w:ascii="Times New Roman" w:hAnsi="Times New Roman" w:cs="Times New Roman"/>
          <w:b/>
          <w:bCs/>
          <w:sz w:val="26"/>
          <w:szCs w:val="26"/>
          <w:lang w:val="en-GB"/>
        </w:rPr>
      </w:pPr>
    </w:p>
    <w:p w:rsidR="004569C0" w:rsidRDefault="004569C0"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w:t>
      </w:r>
      <w:r w:rsidR="00A20EE9" w:rsidRPr="00C65EB6">
        <w:rPr>
          <w:rFonts w:ascii="Times New Roman" w:hAnsi="Times New Roman" w:cs="Times New Roman"/>
          <w:sz w:val="28"/>
          <w:szCs w:val="32"/>
        </w:rPr>
        <w:lastRenderedPageBreak/>
        <w:t xml:space="preserve">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 xml:space="preserve">Driven by a mission to enhance human well-being, Tuyil prioritizes research and development, continually striving to bring forth novel therapies and medications to address unmet </w:t>
      </w:r>
      <w:r w:rsidRPr="000912B5">
        <w:rPr>
          <w:rFonts w:ascii="Times New Roman" w:hAnsi="Times New Roman" w:cs="Times New Roman"/>
          <w:sz w:val="28"/>
          <w:szCs w:val="32"/>
        </w:rPr>
        <w:lastRenderedPageBreak/>
        <w:t>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 xml:space="preserve">Tuyil also places a strong emphasis on talent development and employee well-being, recognizing that its people are central to its success. Through comprehensive training programs, career advancement opportunities, and a supportive work culture, Tuyil </w:t>
      </w:r>
      <w:r w:rsidRPr="00935DC6">
        <w:rPr>
          <w:sz w:val="28"/>
        </w:rPr>
        <w:lastRenderedPageBreak/>
        <w:t>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2E1790"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4569C0" w:rsidRPr="00E254FD" w:rsidRDefault="004569C0">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4569C0" w:rsidRPr="00E254FD" w:rsidRDefault="004569C0">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4569C0" w:rsidRPr="00E254FD" w:rsidRDefault="004569C0">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4569C0" w:rsidRPr="00E254FD" w:rsidRDefault="004569C0">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4569C0" w:rsidRPr="006C771D" w:rsidRDefault="004569C0">
                    <w:r w:rsidRPr="006C771D">
                      <w:t xml:space="preserve">Input of employees are encouraged </w:t>
                    </w:r>
                  </w:p>
                </w:txbxContent>
              </v:textbox>
            </v:shape>
            <v:shape id="_x0000_s1031" type="#_x0000_t202" style="position:absolute;left:560;top:9878;width:3567;height:536">
              <v:textbox style="mso-next-textbox:#_x0000_s1031">
                <w:txbxContent>
                  <w:p w:rsidR="004569C0" w:rsidRPr="00E254FD" w:rsidRDefault="004569C0">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4569C0" w:rsidRPr="00FC269C" w:rsidRDefault="004569C0">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4569C0" w:rsidRPr="00E254FD" w:rsidRDefault="004569C0">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4569C0" w:rsidRPr="004D72E7" w:rsidRDefault="004569C0"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4569C0" w:rsidRPr="005C3E54" w:rsidRDefault="004569C0"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4569C0" w:rsidRPr="00A436E5" w:rsidRDefault="004569C0">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4569C0" w:rsidRPr="00B4484B" w:rsidRDefault="004569C0">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4569C0" w:rsidRPr="005C3E54" w:rsidRDefault="004569C0"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4569C0" w:rsidRPr="005C3E54" w:rsidRDefault="004569C0"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4569C0" w:rsidRPr="00413D4D" w:rsidRDefault="004569C0"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2E1790"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4569C0" w:rsidRPr="00221E26" w:rsidRDefault="004569C0"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4569C0" w:rsidRDefault="004569C0" w:rsidP="00221E26">
                  <w:pPr>
                    <w:spacing w:after="0" w:line="240" w:lineRule="auto"/>
                    <w:jc w:val="center"/>
                    <w:rPr>
                      <w:sz w:val="24"/>
                    </w:rPr>
                  </w:pPr>
                  <w:r>
                    <w:rPr>
                      <w:sz w:val="24"/>
                    </w:rPr>
                    <w:t>Intelligence</w:t>
                  </w:r>
                </w:p>
                <w:p w:rsidR="004569C0" w:rsidRPr="005C3E54" w:rsidRDefault="004569C0"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4569C0" w:rsidRPr="00E254FD" w:rsidRDefault="004569C0"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4569C0" w:rsidRPr="00D0683F" w:rsidRDefault="004569C0" w:rsidP="00D0683F">
                  <w:pPr>
                    <w:rPr>
                      <w:szCs w:val="24"/>
                    </w:rPr>
                  </w:pPr>
                  <w:r w:rsidRPr="00D0683F">
                    <w:rPr>
                      <w:szCs w:val="24"/>
                    </w:rPr>
                    <w:t>Measure performance against objectives</w:t>
                  </w:r>
                </w:p>
                <w:p w:rsidR="004569C0" w:rsidRPr="00D0683F" w:rsidRDefault="004569C0"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4569C0" w:rsidRPr="00D0683F" w:rsidRDefault="004569C0"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4569C0" w:rsidRPr="00D0683F" w:rsidRDefault="004569C0"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4569C0" w:rsidRPr="00FC269C" w:rsidRDefault="004569C0"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4569C0" w:rsidRPr="00E254FD" w:rsidRDefault="004569C0"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4569C0" w:rsidRPr="00E254FD" w:rsidRDefault="004569C0"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4569C0" w:rsidRPr="00D0683F" w:rsidRDefault="004569C0"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2E1790" w:rsidP="00162C8F">
      <w:pPr>
        <w:jc w:val="both"/>
        <w:rPr>
          <w:rFonts w:ascii="Times New Roman" w:hAnsi="Times New Roman" w:cs="Times New Roman"/>
          <w:b/>
          <w:sz w:val="28"/>
          <w:szCs w:val="32"/>
        </w:rPr>
      </w:pPr>
      <w:r w:rsidRPr="002E1790">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4569C0" w:rsidRPr="005C3E54" w:rsidRDefault="004569C0"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2E1790" w:rsidP="00162C8F">
      <w:pPr>
        <w:jc w:val="both"/>
        <w:rPr>
          <w:rFonts w:ascii="Times New Roman" w:hAnsi="Times New Roman" w:cs="Times New Roman"/>
          <w:b/>
          <w:sz w:val="28"/>
          <w:szCs w:val="32"/>
        </w:rPr>
      </w:pPr>
      <w:r w:rsidRPr="002E1790">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4569C0" w:rsidRPr="005C3E54" w:rsidRDefault="004569C0"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2E1790" w:rsidP="00162C8F">
      <w:pPr>
        <w:jc w:val="both"/>
        <w:rPr>
          <w:rFonts w:ascii="Times New Roman" w:hAnsi="Times New Roman" w:cs="Times New Roman"/>
          <w:b/>
          <w:sz w:val="28"/>
          <w:szCs w:val="32"/>
        </w:rPr>
      </w:pPr>
      <w:r w:rsidRPr="002E1790">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4569C0" w:rsidRDefault="004569C0" w:rsidP="00221E26">
                  <w:pPr>
                    <w:spacing w:after="0" w:line="240" w:lineRule="auto"/>
                    <w:rPr>
                      <w:sz w:val="24"/>
                    </w:rPr>
                  </w:pPr>
                  <w:r>
                    <w:rPr>
                      <w:sz w:val="24"/>
                    </w:rPr>
                    <w:t xml:space="preserve">Intelligence </w:t>
                  </w:r>
                </w:p>
                <w:p w:rsidR="004569C0" w:rsidRPr="00A436E5" w:rsidRDefault="004569C0"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2E1790" w:rsidP="00162C8F">
      <w:pPr>
        <w:jc w:val="both"/>
        <w:rPr>
          <w:rFonts w:ascii="Times New Roman" w:hAnsi="Times New Roman" w:cs="Times New Roman"/>
          <w:b/>
          <w:sz w:val="28"/>
          <w:szCs w:val="32"/>
        </w:rPr>
      </w:pPr>
      <w:r w:rsidRPr="002E1790">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4569C0" w:rsidRPr="00413D4D" w:rsidRDefault="004569C0"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w:t>
      </w:r>
      <w:r w:rsidR="000053CF" w:rsidRPr="00C65EB6">
        <w:rPr>
          <w:rFonts w:ascii="Times New Roman" w:hAnsi="Times New Roman" w:cs="Times New Roman"/>
          <w:sz w:val="28"/>
          <w:szCs w:val="28"/>
        </w:rPr>
        <w:lastRenderedPageBreak/>
        <w:t xml:space="preserve">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116" w:rsidRDefault="00A82116" w:rsidP="008A7BE1">
      <w:pPr>
        <w:spacing w:after="0" w:line="240" w:lineRule="auto"/>
      </w:pPr>
      <w:r>
        <w:separator/>
      </w:r>
    </w:p>
  </w:endnote>
  <w:endnote w:type="continuationSeparator" w:id="1">
    <w:p w:rsidR="00A82116" w:rsidRDefault="00A82116"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4569C0" w:rsidRDefault="004569C0">
        <w:pPr>
          <w:pStyle w:val="Footer"/>
          <w:pBdr>
            <w:top w:val="single" w:sz="4" w:space="1" w:color="D9D9D9" w:themeColor="background1" w:themeShade="D9"/>
          </w:pBdr>
          <w:rPr>
            <w:b/>
          </w:rPr>
        </w:pPr>
        <w:fldSimple w:instr=" PAGE   \* MERGEFORMAT ">
          <w:r w:rsidR="00CA7367" w:rsidRPr="00CA7367">
            <w:rPr>
              <w:b/>
              <w:noProof/>
            </w:rPr>
            <w:t>1</w:t>
          </w:r>
        </w:fldSimple>
        <w:r>
          <w:rPr>
            <w:b/>
          </w:rPr>
          <w:t xml:space="preserve"> | </w:t>
        </w:r>
        <w:r>
          <w:rPr>
            <w:color w:val="7F7F7F" w:themeColor="background1" w:themeShade="7F"/>
            <w:spacing w:val="60"/>
          </w:rPr>
          <w:t>Page</w:t>
        </w:r>
      </w:p>
    </w:sdtContent>
  </w:sdt>
  <w:p w:rsidR="004569C0" w:rsidRDefault="00456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116" w:rsidRDefault="00A82116" w:rsidP="008A7BE1">
      <w:pPr>
        <w:spacing w:after="0" w:line="240" w:lineRule="auto"/>
      </w:pPr>
      <w:r>
        <w:separator/>
      </w:r>
    </w:p>
  </w:footnote>
  <w:footnote w:type="continuationSeparator" w:id="1">
    <w:p w:rsidR="00A82116" w:rsidRDefault="00A82116"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71871"/>
    <w:rsid w:val="002868B1"/>
    <w:rsid w:val="002A22BA"/>
    <w:rsid w:val="002A25F4"/>
    <w:rsid w:val="002A5831"/>
    <w:rsid w:val="002B158A"/>
    <w:rsid w:val="002B51C0"/>
    <w:rsid w:val="002B53F2"/>
    <w:rsid w:val="002C4235"/>
    <w:rsid w:val="002C5126"/>
    <w:rsid w:val="002E1790"/>
    <w:rsid w:val="002F1591"/>
    <w:rsid w:val="002F49FF"/>
    <w:rsid w:val="002F77E7"/>
    <w:rsid w:val="00304275"/>
    <w:rsid w:val="00315BC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41387"/>
    <w:rsid w:val="004525BB"/>
    <w:rsid w:val="00453CAD"/>
    <w:rsid w:val="004569C0"/>
    <w:rsid w:val="0046548B"/>
    <w:rsid w:val="00465BF9"/>
    <w:rsid w:val="00472724"/>
    <w:rsid w:val="00476C24"/>
    <w:rsid w:val="00480030"/>
    <w:rsid w:val="00484531"/>
    <w:rsid w:val="00492656"/>
    <w:rsid w:val="00496430"/>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7F47"/>
    <w:rsid w:val="006701C5"/>
    <w:rsid w:val="00674679"/>
    <w:rsid w:val="006751A9"/>
    <w:rsid w:val="00676FB8"/>
    <w:rsid w:val="006878C5"/>
    <w:rsid w:val="00695FE4"/>
    <w:rsid w:val="0069694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57C58"/>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2116"/>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B10209"/>
    <w:rsid w:val="00B12F97"/>
    <w:rsid w:val="00B13588"/>
    <w:rsid w:val="00B23C1A"/>
    <w:rsid w:val="00B303AE"/>
    <w:rsid w:val="00B42C25"/>
    <w:rsid w:val="00B4484B"/>
    <w:rsid w:val="00B4681D"/>
    <w:rsid w:val="00B52CF8"/>
    <w:rsid w:val="00B56FA1"/>
    <w:rsid w:val="00B5727D"/>
    <w:rsid w:val="00B6280B"/>
    <w:rsid w:val="00B71A60"/>
    <w:rsid w:val="00B72C95"/>
    <w:rsid w:val="00B733C2"/>
    <w:rsid w:val="00B77D34"/>
    <w:rsid w:val="00B818FC"/>
    <w:rsid w:val="00B94597"/>
    <w:rsid w:val="00B94F78"/>
    <w:rsid w:val="00BA030A"/>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A7367"/>
    <w:rsid w:val="00CB5D03"/>
    <w:rsid w:val="00CC47F1"/>
    <w:rsid w:val="00CD355A"/>
    <w:rsid w:val="00CE516D"/>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D61D0"/>
    <w:rsid w:val="00DE1484"/>
    <w:rsid w:val="00DE2998"/>
    <w:rsid w:val="00DF4268"/>
    <w:rsid w:val="00E02950"/>
    <w:rsid w:val="00E02C28"/>
    <w:rsid w:val="00E0343E"/>
    <w:rsid w:val="00E07DF9"/>
    <w:rsid w:val="00E101F4"/>
    <w:rsid w:val="00E23114"/>
    <w:rsid w:val="00E24A5F"/>
    <w:rsid w:val="00E254FD"/>
    <w:rsid w:val="00E3053C"/>
    <w:rsid w:val="00E35787"/>
    <w:rsid w:val="00E35FE6"/>
    <w:rsid w:val="00E36960"/>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54</Pages>
  <Words>10224</Words>
  <Characters>58283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38</cp:revision>
  <cp:lastPrinted>2025-05-30T17:34:00Z</cp:lastPrinted>
  <dcterms:created xsi:type="dcterms:W3CDTF">2020-12-10T11:47:00Z</dcterms:created>
  <dcterms:modified xsi:type="dcterms:W3CDTF">2025-05-31T10:49:00Z</dcterms:modified>
</cp:coreProperties>
</file>