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14EE8">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44"/>
          <w:szCs w:val="44"/>
          <w:lang w:val="en-US"/>
        </w:rPr>
      </w:pPr>
      <w:r>
        <w:rPr>
          <w:rFonts w:hint="default" w:ascii="ITC Bookman" w:hAnsi="ITC Bookman" w:cs="ITC Bookman"/>
          <w:b/>
          <w:bCs/>
          <w:color w:val="auto"/>
          <w:sz w:val="44"/>
          <w:szCs w:val="44"/>
          <w:lang w:val="en-US"/>
        </w:rPr>
        <w:t>TAXIDEMY OF A RABBIT</w:t>
      </w:r>
    </w:p>
    <w:p w14:paraId="5CE04C1A">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p>
    <w:p w14:paraId="2A30461B">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p>
    <w:p w14:paraId="56028D55">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PRESENTED BY</w:t>
      </w:r>
    </w:p>
    <w:p w14:paraId="2186225F">
      <w:pPr>
        <w:keepNext w:val="0"/>
        <w:keepLines w:val="0"/>
        <w:pageBreakBefore w:val="0"/>
        <w:widowControl/>
        <w:kinsoku/>
        <w:wordWrap/>
        <w:overflowPunct/>
        <w:topLinePunct w:val="0"/>
        <w:autoSpaceDE/>
        <w:autoSpaceDN/>
        <w:bidi w:val="0"/>
        <w:adjustRightInd/>
        <w:snapToGrid/>
        <w:spacing w:after="40" w:line="240" w:lineRule="auto"/>
        <w:jc w:val="center"/>
        <w:textAlignment w:val="auto"/>
        <w:rPr>
          <w:rFonts w:hint="default" w:ascii="ITC Bookman" w:hAnsi="ITC Bookman" w:cs="ITC Bookman"/>
          <w:b/>
          <w:bCs/>
          <w:color w:val="auto"/>
          <w:sz w:val="40"/>
          <w:szCs w:val="40"/>
          <w:lang w:val="en-US"/>
        </w:rPr>
      </w:pPr>
      <w:r>
        <w:rPr>
          <w:rFonts w:hint="default" w:ascii="ITC Bookman" w:hAnsi="ITC Bookman" w:cs="ITC Bookman"/>
          <w:b/>
          <w:bCs/>
          <w:color w:val="auto"/>
          <w:sz w:val="40"/>
          <w:szCs w:val="40"/>
          <w:lang w:val="en-US"/>
        </w:rPr>
        <w:t>JOSEPH PETER BRIGHT</w:t>
      </w:r>
    </w:p>
    <w:p w14:paraId="73EE0B85">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32"/>
          <w:szCs w:val="32"/>
          <w:lang w:val="en-US"/>
        </w:rPr>
      </w:pPr>
      <w:r>
        <w:rPr>
          <w:rFonts w:hint="default" w:ascii="ITC Bookman" w:hAnsi="ITC Bookman" w:cs="ITC Bookman"/>
          <w:b/>
          <w:bCs/>
          <w:color w:val="auto"/>
          <w:sz w:val="32"/>
          <w:szCs w:val="32"/>
          <w:lang w:val="en-US"/>
        </w:rPr>
        <w:t>ND/23/SLT/FT/0024</w:t>
      </w:r>
    </w:p>
    <w:p w14:paraId="7C406B34">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p>
    <w:p w14:paraId="50FB18A2">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 xml:space="preserve">BEING A PROJECT WORK SUBMITTED TO THE DEPARTMENT OF SCIENCE LABORATORY TECHNOLOGY (ENVIRONMENTAL BIOLOGY UNIT) </w:t>
      </w:r>
    </w:p>
    <w:p w14:paraId="4317E13C">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INSTITUTE OF APPLIED SCIENCE (IAS) KWARA STATE POLYTECHNIC, ILORIN.</w:t>
      </w:r>
    </w:p>
    <w:p w14:paraId="62060D59">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p>
    <w:p w14:paraId="1F7810D7">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bookmarkStart w:id="0" w:name="_GoBack"/>
      <w:bookmarkEnd w:id="0"/>
    </w:p>
    <w:p w14:paraId="392CBA9C">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IN PARTIAL FULFILMENT OF THE REQUIREMENTS FOR THE AWARD OF NATIONAL DIPLOMA (ND) IN SCIENCE LABORATORY TECHNOLOGY.</w:t>
      </w:r>
    </w:p>
    <w:p w14:paraId="6FB2F37C">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p>
    <w:p w14:paraId="4B1CAAB5">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SUPERVISED BY:</w:t>
      </w:r>
    </w:p>
    <w:p w14:paraId="476AA42A">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MR.  S.O. ALIU</w:t>
      </w:r>
    </w:p>
    <w:p w14:paraId="52F22B79">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ITC Bookman" w:hAnsi="ITC Bookman" w:cs="ITC Bookman"/>
          <w:b/>
          <w:bCs/>
          <w:color w:val="auto"/>
          <w:sz w:val="28"/>
          <w:szCs w:val="28"/>
          <w:lang w:val="en-US"/>
        </w:rPr>
      </w:pPr>
    </w:p>
    <w:p w14:paraId="14B94A81">
      <w:pPr>
        <w:keepNext w:val="0"/>
        <w:keepLines w:val="0"/>
        <w:pageBreakBefore w:val="0"/>
        <w:widowControl/>
        <w:kinsoku/>
        <w:wordWrap w:val="0"/>
        <w:overflowPunct/>
        <w:topLinePunct w:val="0"/>
        <w:autoSpaceDE/>
        <w:autoSpaceDN/>
        <w:bidi w:val="0"/>
        <w:adjustRightInd/>
        <w:snapToGrid/>
        <w:spacing w:after="40" w:line="360" w:lineRule="auto"/>
        <w:jc w:val="right"/>
        <w:textAlignment w:val="auto"/>
        <w:rPr>
          <w:rFonts w:hint="default" w:ascii="ITC Bookman" w:hAnsi="ITC Bookman" w:cs="ITC Bookman"/>
          <w:b/>
          <w:bCs/>
          <w:color w:val="auto"/>
          <w:sz w:val="28"/>
          <w:szCs w:val="28"/>
          <w:lang w:val="en-US"/>
        </w:rPr>
      </w:pPr>
      <w:r>
        <w:rPr>
          <w:rFonts w:hint="default" w:ascii="ITC Bookman" w:hAnsi="ITC Bookman" w:cs="ITC Bookman"/>
          <w:b/>
          <w:bCs/>
          <w:color w:val="auto"/>
          <w:sz w:val="28"/>
          <w:szCs w:val="28"/>
          <w:lang w:val="en-US"/>
        </w:rPr>
        <w:t>2023/2024 SESSION</w:t>
      </w:r>
    </w:p>
    <w:p w14:paraId="6BA88083">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CERTIFICATION</w:t>
      </w:r>
    </w:p>
    <w:p w14:paraId="078346A8">
      <w:pPr>
        <w:keepNext w:val="0"/>
        <w:keepLines w:val="0"/>
        <w:pageBreakBefore w:val="0"/>
        <w:widowControl/>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This is to certify that the research work carried out by </w:t>
      </w:r>
      <w:r>
        <w:rPr>
          <w:rFonts w:hint="default" w:ascii="Times New Roman" w:hAnsi="Times New Roman" w:cs="Times New Roman"/>
          <w:b/>
          <w:bCs/>
          <w:color w:val="auto"/>
          <w:sz w:val="24"/>
          <w:szCs w:val="24"/>
          <w:lang w:val="en-US"/>
        </w:rPr>
        <w:t>Joseph Peter Bright</w:t>
      </w:r>
      <w:r>
        <w:rPr>
          <w:rFonts w:hint="default" w:ascii="Times New Roman" w:hAnsi="Times New Roman" w:cs="Times New Roman"/>
          <w:b w:val="0"/>
          <w:bCs w:val="0"/>
          <w:color w:val="auto"/>
          <w:sz w:val="24"/>
          <w:szCs w:val="24"/>
          <w:lang w:val="en-US"/>
        </w:rPr>
        <w:t xml:space="preserve"> with matriculation number </w:t>
      </w:r>
      <w:r>
        <w:rPr>
          <w:rFonts w:hint="default" w:ascii="Times New Roman" w:hAnsi="Times New Roman" w:cs="Times New Roman"/>
          <w:b/>
          <w:bCs/>
          <w:color w:val="auto"/>
          <w:sz w:val="24"/>
          <w:szCs w:val="24"/>
          <w:lang w:val="en-US"/>
        </w:rPr>
        <w:t>ND/23/SLT/FT/0024</w:t>
      </w:r>
      <w:r>
        <w:rPr>
          <w:rFonts w:hint="default" w:ascii="Times New Roman" w:hAnsi="Times New Roman" w:cs="Times New Roman"/>
          <w:b w:val="0"/>
          <w:bCs w:val="0"/>
          <w:color w:val="auto"/>
          <w:sz w:val="24"/>
          <w:szCs w:val="24"/>
          <w:lang w:val="en-US"/>
        </w:rPr>
        <w:t xml:space="preserve"> in Institute Applied Science (IAS), Department of Science Laboratory Technology, Kwara State Polytechnic, Ilorin Kwara State, has meet the requirement for the award of National Diploma (ND)</w:t>
      </w:r>
    </w:p>
    <w:p w14:paraId="2FDB02C6">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3295E986">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402EDAF">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_____________________</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_____________________</w:t>
      </w:r>
    </w:p>
    <w:p w14:paraId="5683D47A">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Mr. S.O. Alu</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Date</w:t>
      </w:r>
    </w:p>
    <w:p w14:paraId="4EFAF778">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(Project Supervisor)</w:t>
      </w:r>
    </w:p>
    <w:p w14:paraId="2CDE58AB">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7CF437E1">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167B3AAD">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6600C19E">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7048F0E6">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72733784">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_____________________</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_____________________</w:t>
      </w:r>
    </w:p>
    <w:p w14:paraId="2AB96CB7">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Mr. A.A Opeyemi</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Date</w:t>
      </w:r>
    </w:p>
    <w:p w14:paraId="36A92B97">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(Head of Unit)</w:t>
      </w:r>
    </w:p>
    <w:p w14:paraId="2FEE9193">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0D96EA5B">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2C218F9A">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66E13628">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33F567FF">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55085A80">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_____________________</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_____________________</w:t>
      </w:r>
    </w:p>
    <w:p w14:paraId="6CAC8AB9">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Dr. Usman A.</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Date</w:t>
      </w:r>
    </w:p>
    <w:p w14:paraId="15FA8142">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(Head of Department)</w:t>
      </w:r>
    </w:p>
    <w:p w14:paraId="50C8BA84">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3053A1DF">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p>
    <w:p w14:paraId="27E7A326">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3B3CF44">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_____________________</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_____________________</w:t>
      </w:r>
    </w:p>
    <w:p w14:paraId="078CF45E">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External Examinar</w:t>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ab/>
      </w:r>
      <w:r>
        <w:rPr>
          <w:rFonts w:hint="default" w:ascii="Times New Roman" w:hAnsi="Times New Roman" w:cs="Times New Roman"/>
          <w:b/>
          <w:bCs/>
          <w:color w:val="auto"/>
          <w:sz w:val="24"/>
          <w:szCs w:val="24"/>
          <w:lang w:val="en-US"/>
        </w:rPr>
        <w:t>Date</w:t>
      </w:r>
    </w:p>
    <w:p w14:paraId="3E1A96D7">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C6D76FB">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723EADE">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4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God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3E72A08C">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05895494">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52083F5">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85B3D7C">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029F531C">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330346C">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3F75994B">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7C10575">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0DE75B9E">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16C7DC9">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06F0A63">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58CA8EC">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A731A72">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12322A6">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337CF23">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04FC1EE">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42C7445">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B3F02E5">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ADDE8AE">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883190F">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313B0E7">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33954E13">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FFF31B6">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ACKNOLEDGEMENT</w:t>
      </w:r>
    </w:p>
    <w:p w14:paraId="7D4BD713">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My gratitude goes to Almighty God, the most high, the omnipotence and omniscient for His guidelines, his grace and unending mercy that was evident in my life for making me to complete my ND programme successfully. My profund gratitude goes to my project supervisor </w:t>
      </w:r>
      <w:r>
        <w:rPr>
          <w:rFonts w:hint="default" w:ascii="Times New Roman" w:hAnsi="Times New Roman" w:cs="Times New Roman"/>
          <w:b/>
          <w:bCs/>
          <w:color w:val="auto"/>
          <w:sz w:val="24"/>
          <w:szCs w:val="24"/>
          <w:lang w:val="en-US"/>
        </w:rPr>
        <w:t>Mr. S.O Alu</w:t>
      </w:r>
      <w:r>
        <w:rPr>
          <w:rFonts w:hint="default" w:ascii="Times New Roman" w:hAnsi="Times New Roman" w:cs="Times New Roman"/>
          <w:b w:val="0"/>
          <w:bCs w:val="0"/>
          <w:color w:val="auto"/>
          <w:sz w:val="24"/>
          <w:szCs w:val="24"/>
          <w:lang w:val="en-US"/>
        </w:rPr>
        <w:t xml:space="preserve"> for guiding and seeing me through the successful completion of my project. His action are worthy of emulation are highly appreciated, may almighty God continue to assist him and his source of joy throughout his life.</w:t>
      </w:r>
    </w:p>
    <w:p w14:paraId="09FBBB52">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Also I sincerely appreciate the kindness of the head of unit (H.O.U) </w:t>
      </w:r>
      <w:r>
        <w:rPr>
          <w:rFonts w:hint="default" w:ascii="Times New Roman" w:hAnsi="Times New Roman" w:cs="Times New Roman"/>
          <w:b/>
          <w:bCs/>
          <w:color w:val="auto"/>
          <w:sz w:val="24"/>
          <w:szCs w:val="24"/>
          <w:lang w:val="en-US"/>
        </w:rPr>
        <w:t>Mr Opeyemi A.</w:t>
      </w:r>
      <w:r>
        <w:rPr>
          <w:rFonts w:hint="default" w:ascii="Times New Roman" w:hAnsi="Times New Roman" w:cs="Times New Roman"/>
          <w:b w:val="0"/>
          <w:bCs w:val="0"/>
          <w:color w:val="auto"/>
          <w:sz w:val="24"/>
          <w:szCs w:val="24"/>
          <w:lang w:val="en-US"/>
        </w:rPr>
        <w:t xml:space="preserve"> for his brotherly support, I pray that my Almight God increase your knowledge and bless your family. I will be indebted and ungrateful if I refuse to appreciate the effort of my wonderful father </w:t>
      </w:r>
      <w:r>
        <w:rPr>
          <w:rFonts w:hint="default" w:ascii="Times New Roman" w:hAnsi="Times New Roman" w:cs="Times New Roman"/>
          <w:b/>
          <w:bCs/>
          <w:color w:val="auto"/>
          <w:sz w:val="24"/>
          <w:szCs w:val="24"/>
          <w:lang w:val="en-US"/>
        </w:rPr>
        <w:t xml:space="preserve">Mr. Audu Joseph </w:t>
      </w:r>
      <w:r>
        <w:rPr>
          <w:rFonts w:hint="default" w:ascii="Times New Roman" w:hAnsi="Times New Roman" w:cs="Times New Roman"/>
          <w:b w:val="0"/>
          <w:bCs w:val="0"/>
          <w:color w:val="auto"/>
          <w:sz w:val="24"/>
          <w:szCs w:val="24"/>
          <w:lang w:val="en-US"/>
        </w:rPr>
        <w:t xml:space="preserve">you show me way to success with your love, support, words of encouragement. May God Almighty continue to bless you. Also I wont be ungrateful to my beloved and wonderful mother </w:t>
      </w:r>
      <w:r>
        <w:rPr>
          <w:rFonts w:hint="default" w:ascii="Times New Roman" w:hAnsi="Times New Roman" w:cs="Times New Roman"/>
          <w:b/>
          <w:bCs/>
          <w:color w:val="auto"/>
          <w:sz w:val="24"/>
          <w:szCs w:val="24"/>
          <w:lang w:val="en-US"/>
        </w:rPr>
        <w:t>Mrs. Joseph faith</w:t>
      </w:r>
      <w:r>
        <w:rPr>
          <w:rFonts w:hint="default" w:ascii="Times New Roman" w:hAnsi="Times New Roman" w:cs="Times New Roman"/>
          <w:b w:val="0"/>
          <w:bCs w:val="0"/>
          <w:color w:val="auto"/>
          <w:sz w:val="24"/>
          <w:szCs w:val="24"/>
          <w:lang w:val="en-US"/>
        </w:rPr>
        <w:t xml:space="preserve"> for her love, support, care, words of encouragement and most especially your prayer. I pray may your pocket and business increase and grow more.</w:t>
      </w:r>
    </w:p>
    <w:p w14:paraId="5BA41995">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I wont be ungrateful to my elder brother and sister who shows me the way to success, you’re always ready to support me in one way or the other. May God Almighty continue to bless you both for me. I love you all.</w:t>
      </w:r>
    </w:p>
    <w:p w14:paraId="4F0E1335">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My gratitude goes to my younger brother Godspower and Goodluck you are a great and wonderful brothers. May Almighty God grant all your secret prayer. I would love to thank Dr. Enouch Emmanuel and Emmanuel Elizabeth for their endless care and support both financially, materially, physically, I am indeed very grateful. May Almighty God bless you all and I wish you all success in your life. A special thanks to my siblings and my coordinator and other lectures and staffs in Biology department.</w:t>
      </w:r>
    </w:p>
    <w:p w14:paraId="10235898">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FD76159">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6F7D753">
      <w:pPr>
        <w:keepNext w:val="0"/>
        <w:keepLines w:val="0"/>
        <w:pageBreakBefore w:val="0"/>
        <w:widowControl/>
        <w:kinsoku/>
        <w:wordWrap/>
        <w:overflowPunct/>
        <w:topLinePunct w:val="0"/>
        <w:autoSpaceDE/>
        <w:autoSpaceDN/>
        <w:bidi w:val="0"/>
        <w:adjustRightInd/>
        <w:snapToGrid/>
        <w:spacing w:after="40" w:line="360" w:lineRule="auto"/>
        <w:jc w:val="left"/>
        <w:textAlignment w:val="auto"/>
        <w:rPr>
          <w:rFonts w:hint="default" w:ascii="Times New Roman" w:hAnsi="Times New Roman" w:cs="Times New Roman"/>
          <w:b w:val="0"/>
          <w:bCs w:val="0"/>
          <w:color w:val="auto"/>
          <w:sz w:val="24"/>
          <w:szCs w:val="24"/>
          <w:lang w:val="en-US"/>
        </w:rPr>
      </w:pPr>
    </w:p>
    <w:p w14:paraId="0323A795">
      <w:pPr>
        <w:keepNext w:val="0"/>
        <w:keepLines w:val="0"/>
        <w:pageBreakBefore w:val="0"/>
        <w:widowControl/>
        <w:kinsoku/>
        <w:wordWrap/>
        <w:overflowPunct/>
        <w:topLinePunct w:val="0"/>
        <w:autoSpaceDE/>
        <w:autoSpaceDN/>
        <w:bidi w:val="0"/>
        <w:adjustRightInd/>
        <w:snapToGrid/>
        <w:spacing w:after="40" w:line="360" w:lineRule="auto"/>
        <w:jc w:val="left"/>
        <w:textAlignment w:val="auto"/>
        <w:rPr>
          <w:rFonts w:hint="default" w:ascii="Times New Roman" w:hAnsi="Times New Roman" w:cs="Times New Roman"/>
          <w:b w:val="0"/>
          <w:bCs w:val="0"/>
          <w:color w:val="auto"/>
          <w:sz w:val="24"/>
          <w:szCs w:val="24"/>
          <w:lang w:val="en-US"/>
        </w:rPr>
      </w:pPr>
    </w:p>
    <w:p w14:paraId="45162F67">
      <w:pPr>
        <w:keepNext w:val="0"/>
        <w:keepLines w:val="0"/>
        <w:pageBreakBefore w:val="0"/>
        <w:widowControl/>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TABLE OF CONTENTS</w:t>
      </w:r>
    </w:p>
    <w:p w14:paraId="293C2E62">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Title page</w:t>
      </w:r>
    </w:p>
    <w:p w14:paraId="64E9DEB6">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Certification</w:t>
      </w:r>
    </w:p>
    <w:p w14:paraId="628E0E9A">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Dedication</w:t>
      </w:r>
    </w:p>
    <w:p w14:paraId="33436DA3">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Acknowledgment</w:t>
      </w:r>
    </w:p>
    <w:p w14:paraId="2A1E0423">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Table of content</w:t>
      </w:r>
    </w:p>
    <w:p w14:paraId="6A1429B6">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Abstract</w:t>
      </w:r>
    </w:p>
    <w:p w14:paraId="4561873E">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ONE</w:t>
      </w:r>
    </w:p>
    <w:p w14:paraId="36409932">
      <w:pPr>
        <w:keepNext w:val="0"/>
        <w:keepLines w:val="0"/>
        <w:pageBreakBefore w:val="0"/>
        <w:widowControl/>
        <w:numPr>
          <w:ilvl w:val="1"/>
          <w:numId w:val="11"/>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Introduction and Literature Review</w:t>
      </w:r>
    </w:p>
    <w:p w14:paraId="44F5DF88">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TWO</w:t>
      </w:r>
    </w:p>
    <w:p w14:paraId="3D34691D">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2.1 Material and Method</w:t>
      </w:r>
    </w:p>
    <w:p w14:paraId="53127E41">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THREE</w:t>
      </w:r>
    </w:p>
    <w:p w14:paraId="555A601D">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3.1 Table of results</w:t>
      </w:r>
    </w:p>
    <w:p w14:paraId="206CE3BF">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FOUR</w:t>
      </w:r>
    </w:p>
    <w:p w14:paraId="28E6CFEE">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4.1 Discussion</w:t>
      </w:r>
    </w:p>
    <w:p w14:paraId="5EB5BA25">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4.2 Conclusion</w:t>
      </w:r>
    </w:p>
    <w:p w14:paraId="1D151045">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4.3 Recommentions</w:t>
      </w:r>
    </w:p>
    <w:p w14:paraId="79FCE0F6">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21B8A9C">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2662395">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808D034">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483CB35">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0088298B">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F4E8BFD">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6FC8062">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B235EA7">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4B80452">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Abstract</w:t>
      </w:r>
    </w:p>
    <w:p w14:paraId="3C504DFA">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This study examines how children and adults perceive and understand a taxidermied rabbit in a museum context. The abstract explores how these individuals judge the reality status of the taxidemied habbit and how they attribute biological and authenticity properties to it, with a focus on how these perceptions are influenced by presentation context. (e.g, alongside a realistic of rabbit, inside an exhibition case or as a touchable object). the finding suggest that children understanding of taxidemy as authentic and educational increase with age and is influenced by the presentation context particularly when paired with a toy rabbit.</w:t>
      </w:r>
    </w:p>
    <w:p w14:paraId="2939B9FF">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C272041">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11CD4F5C">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B118042">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C86BF9F">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B203BC4">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3C8C641C">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DB6107A">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DEB0FD6">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3C9F51F3">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3B05C892">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35C8BC1">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0DB3621A">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C0392FC">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051827B">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28A6C68">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25AFD7ED">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66EBC3C">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sectPr>
          <w:footerReference r:id="rId5" w:type="default"/>
          <w:pgSz w:w="11906" w:h="16838"/>
          <w:pgMar w:top="1440" w:right="1440" w:bottom="3600" w:left="1800" w:header="720" w:footer="3168" w:gutter="0"/>
          <w:pgNumType w:fmt="upperRoman" w:start="1"/>
          <w:cols w:space="0" w:num="1"/>
          <w:rtlGutter w:val="0"/>
          <w:docGrid w:linePitch="360" w:charSpace="0"/>
        </w:sectPr>
      </w:pPr>
    </w:p>
    <w:p w14:paraId="2206E436">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ONE</w:t>
      </w:r>
    </w:p>
    <w:p w14:paraId="2985823B">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INTRODUCTION</w:t>
      </w:r>
    </w:p>
    <w:p w14:paraId="40A8B70C">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Museum professionals believe that physical encounters with real, authentic specimens foster awe-inspiring reactions among visitors that promote curiosity, engagement, and critical reflection beyond that offered by replicas (Bunce, </w:t>
      </w:r>
      <w:r>
        <w:rPr>
          <w:rFonts w:hint="default" w:ascii="Times New Roman" w:hAnsi="Times New Roman" w:eastAsia="MinionPro" w:cs="Times New Roman"/>
          <w:color w:val="auto"/>
          <w:kern w:val="0"/>
          <w:sz w:val="24"/>
          <w:szCs w:val="24"/>
          <w:lang w:val="en-US" w:eastAsia="zh-CN" w:bidi="ar"/>
        </w:rPr>
        <w:t>2016a</w:t>
      </w:r>
      <w:r>
        <w:rPr>
          <w:rFonts w:hint="default" w:ascii="Times New Roman" w:hAnsi="Times New Roman" w:eastAsia="MinionPro" w:cs="Times New Roman"/>
          <w:color w:val="auto"/>
          <w:kern w:val="0"/>
          <w:sz w:val="24"/>
          <w:szCs w:val="24"/>
          <w:lang w:val="en-US" w:eastAsia="zh-CN" w:bidi="ar"/>
        </w:rPr>
        <w:t xml:space="preserve">; Eberbach &amp; Crowley, </w:t>
      </w:r>
      <w:r>
        <w:rPr>
          <w:rFonts w:hint="default" w:ascii="Times New Roman" w:hAnsi="Times New Roman" w:eastAsia="MinionPro" w:cs="Times New Roman"/>
          <w:color w:val="auto"/>
          <w:kern w:val="0"/>
          <w:sz w:val="24"/>
          <w:szCs w:val="24"/>
          <w:lang w:val="en-US" w:eastAsia="zh-CN" w:bidi="ar"/>
        </w:rPr>
        <w:t>2005</w:t>
      </w:r>
      <w:r>
        <w:rPr>
          <w:rFonts w:hint="default" w:ascii="Times New Roman" w:hAnsi="Times New Roman" w:eastAsia="MinionPro" w:cs="Times New Roman"/>
          <w:color w:val="auto"/>
          <w:kern w:val="0"/>
          <w:sz w:val="24"/>
          <w:szCs w:val="24"/>
          <w:lang w:val="en-US" w:eastAsia="zh-CN" w:bidi="ar"/>
        </w:rPr>
        <w:t xml:space="preserve">; Evans, Mull, &amp; Poling, </w:t>
      </w:r>
      <w:r>
        <w:rPr>
          <w:rFonts w:hint="default" w:ascii="Times New Roman" w:hAnsi="Times New Roman" w:eastAsia="MinionPro" w:cs="Times New Roman"/>
          <w:color w:val="auto"/>
          <w:kern w:val="0"/>
          <w:sz w:val="24"/>
          <w:szCs w:val="24"/>
          <w:lang w:val="en-US" w:eastAsia="zh-CN" w:bidi="ar"/>
        </w:rPr>
        <w:t>2002</w:t>
      </w:r>
      <w:r>
        <w:rPr>
          <w:rFonts w:hint="default" w:ascii="Times New Roman" w:hAnsi="Times New Roman" w:eastAsia="MinionPro" w:cs="Times New Roman"/>
          <w:color w:val="auto"/>
          <w:kern w:val="0"/>
          <w:sz w:val="24"/>
          <w:szCs w:val="24"/>
          <w:lang w:val="en-US" w:eastAsia="zh-CN" w:bidi="ar"/>
        </w:rPr>
        <w:t xml:space="preserve">; Hampp &amp; Schwan, </w:t>
      </w:r>
      <w:r>
        <w:rPr>
          <w:rFonts w:hint="default" w:ascii="Times New Roman" w:hAnsi="Times New Roman" w:eastAsia="MinionPro" w:cs="Times New Roman"/>
          <w:color w:val="auto"/>
          <w:kern w:val="0"/>
          <w:sz w:val="24"/>
          <w:szCs w:val="24"/>
          <w:lang w:val="en-US" w:eastAsia="zh-CN" w:bidi="ar"/>
        </w:rPr>
        <w:t>2014</w:t>
      </w:r>
      <w:r>
        <w:rPr>
          <w:rFonts w:hint="default" w:ascii="Times New Roman" w:hAnsi="Times New Roman" w:eastAsia="MinionPro" w:cs="Times New Roman"/>
          <w:color w:val="auto"/>
          <w:kern w:val="0"/>
          <w:sz w:val="24"/>
          <w:szCs w:val="24"/>
          <w:lang w:val="en-US" w:eastAsia="zh-CN" w:bidi="ar"/>
        </w:rPr>
        <w:t xml:space="preserve">; Kirchberg &amp; Tröndle, </w:t>
      </w:r>
      <w:r>
        <w:rPr>
          <w:rFonts w:hint="default" w:ascii="Times New Roman" w:hAnsi="Times New Roman" w:eastAsia="MinionPro" w:cs="Times New Roman"/>
          <w:color w:val="auto"/>
          <w:kern w:val="0"/>
          <w:sz w:val="24"/>
          <w:szCs w:val="24"/>
          <w:lang w:val="en-US" w:eastAsia="zh-CN" w:bidi="ar"/>
        </w:rPr>
        <w:t>2012</w:t>
      </w:r>
      <w:r>
        <w:rPr>
          <w:rFonts w:hint="default" w:ascii="Times New Roman" w:hAnsi="Times New Roman" w:eastAsia="MinionPro" w:cs="Times New Roman"/>
          <w:color w:val="auto"/>
          <w:kern w:val="0"/>
          <w:sz w:val="24"/>
          <w:szCs w:val="24"/>
          <w:lang w:val="en-US" w:eastAsia="zh-CN" w:bidi="ar"/>
        </w:rPr>
        <w:t xml:space="preserve">; Leinhardt &amp; Crowley, </w:t>
      </w:r>
      <w:r>
        <w:rPr>
          <w:rFonts w:hint="default" w:ascii="Times New Roman" w:hAnsi="Times New Roman" w:eastAsia="MinionPro" w:cs="Times New Roman"/>
          <w:color w:val="auto"/>
          <w:kern w:val="0"/>
          <w:sz w:val="24"/>
          <w:szCs w:val="24"/>
          <w:lang w:val="en-US" w:eastAsia="zh-CN" w:bidi="ar"/>
        </w:rPr>
        <w:t>2002</w:t>
      </w:r>
      <w:r>
        <w:rPr>
          <w:rFonts w:hint="default" w:ascii="Times New Roman" w:hAnsi="Times New Roman" w:eastAsia="MinionPro" w:cs="Times New Roman"/>
          <w:color w:val="auto"/>
          <w:kern w:val="0"/>
          <w:sz w:val="24"/>
          <w:szCs w:val="24"/>
          <w:lang w:val="en-US" w:eastAsia="zh-CN" w:bidi="ar"/>
        </w:rPr>
        <w:t xml:space="preserve">; Roberts, </w:t>
      </w:r>
      <w:r>
        <w:rPr>
          <w:rFonts w:hint="default" w:ascii="Times New Roman" w:hAnsi="Times New Roman" w:eastAsia="MinionPro" w:cs="Times New Roman"/>
          <w:color w:val="auto"/>
          <w:kern w:val="0"/>
          <w:sz w:val="24"/>
          <w:szCs w:val="24"/>
          <w:lang w:val="en-US" w:eastAsia="zh-CN" w:bidi="ar"/>
        </w:rPr>
        <w:t>1997</w:t>
      </w:r>
      <w:r>
        <w:rPr>
          <w:rFonts w:hint="default" w:ascii="Times New Roman" w:hAnsi="Times New Roman" w:eastAsia="MinionPro" w:cs="Times New Roman"/>
          <w:color w:val="auto"/>
          <w:kern w:val="0"/>
          <w:sz w:val="24"/>
          <w:szCs w:val="24"/>
          <w:lang w:val="en-US" w:eastAsia="zh-CN" w:bidi="ar"/>
        </w:rPr>
        <w:t xml:space="preserve">; Watson &amp; Werb, </w:t>
      </w:r>
      <w:r>
        <w:rPr>
          <w:rFonts w:hint="default" w:ascii="Times New Roman" w:hAnsi="Times New Roman" w:eastAsia="MinionPro" w:cs="Times New Roman"/>
          <w:color w:val="auto"/>
          <w:kern w:val="0"/>
          <w:sz w:val="24"/>
          <w:szCs w:val="24"/>
          <w:lang w:val="en-US" w:eastAsia="zh-CN" w:bidi="ar"/>
        </w:rPr>
        <w:t>2013</w:t>
      </w:r>
      <w:r>
        <w:rPr>
          <w:rFonts w:hint="default" w:ascii="Times New Roman" w:hAnsi="Times New Roman" w:eastAsia="MinionPro" w:cs="Times New Roman"/>
          <w:color w:val="auto"/>
          <w:kern w:val="0"/>
          <w:sz w:val="24"/>
          <w:szCs w:val="24"/>
          <w:lang w:val="en-US" w:eastAsia="zh-CN" w:bidi="ar"/>
        </w:rPr>
        <w:t xml:space="preserve">). Lack of appreciation of authenticity is thought to undermine not only the aesthetic value of a museum visit but interfere with potential educational gains. It is surprising, therefore, that almost no empirical research has investigated how visitors interpret collections in natural history institutions in relation to their value as authentic and educational biofacts (objects of natural history). </w:t>
      </w:r>
    </w:p>
    <w:p w14:paraId="4D0487E5">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In a recent report based on a series of seminars aimed at creating a learning research agenda for natural history institutions, museum practitioners and academics agreed that concerns about authenticity and how much it matters are increasingly important in a digital world (Dillon et al. </w:t>
      </w:r>
      <w:r>
        <w:rPr>
          <w:rFonts w:hint="default" w:ascii="Times New Roman" w:hAnsi="Times New Roman" w:eastAsia="MinionPro" w:cs="Times New Roman"/>
          <w:color w:val="auto"/>
          <w:kern w:val="0"/>
          <w:sz w:val="24"/>
          <w:szCs w:val="24"/>
          <w:lang w:val="en-US" w:eastAsia="zh-CN" w:bidi="ar"/>
        </w:rPr>
        <w:t>2016</w:t>
      </w:r>
      <w:r>
        <w:rPr>
          <w:rFonts w:hint="default" w:ascii="Times New Roman" w:hAnsi="Times New Roman" w:eastAsia="MinionPro" w:cs="Times New Roman"/>
          <w:color w:val="auto"/>
          <w:kern w:val="0"/>
          <w:sz w:val="24"/>
          <w:szCs w:val="24"/>
          <w:lang w:val="en-US" w:eastAsia="zh-CN" w:bidi="ar"/>
        </w:rPr>
        <w:t xml:space="preserve">). This report also emphasized the need to know more about how visitors interpret and engage with natural history collections and how this influences their learning. The current study was an attempt to start to address some of these issues. The aim was to assess museum visitors’ beliefs about the museum-worthy and educational value of animal taxidermy that was on display in a natural history museum. </w:t>
      </w:r>
    </w:p>
    <w:p w14:paraId="42B0384B">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One of the few empirical studies that has investigated adults’ understanding of the museum-worthy nature of authentic objects was conducted by Frazier, Gelman, Wilson, and Hood (</w:t>
      </w:r>
      <w:r>
        <w:rPr>
          <w:rFonts w:hint="default" w:ascii="Times New Roman" w:hAnsi="Times New Roman" w:eastAsia="MinionPro" w:cs="Times New Roman"/>
          <w:color w:val="auto"/>
          <w:kern w:val="0"/>
          <w:sz w:val="24"/>
          <w:szCs w:val="24"/>
          <w:lang w:val="en-US" w:eastAsia="zh-CN" w:bidi="ar"/>
        </w:rPr>
        <w:t>2009</w:t>
      </w:r>
      <w:r>
        <w:rPr>
          <w:rFonts w:hint="default" w:ascii="Times New Roman" w:hAnsi="Times New Roman" w:eastAsia="MinionPro" w:cs="Times New Roman"/>
          <w:color w:val="auto"/>
          <w:kern w:val="0"/>
          <w:sz w:val="24"/>
          <w:szCs w:val="24"/>
          <w:lang w:val="en-US" w:eastAsia="zh-CN" w:bidi="ar"/>
        </w:rPr>
        <w:t xml:space="preserve">). They asked 244 undergraduates whether a variety of objects that could be viewed as authentic by virtue of their uniqueness or historical or personal significance belonged in a museum. Participants judged historically significant objects (e.g., a dinosaur bone), unique or original creations (e.g., a Picasso painting), and objects with a famous association (e.g., Pierce Brosnan’s tuxedo) as museum worthy. Personal associations (e.g., your favorite item of clothing) were judged as least museum worthy. These data reveal that adults judge these types of authentic objects as appropriate for display in a museum and, by implication, that they expect museums to display authentic objects (see also Leinhardt &amp; Crowley, </w:t>
      </w:r>
      <w:r>
        <w:rPr>
          <w:rFonts w:hint="default" w:ascii="Times New Roman" w:hAnsi="Times New Roman" w:eastAsia="MinionPro" w:cs="Times New Roman"/>
          <w:color w:val="auto"/>
          <w:kern w:val="0"/>
          <w:sz w:val="24"/>
          <w:szCs w:val="24"/>
          <w:lang w:val="en-US" w:eastAsia="zh-CN" w:bidi="ar"/>
        </w:rPr>
        <w:t>2002</w:t>
      </w:r>
      <w:r>
        <w:rPr>
          <w:rFonts w:hint="default" w:ascii="Times New Roman" w:hAnsi="Times New Roman" w:eastAsia="MinionPro" w:cs="Times New Roman"/>
          <w:color w:val="auto"/>
          <w:kern w:val="0"/>
          <w:sz w:val="24"/>
          <w:szCs w:val="24"/>
          <w:lang w:val="en-US" w:eastAsia="zh-CN" w:bidi="ar"/>
        </w:rPr>
        <w:t xml:space="preserve">). However, it is important to bear in mind that the reasons why particular objects could be seen as authentic are very different. Artifacts, such as celebrity possessions or works of art, are authentic by virtue of being original or unique, or they may have a historic connection (Roberts, </w:t>
      </w:r>
      <w:r>
        <w:rPr>
          <w:rFonts w:hint="default" w:ascii="Times New Roman" w:hAnsi="Times New Roman" w:eastAsia="MinionPro" w:cs="Times New Roman"/>
          <w:color w:val="auto"/>
          <w:kern w:val="0"/>
          <w:sz w:val="24"/>
          <w:szCs w:val="24"/>
          <w:lang w:val="en-US" w:eastAsia="zh-CN" w:bidi="ar"/>
        </w:rPr>
        <w:t>1997</w:t>
      </w:r>
      <w:r>
        <w:rPr>
          <w:rFonts w:hint="default" w:ascii="Times New Roman" w:hAnsi="Times New Roman" w:eastAsia="MinionPro" w:cs="Times New Roman"/>
          <w:color w:val="auto"/>
          <w:kern w:val="0"/>
          <w:sz w:val="24"/>
          <w:szCs w:val="24"/>
          <w:lang w:val="en-US" w:eastAsia="zh-CN" w:bidi="ar"/>
        </w:rPr>
        <w:t xml:space="preserve">). In contrast, biofacts, such as a dinosaur bone, are authentic because they originate from nature as opposed to a deliberate manufacturing process (Evans et al., </w:t>
      </w:r>
      <w:r>
        <w:rPr>
          <w:rFonts w:hint="default" w:ascii="Times New Roman" w:hAnsi="Times New Roman" w:eastAsia="MinionPro" w:cs="Times New Roman"/>
          <w:color w:val="auto"/>
          <w:kern w:val="0"/>
          <w:sz w:val="24"/>
          <w:szCs w:val="24"/>
          <w:lang w:val="en-US" w:eastAsia="zh-CN" w:bidi="ar"/>
        </w:rPr>
        <w:t>2002</w:t>
      </w:r>
      <w:r>
        <w:rPr>
          <w:rFonts w:hint="default" w:ascii="Times New Roman" w:hAnsi="Times New Roman" w:eastAsia="MinionPro" w:cs="Times New Roman"/>
          <w:color w:val="auto"/>
          <w:kern w:val="0"/>
          <w:sz w:val="24"/>
          <w:szCs w:val="24"/>
          <w:lang w:val="en-US" w:eastAsia="zh-CN" w:bidi="ar"/>
        </w:rPr>
        <w:t>).  In the study by Frazier et al. (</w:t>
      </w:r>
      <w:r>
        <w:rPr>
          <w:rFonts w:hint="default" w:ascii="Times New Roman" w:hAnsi="Times New Roman" w:eastAsia="MinionPro" w:cs="Times New Roman"/>
          <w:color w:val="auto"/>
          <w:kern w:val="0"/>
          <w:sz w:val="24"/>
          <w:szCs w:val="24"/>
          <w:lang w:val="en-US" w:eastAsia="zh-CN" w:bidi="ar"/>
        </w:rPr>
        <w:t>2009</w:t>
      </w:r>
      <w:r>
        <w:rPr>
          <w:rFonts w:hint="default" w:ascii="Times New Roman" w:hAnsi="Times New Roman" w:eastAsia="MinionPro" w:cs="Times New Roman"/>
          <w:color w:val="auto"/>
          <w:kern w:val="0"/>
          <w:sz w:val="24"/>
          <w:szCs w:val="24"/>
          <w:lang w:val="en-US" w:eastAsia="zh-CN" w:bidi="ar"/>
        </w:rPr>
        <w:t xml:space="preserve">), it is not clear whether participants’ understanding of uniqueness, origin, or other factors led to participants’ responses because they were not asked to justify them. </w:t>
      </w:r>
    </w:p>
    <w:p w14:paraId="42A26BC6">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Young children have a nascent understanding that museums contain special objects. In what seems to be the only study conducted on children’s beliefs about museum worthi ness, Frazier and Gelman (</w:t>
      </w:r>
      <w:r>
        <w:rPr>
          <w:rFonts w:hint="default" w:ascii="Times New Roman" w:hAnsi="Times New Roman" w:eastAsia="MinionPro" w:cs="Times New Roman"/>
          <w:color w:val="auto"/>
          <w:kern w:val="0"/>
          <w:sz w:val="24"/>
          <w:szCs w:val="24"/>
          <w:lang w:val="en-US" w:eastAsia="zh-CN" w:bidi="ar"/>
        </w:rPr>
        <w:t>2009</w:t>
      </w:r>
      <w:r>
        <w:rPr>
          <w:rFonts w:hint="default" w:ascii="Times New Roman" w:hAnsi="Times New Roman" w:eastAsia="MinionPro" w:cs="Times New Roman"/>
          <w:color w:val="auto"/>
          <w:kern w:val="0"/>
          <w:sz w:val="24"/>
          <w:szCs w:val="24"/>
          <w:lang w:val="en-US" w:eastAsia="zh-CN" w:bidi="ar"/>
        </w:rPr>
        <w:t>) asked 4- to 10-year-olds whether a variety of authentic and inauthentic objects (presented as pairs of photographs) belonged in a museum. Preschool ers judged celebrity possessions (e.g., the U.S. president’s flag pin) as museum worthy, and inauthentic items (e.g., a brand new flag pin) as not museum worthy. Original creations (e.g., the very first teddy bear as opposed to a brand new teddy bear) were not judged as museum worthy until kindergarten age. Importantly, Frazier and Gelman (</w:t>
      </w:r>
      <w:r>
        <w:rPr>
          <w:rFonts w:hint="default" w:ascii="Times New Roman" w:hAnsi="Times New Roman" w:eastAsia="MinionPro" w:cs="Times New Roman"/>
          <w:color w:val="auto"/>
          <w:kern w:val="0"/>
          <w:sz w:val="24"/>
          <w:szCs w:val="24"/>
          <w:lang w:val="en-US" w:eastAsia="zh-CN" w:bidi="ar"/>
        </w:rPr>
        <w:t>2009</w:t>
      </w:r>
      <w:r>
        <w:rPr>
          <w:rFonts w:hint="default" w:ascii="Times New Roman" w:hAnsi="Times New Roman" w:eastAsia="MinionPro" w:cs="Times New Roman"/>
          <w:color w:val="auto"/>
          <w:kern w:val="0"/>
          <w:sz w:val="24"/>
          <w:szCs w:val="24"/>
          <w:lang w:val="en-US" w:eastAsia="zh-CN" w:bidi="ar"/>
        </w:rPr>
        <w:t xml:space="preserve">) made sure that these responses were not made on the basis of whether children would simply want to have the item. They also confirmed that children understood the purpose of a museum. </w:t>
      </w:r>
    </w:p>
    <w:p w14:paraId="6756CFF2">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When interpreting the results of both of the studies by Frazier et al. (</w:t>
      </w:r>
      <w:r>
        <w:rPr>
          <w:rFonts w:hint="default" w:ascii="Times New Roman" w:hAnsi="Times New Roman" w:eastAsia="MinionPro" w:cs="Times New Roman"/>
          <w:color w:val="auto"/>
          <w:kern w:val="0"/>
          <w:sz w:val="24"/>
          <w:szCs w:val="24"/>
          <w:lang w:val="en-US" w:eastAsia="zh-CN" w:bidi="ar"/>
        </w:rPr>
        <w:t>2009</w:t>
      </w:r>
      <w:r>
        <w:rPr>
          <w:rFonts w:hint="default" w:ascii="Times New Roman" w:hAnsi="Times New Roman" w:eastAsia="MinionPro" w:cs="Times New Roman"/>
          <w:color w:val="auto"/>
          <w:kern w:val="0"/>
          <w:sz w:val="24"/>
          <w:szCs w:val="24"/>
          <w:lang w:val="en-US" w:eastAsia="zh-CN" w:bidi="ar"/>
        </w:rPr>
        <w:t>), it is also important to bear in mind that they investigated participants’ perceptions of objects in a laboratory setting; therefore, it is not clear to what extent these responses would be made by actual museum visitors. Also, they did not ask participants to justify their decisions, meaning that we do not know to what extent perceptions of authenticity may have been important in making those judgments. This is an important issue because the yes/no nature of the question meant that there was a 50% probability that children answered correctly by chance. Furthermore, the studies focused primarily on artefacts, not natural specimens. As explained above, natural specimens are authentic by virtue of their origin in nature as opposed to being manufactured.</w:t>
      </w:r>
      <w:r>
        <w:rPr>
          <w:rFonts w:hint="default" w:ascii="Times New Roman" w:hAnsi="Times New Roman" w:eastAsia="MinionPro-Capt" w:cs="Times New Roman"/>
          <w:color w:val="auto"/>
          <w:kern w:val="0"/>
          <w:sz w:val="24"/>
          <w:szCs w:val="24"/>
          <w:lang w:val="en-US" w:eastAsia="zh-CN" w:bidi="ar"/>
        </w:rPr>
        <w:t xml:space="preserve"> </w:t>
      </w:r>
      <w:r>
        <w:rPr>
          <w:rFonts w:hint="default" w:ascii="Times New Roman" w:hAnsi="Times New Roman" w:eastAsia="MinionPro" w:cs="Times New Roman"/>
          <w:color w:val="auto"/>
          <w:kern w:val="0"/>
          <w:sz w:val="24"/>
          <w:szCs w:val="24"/>
          <w:lang w:val="en-US" w:eastAsia="zh-CN" w:bidi="ar"/>
        </w:rPr>
        <w:t xml:space="preserve">In addition, these studies asked participants about relatively unfamiliar objects; animals are familiar to children (Inagaki &amp; Hatano, </w:t>
      </w:r>
      <w:r>
        <w:rPr>
          <w:rFonts w:hint="default" w:ascii="Times New Roman" w:hAnsi="Times New Roman" w:eastAsia="MinionPro" w:cs="Times New Roman"/>
          <w:color w:val="auto"/>
          <w:kern w:val="0"/>
          <w:sz w:val="24"/>
          <w:szCs w:val="24"/>
          <w:lang w:val="en-US" w:eastAsia="zh-CN" w:bidi="ar"/>
        </w:rPr>
        <w:t>1996</w:t>
      </w:r>
      <w:r>
        <w:rPr>
          <w:rFonts w:hint="default" w:ascii="Times New Roman" w:hAnsi="Times New Roman" w:eastAsia="MinionPro" w:cs="Times New Roman"/>
          <w:color w:val="auto"/>
          <w:kern w:val="0"/>
          <w:sz w:val="24"/>
          <w:szCs w:val="24"/>
          <w:lang w:val="en-US" w:eastAsia="zh-CN" w:bidi="ar"/>
        </w:rPr>
        <w:t xml:space="preserve">) and it is likely that their understanding is more sophisticated when reasoning about familiar objects. Therefore, we still know little about visitors’ perception of the authenticity of natural specimens (animals) that are viewed during a natural history museum visit, nor how these are affected by age and context. </w:t>
      </w:r>
    </w:p>
    <w:p w14:paraId="0A0C7410">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Theoretically, there are two ways in which visitors may reason about taxidermied animals in terms of their museum worthiness and educational value. The first is related to their authentic, as opposed to artificial, nature. The origins of a taxidermied animal are in nature, not from a manufacturing process. A taxidermied animal provides a realistic and authentic presentation of a particular animal’s skin (Poliquin, </w:t>
      </w:r>
      <w:r>
        <w:rPr>
          <w:rFonts w:hint="default" w:ascii="Times New Roman" w:hAnsi="Times New Roman" w:eastAsia="MinionPro" w:cs="Times New Roman"/>
          <w:color w:val="auto"/>
          <w:kern w:val="0"/>
          <w:sz w:val="24"/>
          <w:szCs w:val="24"/>
          <w:lang w:val="en-US" w:eastAsia="zh-CN" w:bidi="ar"/>
        </w:rPr>
        <w:t>2008</w:t>
      </w:r>
      <w:r>
        <w:rPr>
          <w:rFonts w:hint="default" w:ascii="Times New Roman" w:hAnsi="Times New Roman" w:eastAsia="MinionPro" w:cs="Times New Roman"/>
          <w:color w:val="auto"/>
          <w:kern w:val="0"/>
          <w:sz w:val="24"/>
          <w:szCs w:val="24"/>
          <w:lang w:val="en-US" w:eastAsia="zh-CN" w:bidi="ar"/>
        </w:rPr>
        <w:t>) with many authentic features (usually with the exception of the eyes, which are replaced with glass). In other words, a taxi dermied animal has authentic properties owing to its natural origins. This can be contrasted with models of animals that are made from materials, such as wooden carvings, porcelain statues, or toys, which can be considered inauthentic because they were manufactured. The second concept that can be used to reason about the value of taxidermy, which makes it distinct from museum artifacts, involves the ontological distinction between the living and the nonliving whereby a taxidermied animal used to be alive but now it is dead. As noted by Poliquin (</w:t>
      </w:r>
      <w:r>
        <w:rPr>
          <w:rFonts w:hint="default" w:ascii="Times New Roman" w:hAnsi="Times New Roman" w:eastAsia="MinionPro" w:cs="Times New Roman"/>
          <w:color w:val="auto"/>
          <w:kern w:val="0"/>
          <w:sz w:val="24"/>
          <w:szCs w:val="24"/>
          <w:lang w:val="en-US" w:eastAsia="zh-CN" w:bidi="ar"/>
        </w:rPr>
        <w:t>2008</w:t>
      </w:r>
      <w:r>
        <w:rPr>
          <w:rFonts w:hint="default" w:ascii="Times New Roman" w:hAnsi="Times New Roman" w:eastAsia="MinionPro" w:cs="Times New Roman"/>
          <w:color w:val="auto"/>
          <w:kern w:val="0"/>
          <w:sz w:val="24"/>
          <w:szCs w:val="24"/>
          <w:lang w:val="en-US" w:eastAsia="zh-CN" w:bidi="ar"/>
        </w:rPr>
        <w:t xml:space="preserve">, p. 127) the “lifelike appearance” and “innate stillness” of taxidermy enables intimate inspection of physiological details of the living animal that would be difficult (if not impossible for the lay person) if the animal was still alive. </w:t>
      </w:r>
    </w:p>
    <w:p w14:paraId="4D29775C">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The ability to reason about the presence or absence of authentic versus artificial properties is fairly well established by the preschool years (Bunce &amp; Harris, </w:t>
      </w:r>
      <w:r>
        <w:rPr>
          <w:rFonts w:hint="default" w:ascii="Times New Roman" w:hAnsi="Times New Roman" w:eastAsia="MinionPro" w:cs="Times New Roman"/>
          <w:color w:val="auto"/>
          <w:kern w:val="0"/>
          <w:sz w:val="24"/>
          <w:szCs w:val="24"/>
          <w:lang w:val="en-US" w:eastAsia="zh-CN" w:bidi="ar"/>
        </w:rPr>
        <w:t>2008</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 w:cs="Times New Roman"/>
          <w:color w:val="auto"/>
          <w:kern w:val="0"/>
          <w:sz w:val="24"/>
          <w:szCs w:val="24"/>
          <w:lang w:val="en-US" w:eastAsia="zh-CN" w:bidi="ar"/>
        </w:rPr>
        <w:t>2013</w:t>
      </w:r>
      <w:r>
        <w:rPr>
          <w:rFonts w:hint="default" w:ascii="Times New Roman" w:hAnsi="Times New Roman" w:eastAsia="MinionPro" w:cs="Times New Roman"/>
          <w:color w:val="auto"/>
          <w:kern w:val="0"/>
          <w:sz w:val="24"/>
          <w:szCs w:val="24"/>
          <w:lang w:val="en-US" w:eastAsia="zh-CN" w:bidi="ar"/>
        </w:rPr>
        <w:t xml:space="preserve">; Flavell, Flavell, &amp; Green, </w:t>
      </w:r>
      <w:r>
        <w:rPr>
          <w:rFonts w:hint="default" w:ascii="Times New Roman" w:hAnsi="Times New Roman" w:eastAsia="MinionPro" w:cs="Times New Roman"/>
          <w:color w:val="auto"/>
          <w:kern w:val="0"/>
          <w:sz w:val="24"/>
          <w:szCs w:val="24"/>
          <w:lang w:val="en-US" w:eastAsia="zh-CN" w:bidi="ar"/>
        </w:rPr>
        <w:t>1987</w:t>
      </w:r>
      <w:r>
        <w:rPr>
          <w:rFonts w:hint="default" w:ascii="Times New Roman" w:hAnsi="Times New Roman" w:eastAsia="MinionPro" w:cs="Times New Roman"/>
          <w:color w:val="auto"/>
          <w:kern w:val="0"/>
          <w:sz w:val="24"/>
          <w:szCs w:val="24"/>
          <w:lang w:val="en-US" w:eastAsia="zh-CN" w:bidi="ar"/>
        </w:rPr>
        <w:t xml:space="preserve">; Harris &amp; Kavanaugh, </w:t>
      </w:r>
      <w:r>
        <w:rPr>
          <w:rFonts w:hint="default" w:ascii="Times New Roman" w:hAnsi="Times New Roman" w:eastAsia="MinionPro" w:cs="Times New Roman"/>
          <w:color w:val="auto"/>
          <w:kern w:val="0"/>
          <w:sz w:val="24"/>
          <w:szCs w:val="24"/>
          <w:lang w:val="en-US" w:eastAsia="zh-CN" w:bidi="ar"/>
        </w:rPr>
        <w:t>1993</w:t>
      </w:r>
      <w:r>
        <w:rPr>
          <w:rFonts w:hint="default" w:ascii="Times New Roman" w:hAnsi="Times New Roman" w:eastAsia="MinionPro" w:cs="Times New Roman"/>
          <w:color w:val="auto"/>
          <w:kern w:val="0"/>
          <w:sz w:val="24"/>
          <w:szCs w:val="24"/>
          <w:lang w:val="en-US" w:eastAsia="zh-CN" w:bidi="ar"/>
        </w:rPr>
        <w:t xml:space="preserve">; Moll &amp; Tomasello, </w:t>
      </w:r>
      <w:r>
        <w:rPr>
          <w:rFonts w:hint="default" w:ascii="Times New Roman" w:hAnsi="Times New Roman" w:eastAsia="MinionPro" w:cs="Times New Roman"/>
          <w:color w:val="auto"/>
          <w:kern w:val="0"/>
          <w:sz w:val="24"/>
          <w:szCs w:val="24"/>
          <w:lang w:val="en-US" w:eastAsia="zh-CN" w:bidi="ar"/>
        </w:rPr>
        <w:t>2012</w:t>
      </w:r>
      <w:r>
        <w:rPr>
          <w:rFonts w:hint="default" w:ascii="Times New Roman" w:hAnsi="Times New Roman" w:eastAsia="MinionPro" w:cs="Times New Roman"/>
          <w:color w:val="auto"/>
          <w:kern w:val="0"/>
          <w:sz w:val="24"/>
          <w:szCs w:val="24"/>
          <w:lang w:val="en-US" w:eastAsia="zh-CN" w:bidi="ar"/>
        </w:rPr>
        <w:t xml:space="preserve">; Woolley &amp; Wellman, </w:t>
      </w:r>
      <w:r>
        <w:rPr>
          <w:rFonts w:hint="default" w:ascii="Times New Roman" w:hAnsi="Times New Roman" w:eastAsia="MinionPro" w:cs="Times New Roman"/>
          <w:color w:val="auto"/>
          <w:kern w:val="0"/>
          <w:sz w:val="24"/>
          <w:szCs w:val="24"/>
          <w:lang w:val="en-US" w:eastAsia="zh-CN" w:bidi="ar"/>
        </w:rPr>
        <w:t>1990</w:t>
      </w:r>
      <w:r>
        <w:rPr>
          <w:rFonts w:hint="default" w:ascii="Times New Roman" w:hAnsi="Times New Roman" w:eastAsia="MinionPro" w:cs="Times New Roman"/>
          <w:color w:val="auto"/>
          <w:kern w:val="0"/>
          <w:sz w:val="24"/>
          <w:szCs w:val="24"/>
          <w:lang w:val="en-US" w:eastAsia="zh-CN" w:bidi="ar"/>
        </w:rPr>
        <w:t>). In Bunce and Harris (</w:t>
      </w:r>
      <w:r>
        <w:rPr>
          <w:rFonts w:hint="default" w:ascii="Times New Roman" w:hAnsi="Times New Roman" w:eastAsia="MinionPro" w:cs="Times New Roman"/>
          <w:color w:val="auto"/>
          <w:kern w:val="0"/>
          <w:sz w:val="24"/>
          <w:szCs w:val="24"/>
          <w:lang w:val="en-US" w:eastAsia="zh-CN" w:bidi="ar"/>
        </w:rPr>
        <w:t>2013</w:t>
      </w:r>
      <w:r>
        <w:rPr>
          <w:rFonts w:hint="default" w:ascii="Times New Roman" w:hAnsi="Times New Roman" w:eastAsia="MinionPro" w:cs="Times New Roman"/>
          <w:color w:val="auto"/>
          <w:kern w:val="0"/>
          <w:sz w:val="24"/>
          <w:szCs w:val="24"/>
          <w:lang w:val="en-US" w:eastAsia="zh-CN" w:bidi="ar"/>
        </w:rPr>
        <w:t xml:space="preserve">) 3- to 5-year-olds understood that toy Lego animals, such as a toy sheep, were not authentic because they are “only made of blocks” and they have “not got the right wool.” However, there was an improvement with age whereby performance of the older children was more accurate than the younger children. In a second experiment, children’s understanding improved when the Lego animals and real animals were presented together as a pair of photographs (e.g., a Lego sheep was presented alongside a real sheep). This manipulation dramatically increased the number of children who referred to the presence of authentic properties of the real sheep and the absence of authentic properties of the Lego sheep. Taken together, these findings suggest that preschoolers have a good understanding of authenticity in relation to real animals and toys, but this improves when judgments of authentic and inauthentic items are made relative to one another. </w:t>
      </w:r>
    </w:p>
    <w:p w14:paraId="43B4C25C">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The ability to reason about the distinction between the living and the dead is also present in the preschool years. Preschoolers attribute biological properties including growing and breathing to animate entities, such as animals, but not to inanimate entities, such as chairs (Greif, Nelson, Keil, &amp; Gutierrez, </w:t>
      </w:r>
      <w:r>
        <w:rPr>
          <w:rFonts w:hint="default" w:ascii="Times New Roman" w:hAnsi="Times New Roman" w:eastAsia="MinionPro" w:cs="Times New Roman"/>
          <w:color w:val="auto"/>
          <w:kern w:val="0"/>
          <w:sz w:val="24"/>
          <w:szCs w:val="24"/>
          <w:lang w:val="en-US" w:eastAsia="zh-CN" w:bidi="ar"/>
        </w:rPr>
        <w:t>2006</w:t>
      </w:r>
      <w:r>
        <w:rPr>
          <w:rFonts w:hint="default" w:ascii="Times New Roman" w:hAnsi="Times New Roman" w:eastAsia="MinionPro" w:cs="Times New Roman"/>
          <w:color w:val="auto"/>
          <w:kern w:val="0"/>
          <w:sz w:val="24"/>
          <w:szCs w:val="24"/>
          <w:lang w:val="en-US" w:eastAsia="zh-CN" w:bidi="ar"/>
        </w:rPr>
        <w:t xml:space="preserve">). They also know that internal parts, such as bones and a brain, are suitable for animals but not machines (Gottfried &amp; Gelman, </w:t>
      </w:r>
      <w:r>
        <w:rPr>
          <w:rFonts w:hint="default" w:ascii="Times New Roman" w:hAnsi="Times New Roman" w:eastAsia="MinionPro" w:cs="Times New Roman"/>
          <w:color w:val="auto"/>
          <w:kern w:val="0"/>
          <w:sz w:val="24"/>
          <w:szCs w:val="24"/>
          <w:lang w:val="en-US" w:eastAsia="zh-CN" w:bidi="ar"/>
        </w:rPr>
        <w:t>2005</w:t>
      </w:r>
      <w:r>
        <w:rPr>
          <w:rFonts w:hint="default" w:ascii="Times New Roman" w:hAnsi="Times New Roman" w:eastAsia="MinionPro" w:cs="Times New Roman"/>
          <w:color w:val="auto"/>
          <w:kern w:val="0"/>
          <w:sz w:val="24"/>
          <w:szCs w:val="24"/>
          <w:lang w:val="en-US" w:eastAsia="zh-CN" w:bidi="ar"/>
        </w:rPr>
        <w:t xml:space="preserve">; Scaife &amp; van Duuren, </w:t>
      </w:r>
      <w:r>
        <w:rPr>
          <w:rFonts w:hint="default" w:ascii="Times New Roman" w:hAnsi="Times New Roman" w:eastAsia="MinionPro" w:cs="Times New Roman"/>
          <w:color w:val="auto"/>
          <w:kern w:val="0"/>
          <w:sz w:val="24"/>
          <w:szCs w:val="24"/>
          <w:lang w:val="en-US" w:eastAsia="zh-CN" w:bidi="ar"/>
        </w:rPr>
        <w:t>1995</w:t>
      </w:r>
      <w:r>
        <w:rPr>
          <w:rFonts w:hint="default" w:ascii="Times New Roman" w:hAnsi="Times New Roman" w:eastAsia="MinionPro" w:cs="Times New Roman"/>
          <w:color w:val="auto"/>
          <w:kern w:val="0"/>
          <w:sz w:val="24"/>
          <w:szCs w:val="24"/>
          <w:lang w:val="en-US" w:eastAsia="zh-CN" w:bidi="ar"/>
        </w:rPr>
        <w:t>). From around the age of 6 years, children develop an understanding that life is supported by the presence of internal organs: Jaakkola and Slaughter (</w:t>
      </w:r>
      <w:r>
        <w:rPr>
          <w:rFonts w:hint="default" w:ascii="Times New Roman" w:hAnsi="Times New Roman" w:eastAsia="MinionPro" w:cs="Times New Roman"/>
          <w:color w:val="auto"/>
          <w:kern w:val="0"/>
          <w:sz w:val="24"/>
          <w:szCs w:val="24"/>
          <w:lang w:val="en-US" w:eastAsia="zh-CN" w:bidi="ar"/>
        </w:rPr>
        <w:t>2002</w:t>
      </w:r>
      <w:r>
        <w:rPr>
          <w:rFonts w:hint="default" w:ascii="Times New Roman" w:hAnsi="Times New Roman" w:eastAsia="MinionPro" w:cs="Times New Roman"/>
          <w:color w:val="auto"/>
          <w:kern w:val="0"/>
          <w:sz w:val="24"/>
          <w:szCs w:val="24"/>
          <w:lang w:val="en-US" w:eastAsia="zh-CN" w:bidi="ar"/>
        </w:rPr>
        <w:t xml:space="preserve">) found that 92% of 6-year-olds, but only 33% of 4-year-olds, made spontaneous reference to life or staying alive when asked about the purpose of a heart. Around the age of 6 years, children also begin to understand that death is irreversible and leads to the cessation of bodily functions (Bering &amp; Bjorklund, </w:t>
      </w:r>
      <w:r>
        <w:rPr>
          <w:rFonts w:hint="default" w:ascii="Times New Roman" w:hAnsi="Times New Roman" w:eastAsia="MinionPro" w:cs="Times New Roman"/>
          <w:color w:val="auto"/>
          <w:kern w:val="0"/>
          <w:sz w:val="24"/>
          <w:szCs w:val="24"/>
          <w:lang w:val="en-US" w:eastAsia="zh-CN" w:bidi="ar"/>
        </w:rPr>
        <w:t>2004</w:t>
      </w:r>
      <w:r>
        <w:rPr>
          <w:rFonts w:hint="default" w:ascii="Times New Roman" w:hAnsi="Times New Roman" w:eastAsia="MinionPro" w:cs="Times New Roman"/>
          <w:color w:val="auto"/>
          <w:kern w:val="0"/>
          <w:sz w:val="24"/>
          <w:szCs w:val="24"/>
          <w:lang w:val="en-US" w:eastAsia="zh-CN" w:bidi="ar"/>
        </w:rPr>
        <w:t xml:space="preserve">). Taken together, these studies demonstrate that even quite young children have some understanding of the living/nonliving distinction and this evidence suggests that this may contribute to their understanding of the museum-worthiness and educational value of taxidermy. </w:t>
      </w:r>
    </w:p>
    <w:p w14:paraId="018CEC00">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In summary, the current study assessed the extent to which 4- to 10-year-olds and adults understood the value of museum taxidermy in terms of whether it belongs in a museum and can help visitors learn about animals. Specifically, visitors were asked whether and why a taxidermied rabbit belongs in a museum and could help visitors learn about rabbits. In line with previous research, the first hypothesis was that there would be an increase with age in the number of visitors who judged the taxidermied rabbit as museum worthy and educationally valuable. It was also expected that visitors would explain their decisions on the basis of the presence or absence of authentic properties or on the basis of the living/non-living distinction. </w:t>
      </w:r>
    </w:p>
    <w:p w14:paraId="6AA3FAB6">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In the current study, the taxidermied rabbit was presented in one of three independent conditions. The first two conditions reflected the way in which taxidermy is curated in museums, either as a touchable object or inside an exhibition case. In a third experimental condition, visitors were presented with the taxidermied rabbit alongside a realistic soft toy rabbit following the pair presentation method used in Bunce and Harris (</w:t>
      </w:r>
      <w:r>
        <w:rPr>
          <w:rFonts w:hint="default" w:ascii="Times New Roman" w:hAnsi="Times New Roman" w:eastAsia="MinionPro" w:cs="Times New Roman"/>
          <w:color w:val="auto"/>
          <w:kern w:val="0"/>
          <w:sz w:val="24"/>
          <w:szCs w:val="24"/>
          <w:lang w:val="en-US" w:eastAsia="zh-CN" w:bidi="ar"/>
        </w:rPr>
        <w:t>2013</w:t>
      </w:r>
      <w:r>
        <w:rPr>
          <w:rFonts w:hint="default" w:ascii="Times New Roman" w:hAnsi="Times New Roman" w:eastAsia="MinionPro" w:cs="Times New Roman"/>
          <w:color w:val="auto"/>
          <w:kern w:val="0"/>
          <w:sz w:val="24"/>
          <w:szCs w:val="24"/>
          <w:lang w:val="en-US" w:eastAsia="zh-CN" w:bidi="ar"/>
        </w:rPr>
        <w:t>; see Exp. 2). This condition was included to test the second hypothesis that the presence of the toy rabbit would serve to increase the number of children who judged the taxidermied rabbit as museum worthy and educational on the basis of authenticity.</w:t>
      </w:r>
    </w:p>
    <w:p w14:paraId="40DCF20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54FF2331">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705B7004">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4C89854C">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153D526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691A529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7CE075B3">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0049CB06">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p>
    <w:p w14:paraId="0ADE4741">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p>
    <w:p w14:paraId="042A7C24">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p>
    <w:p w14:paraId="1621A7EE">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r>
        <w:rPr>
          <w:rFonts w:hint="default" w:ascii="Times New Roman" w:hAnsi="Times New Roman" w:eastAsia="MinionPro" w:cs="Times New Roman"/>
          <w:b/>
          <w:bCs/>
          <w:color w:val="auto"/>
          <w:kern w:val="0"/>
          <w:sz w:val="24"/>
          <w:szCs w:val="24"/>
          <w:lang w:val="en-US" w:eastAsia="zh-CN"/>
        </w:rPr>
        <w:t>CHAPTER TWO</w:t>
      </w:r>
    </w:p>
    <w:p w14:paraId="0FEC8BC9">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r>
        <w:rPr>
          <w:rFonts w:hint="default" w:ascii="Times New Roman" w:hAnsi="Times New Roman" w:eastAsia="MinionPro" w:cs="Times New Roman"/>
          <w:b/>
          <w:bCs/>
          <w:color w:val="auto"/>
          <w:kern w:val="0"/>
          <w:sz w:val="24"/>
          <w:szCs w:val="24"/>
          <w:lang w:val="en-US" w:eastAsia="zh-CN"/>
        </w:rPr>
        <w:t>MATERIALS AND METHODS</w:t>
      </w:r>
    </w:p>
    <w:p w14:paraId="18B14323">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olor w:val="auto"/>
          <w:kern w:val="0"/>
          <w:sz w:val="24"/>
          <w:szCs w:val="24"/>
          <w:lang w:val="en-US" w:eastAsia="zh-CN"/>
        </w:rPr>
      </w:pPr>
      <w:r>
        <w:rPr>
          <w:rFonts w:hint="default" w:ascii="Times New Roman" w:hAnsi="Times New Roman" w:eastAsia="MinionPro"/>
          <w:color w:val="auto"/>
          <w:kern w:val="0"/>
          <w:sz w:val="24"/>
          <w:szCs w:val="24"/>
          <w:lang w:val="en-US" w:eastAsia="zh-CN"/>
        </w:rPr>
        <w:t>Tom rabbit in the college premise which was procured for the dry preservation. The skin was cut on the ventral surface and eviscerated immediately, peeling the skin, fur, feathers intact on the body. then it was washed thoroughly with running water till blood stains were removed. later, the inner surface of the body cavity was rubbed with five parts of sodium chloride with one part of thymol and left overnight. this acted as antifungal preservative. next day the specimen was immersed in 5% formal saline for 1 month. later the specimen was removed, drained and placed to a desired posture which was possible as the specimen was still wet. the abdominal openings were sutured. before suture dry absorbent cotton was placed inside the thoraco abdominal cavity to bring the shape of belly. finally the specimen was mounted and allowed to dry [fig.1].</w:t>
      </w:r>
    </w:p>
    <w:p w14:paraId="7355D2F0">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s="Times New Roman"/>
          <w:color w:val="auto"/>
          <w:kern w:val="0"/>
          <w:sz w:val="24"/>
          <w:szCs w:val="24"/>
          <w:lang w:val="en-US" w:eastAsia="zh-CN"/>
        </w:rPr>
      </w:pPr>
      <w:r>
        <w:rPr>
          <w:rFonts w:hint="default" w:ascii="Times New Roman" w:hAnsi="Times New Roman" w:eastAsia="MinionPro"/>
          <w:color w:val="auto"/>
          <w:kern w:val="0"/>
          <w:sz w:val="24"/>
          <w:szCs w:val="24"/>
          <w:lang w:val="en-US" w:eastAsia="zh-CN"/>
        </w:rPr>
        <w:t>Ten feet long king cobra died in 200 in Bannerghatta National park, Bengaluru, India. This was eviscerated by incising ventral abdomen. was longitudinally the body with skin and skeleton was thoroughly washed. later the specimen was placed in 10% formal saline for 6 months. then the snake was removed and the empty abdominal cavity was stuffed with absorbent wet cotton with sodium chloride and thymol crystal. intermittent sutures were applied all through the length. then the snake was placed on a table with a presentable posture by using flexible wires and allowed to dry [fig.2].</w:t>
      </w:r>
    </w:p>
    <w:p w14:paraId="764D380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4DA23E87">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305963C0">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588A726F">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5B907F5A">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300C2A0D">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45B59C6E">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2815C3E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rPr>
      </w:pPr>
    </w:p>
    <w:p w14:paraId="69E93F45">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r>
        <w:rPr>
          <w:rFonts w:hint="default" w:ascii="Times New Roman" w:hAnsi="Times New Roman" w:eastAsia="MinionPro" w:cs="Times New Roman"/>
          <w:b/>
          <w:bCs/>
          <w:color w:val="auto"/>
          <w:kern w:val="0"/>
          <w:sz w:val="24"/>
          <w:szCs w:val="24"/>
          <w:lang w:val="en-US" w:eastAsia="zh-CN"/>
        </w:rPr>
        <w:t>CHAPTER THREE</w:t>
      </w:r>
    </w:p>
    <w:p w14:paraId="116261DF">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rPr>
      </w:pPr>
      <w:r>
        <w:rPr>
          <w:rFonts w:hint="default" w:ascii="Times New Roman" w:hAnsi="Times New Roman" w:eastAsia="MinionPro" w:cs="Times New Roman"/>
          <w:b/>
          <w:bCs/>
          <w:color w:val="auto"/>
          <w:kern w:val="0"/>
          <w:sz w:val="24"/>
          <w:szCs w:val="24"/>
          <w:lang w:val="en-US" w:eastAsia="zh-CN"/>
        </w:rPr>
        <w:t>(RESULTS)</w:t>
      </w:r>
    </w:p>
    <w:p w14:paraId="233A466F">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olor w:val="auto"/>
          <w:kern w:val="0"/>
          <w:sz w:val="24"/>
          <w:szCs w:val="24"/>
          <w:lang w:val="en-US" w:eastAsia="zh-CN"/>
        </w:rPr>
      </w:pPr>
      <w:r>
        <w:rPr>
          <w:rFonts w:hint="default" w:ascii="Times New Roman" w:hAnsi="Times New Roman" w:eastAsia="MinionPro"/>
          <w:color w:val="auto"/>
          <w:kern w:val="0"/>
          <w:sz w:val="24"/>
          <w:szCs w:val="24"/>
          <w:lang w:val="en-US" w:eastAsia="zh-CN"/>
        </w:rPr>
        <w:t>The above method involves cheap chemicals, equipment and the time required were also minimum. the specimens prepared by this innovative method demonstrate all the anatomical features with desired posture. not only the skin, the fur of the animal specimens and feathers of exotic birds remain intact without any fungal and ecto parasites [fig. 1,2].</w:t>
      </w:r>
    </w:p>
    <w:p w14:paraId="7AE91A3B">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4DEE1C07">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7D185B5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7F75464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15D6842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5DB9BAC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02C92166">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34585D37">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67CF1AE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09B1F567">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6A5F5A1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6BEF0A06">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5E77404C">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29CFC796">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0CA28690">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1600842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153F265C">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23ED4A6B">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72D199B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olor w:val="auto"/>
          <w:kern w:val="0"/>
          <w:sz w:val="24"/>
          <w:szCs w:val="24"/>
          <w:lang w:val="en-US" w:eastAsia="zh-CN"/>
        </w:rPr>
      </w:pPr>
    </w:p>
    <w:p w14:paraId="4BE70B0A">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b/>
          <w:bCs/>
          <w:color w:val="auto"/>
          <w:kern w:val="0"/>
          <w:sz w:val="24"/>
          <w:szCs w:val="24"/>
          <w:lang w:val="en-US" w:eastAsia="zh-CN"/>
        </w:rPr>
      </w:pPr>
      <w:r>
        <w:rPr>
          <w:rFonts w:hint="default" w:ascii="Times New Roman" w:hAnsi="Times New Roman" w:eastAsia="MinionPro"/>
          <w:b/>
          <w:bCs/>
          <w:color w:val="auto"/>
          <w:kern w:val="0"/>
          <w:sz w:val="24"/>
          <w:szCs w:val="24"/>
          <w:lang w:val="en-US" w:eastAsia="zh-CN"/>
        </w:rPr>
        <w:t>CHAPTER FOUR</w:t>
      </w:r>
    </w:p>
    <w:p w14:paraId="5F3720B4">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b/>
          <w:bCs/>
          <w:color w:val="auto"/>
          <w:kern w:val="0"/>
          <w:sz w:val="24"/>
          <w:szCs w:val="24"/>
          <w:lang w:val="en-US" w:eastAsia="zh-CN"/>
        </w:rPr>
      </w:pPr>
      <w:r>
        <w:rPr>
          <w:rFonts w:hint="default" w:ascii="Times New Roman" w:hAnsi="Times New Roman" w:eastAsia="MinionPro"/>
          <w:b/>
          <w:bCs/>
          <w:color w:val="auto"/>
          <w:kern w:val="0"/>
          <w:sz w:val="24"/>
          <w:szCs w:val="24"/>
          <w:lang w:val="en-US" w:eastAsia="zh-CN"/>
        </w:rPr>
        <w:t>DISCUSSION</w:t>
      </w:r>
    </w:p>
    <w:p w14:paraId="5403AE99">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olor w:val="auto"/>
          <w:kern w:val="0"/>
          <w:sz w:val="24"/>
          <w:szCs w:val="24"/>
          <w:lang w:val="en-US" w:eastAsia="zh-CN"/>
        </w:rPr>
        <w:t>Although taxidermy gives better anatomical grounding, it involves lot of processes. The taxidermist and the curator have to realize the form and cues of beauty with good anatomical background and knowledge. The word taxidermy was derived from the greek word ‘taxis’ meaning fixing and derma means skin. It involves record keeping i.e. the measurement of tail, body length, sex, mounting position with sketch on paper. next step involves skinning. the skin is completely removed and preserved with carbon tetrachloride, alcohol and sodium arsenite paste. The third step involves mounting paper body with the help of plaster of paris mold is prepared along with the help of nails and wires and finally a temporary base is prepared with the help of skin. the finishing is done with colored glasses eyes, etc. The taxidermal technique helps in preservation of shape, color, attitude and expression of body itself as seen in live condition. but the entire procedure involves patience, chemicals and much practice. Some of the procedure are patented.</w:t>
      </w:r>
    </w:p>
    <w:p w14:paraId="31F21C61">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7B43409E">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54F8C87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7FFD2D2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7329B010">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680C688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082312AF">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489C91A3">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41C7CF4C">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53C1DDB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7D1DCB9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5D65B75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53FCFBDA">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eastAsia="MinionPro" w:cs="Times New Roman"/>
          <w:b/>
          <w:bCs/>
          <w:color w:val="auto"/>
          <w:kern w:val="0"/>
          <w:sz w:val="24"/>
          <w:szCs w:val="24"/>
          <w:lang w:val="en-US" w:eastAsia="zh-CN" w:bidi="ar"/>
        </w:rPr>
      </w:pPr>
      <w:r>
        <w:rPr>
          <w:rFonts w:hint="default" w:ascii="Times New Roman" w:hAnsi="Times New Roman" w:eastAsia="MinionPro" w:cs="Times New Roman"/>
          <w:b/>
          <w:bCs/>
          <w:color w:val="auto"/>
          <w:kern w:val="0"/>
          <w:sz w:val="24"/>
          <w:szCs w:val="24"/>
          <w:lang w:val="en-US" w:eastAsia="zh-CN" w:bidi="ar"/>
        </w:rPr>
        <w:t>CONCLUSION</w:t>
      </w:r>
    </w:p>
    <w:p w14:paraId="049952C7">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The present novel technique has many advantage over other methods, it is simple, cost effective and gives all the details of anatomy. This adds educational craft and museum use where life like appearance is desire.</w:t>
      </w:r>
    </w:p>
    <w:p w14:paraId="7BB7643E">
      <w:pPr>
        <w:keepNext w:val="0"/>
        <w:keepLines w:val="0"/>
        <w:pageBreakBefore w:val="0"/>
        <w:widowControl/>
        <w:suppressLineNumbers w:val="0"/>
        <w:kinsoku/>
        <w:wordWrap/>
        <w:overflowPunct/>
        <w:topLinePunct w:val="0"/>
        <w:autoSpaceDE/>
        <w:autoSpaceDN/>
        <w:bidi w:val="0"/>
        <w:adjustRightInd/>
        <w:snapToGrid/>
        <w:spacing w:after="40" w:line="360" w:lineRule="auto"/>
        <w:ind w:firstLine="720" w:firstLineChars="0"/>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The current study demonstrated that children have an emerging understanding of the value of taxidermy in terms of its status as a museum-worthy and educational biofact from the age of 4 years. This understanding develops substantially during early childhood such that by the age of 8 years, children understand that taxidermy is valuable by virtue of the ability to study details of the animal close up, its status as a previously living animal, and its authentic properties. The current study also tested the possibility that young children’s appreciation of the value of museum taxidermy could be improved by presenting it alongside a soft toy version of the taxidermied animal. This manipulation was highly successful: Substantially more children demonstrated an understanding of the value and authentic nature of taxidermy when it was presented in comparison to the toy. The results of this study thus suggest that museum professionals should consider including toy animals as part of their educational offering to help young children engage with and learn from animal taxidermy. By doing so, practitioners stand to foster awe-inspiring reactions to their natural history collections that make for a meaningful museum visit.</w:t>
      </w:r>
    </w:p>
    <w:p w14:paraId="604C98AD">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p>
    <w:p w14:paraId="60EA161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lang w:val="en-US"/>
        </w:rPr>
      </w:pPr>
    </w:p>
    <w:p w14:paraId="0A88ED84">
      <w:pPr>
        <w:keepNext w:val="0"/>
        <w:keepLines w:val="0"/>
        <w:pageBreakBefore w:val="0"/>
        <w:widowControl/>
        <w:numPr>
          <w:ilvl w:val="0"/>
          <w:numId w:val="0"/>
        </w:numPr>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74F7E428">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5E32624D">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19C2C48A">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6A6C745F">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477A2F27">
      <w:pPr>
        <w:keepNext w:val="0"/>
        <w:keepLines w:val="0"/>
        <w:pageBreakBefore w:val="0"/>
        <w:widowControl/>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p>
    <w:p w14:paraId="137C1ACA">
      <w:pPr>
        <w:keepNext w:val="0"/>
        <w:keepLines w:val="0"/>
        <w:pageBreakBefore w:val="0"/>
        <w:widowControl/>
        <w:suppressLineNumbers w:val="0"/>
        <w:kinsoku/>
        <w:wordWrap/>
        <w:overflowPunct/>
        <w:topLinePunct w:val="0"/>
        <w:autoSpaceDE/>
        <w:autoSpaceDN/>
        <w:bidi w:val="0"/>
        <w:adjustRightInd/>
        <w:snapToGrid/>
        <w:spacing w:after="40" w:line="360" w:lineRule="auto"/>
        <w:jc w:val="center"/>
        <w:textAlignment w:val="auto"/>
        <w:rPr>
          <w:rFonts w:hint="default" w:ascii="Times New Roman" w:hAnsi="Times New Roman" w:cs="Times New Roman"/>
          <w:color w:val="auto"/>
          <w:sz w:val="24"/>
          <w:szCs w:val="24"/>
        </w:rPr>
      </w:pPr>
      <w:r>
        <w:rPr>
          <w:rFonts w:hint="default" w:ascii="Times New Roman" w:hAnsi="Times New Roman" w:eastAsia="MyriadPro-Bold" w:cs="Times New Roman"/>
          <w:b/>
          <w:bCs/>
          <w:color w:val="auto"/>
          <w:kern w:val="0"/>
          <w:sz w:val="24"/>
          <w:szCs w:val="24"/>
          <w:lang w:val="en-US" w:eastAsia="zh-CN" w:bidi="ar"/>
        </w:rPr>
        <w:t>REFERENCES</w:t>
      </w:r>
    </w:p>
    <w:p w14:paraId="1BE224E1">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Bering, J. M., &amp; Bjorklund, D. F. (2004). The natural emergence of reasoning about the </w:t>
      </w:r>
      <w:r>
        <w:rPr>
          <w:rFonts w:hint="default" w:ascii="Times New Roman" w:hAnsi="Times New Roman" w:eastAsia="MinionPro" w:cs="Times New Roman"/>
          <w:color w:val="auto"/>
          <w:kern w:val="0"/>
          <w:sz w:val="24"/>
          <w:szCs w:val="24"/>
          <w:lang w:val="en-US" w:eastAsia="zh-CN" w:bidi="ar"/>
        </w:rPr>
        <w:tab/>
        <w:t xml:space="preserve">afterlife as a developmental regularity. </w:t>
      </w:r>
      <w:r>
        <w:rPr>
          <w:rFonts w:hint="default" w:ascii="Times New Roman" w:hAnsi="Times New Roman" w:eastAsia="MinionPro-It" w:cs="Times New Roman"/>
          <w:i/>
          <w:iCs/>
          <w:color w:val="auto"/>
          <w:kern w:val="0"/>
          <w:sz w:val="24"/>
          <w:szCs w:val="24"/>
          <w:lang w:val="en-US" w:eastAsia="zh-CN" w:bidi="ar"/>
        </w:rPr>
        <w:t>Developmental 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40</w:t>
      </w:r>
      <w:r>
        <w:rPr>
          <w:rFonts w:hint="default" w:ascii="Times New Roman" w:hAnsi="Times New Roman" w:eastAsia="MinionPro" w:cs="Times New Roman"/>
          <w:color w:val="auto"/>
          <w:kern w:val="0"/>
          <w:sz w:val="24"/>
          <w:szCs w:val="24"/>
          <w:lang w:val="en-US" w:eastAsia="zh-CN" w:bidi="ar"/>
        </w:rPr>
        <w:t xml:space="preserve">, 217–223. </w:t>
      </w:r>
      <w:r>
        <w:rPr>
          <w:rFonts w:hint="default" w:ascii="Times New Roman" w:hAnsi="Times New Roman" w:eastAsia="MinionPro" w:cs="Times New Roman"/>
          <w:color w:val="auto"/>
          <w:kern w:val="0"/>
          <w:sz w:val="24"/>
          <w:szCs w:val="24"/>
          <w:lang w:val="en-US" w:eastAsia="zh-CN" w:bidi="ar"/>
        </w:rPr>
        <w:tab/>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 xml:space="preserve">10.1037/0012-1649.40.2.217 </w:t>
      </w:r>
    </w:p>
    <w:p w14:paraId="06E11813">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Bunce, L. (2016a). Appreciation of authenticity promotes curiosity: Implications for </w:t>
      </w:r>
      <w:r>
        <w:rPr>
          <w:rFonts w:hint="default" w:ascii="Times New Roman" w:hAnsi="Times New Roman" w:eastAsia="MinionPro" w:cs="Times New Roman"/>
          <w:color w:val="auto"/>
          <w:kern w:val="0"/>
          <w:sz w:val="24"/>
          <w:szCs w:val="24"/>
          <w:lang w:val="en-US" w:eastAsia="zh-CN" w:bidi="ar"/>
        </w:rPr>
        <w:tab/>
        <w:t>object-</w:t>
      </w:r>
      <w:r>
        <w:rPr>
          <w:rFonts w:hint="default" w:ascii="Times New Roman" w:hAnsi="Times New Roman" w:eastAsia="MinionPro" w:cs="Times New Roman"/>
          <w:color w:val="auto"/>
          <w:kern w:val="0"/>
          <w:sz w:val="24"/>
          <w:szCs w:val="24"/>
          <w:lang w:val="en-US" w:eastAsia="zh-CN" w:bidi="ar"/>
        </w:rPr>
        <w:tab/>
        <w:t xml:space="preserve">based learning in museums. </w:t>
      </w:r>
      <w:r>
        <w:rPr>
          <w:rFonts w:hint="default" w:ascii="Times New Roman" w:hAnsi="Times New Roman" w:eastAsia="MinionPro-It" w:cs="Times New Roman"/>
          <w:i/>
          <w:iCs/>
          <w:color w:val="auto"/>
          <w:kern w:val="0"/>
          <w:sz w:val="24"/>
          <w:szCs w:val="24"/>
          <w:lang w:val="en-US" w:eastAsia="zh-CN" w:bidi="ar"/>
        </w:rPr>
        <w:t>Journal of Museum Education</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41</w:t>
      </w:r>
      <w:r>
        <w:rPr>
          <w:rFonts w:hint="default" w:ascii="Times New Roman" w:hAnsi="Times New Roman" w:eastAsia="MinionPro" w:cs="Times New Roman"/>
          <w:color w:val="auto"/>
          <w:kern w:val="0"/>
          <w:sz w:val="24"/>
          <w:szCs w:val="24"/>
          <w:lang w:val="en-US" w:eastAsia="zh-CN" w:bidi="ar"/>
        </w:rPr>
        <w:t xml:space="preserve">, 230–239. </w:t>
      </w:r>
      <w:r>
        <w:rPr>
          <w:rFonts w:hint="default" w:ascii="Times New Roman" w:hAnsi="Times New Roman" w:eastAsia="MinionPro" w:cs="Times New Roman"/>
          <w:color w:val="auto"/>
          <w:kern w:val="0"/>
          <w:sz w:val="24"/>
          <w:szCs w:val="24"/>
          <w:lang w:val="en-US" w:eastAsia="zh-CN" w:bidi="ar"/>
        </w:rPr>
        <w:tab/>
        <w:t xml:space="preserve">doi:10.1080/10598650.2016.1193312 </w:t>
      </w:r>
    </w:p>
    <w:p w14:paraId="3DFBC22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Bunce, L. (2016b). </w:t>
      </w:r>
      <w:r>
        <w:rPr>
          <w:rFonts w:hint="default" w:ascii="Times New Roman" w:hAnsi="Times New Roman" w:eastAsia="MinionPro-It" w:cs="Times New Roman"/>
          <w:i/>
          <w:iCs/>
          <w:color w:val="auto"/>
          <w:kern w:val="0"/>
          <w:sz w:val="24"/>
          <w:szCs w:val="24"/>
          <w:lang w:val="en-US" w:eastAsia="zh-CN" w:bidi="ar"/>
        </w:rPr>
        <w:t xml:space="preserve">Still life? Children’s understanding of the distinctions between life </w:t>
      </w:r>
      <w:r>
        <w:rPr>
          <w:rFonts w:hint="default" w:ascii="Times New Roman" w:hAnsi="Times New Roman" w:eastAsia="MinionPro-It" w:cs="Times New Roman"/>
          <w:i/>
          <w:iCs/>
          <w:color w:val="auto"/>
          <w:kern w:val="0"/>
          <w:sz w:val="24"/>
          <w:szCs w:val="24"/>
          <w:lang w:val="en-US" w:eastAsia="zh-CN" w:bidi="ar"/>
        </w:rPr>
        <w:tab/>
        <w:t xml:space="preserve">and </w:t>
      </w:r>
      <w:r>
        <w:rPr>
          <w:rFonts w:hint="default" w:ascii="Times New Roman" w:hAnsi="Times New Roman" w:eastAsia="MinionPro-It" w:cs="Times New Roman"/>
          <w:i/>
          <w:iCs/>
          <w:color w:val="auto"/>
          <w:kern w:val="0"/>
          <w:sz w:val="24"/>
          <w:szCs w:val="24"/>
          <w:lang w:val="en-US" w:eastAsia="zh-CN" w:bidi="ar"/>
        </w:rPr>
        <w:tab/>
        <w:t>death and the authentic versus artificial as applied to animal taxidermy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 w:cs="Times New Roman"/>
          <w:color w:val="auto"/>
          <w:kern w:val="0"/>
          <w:sz w:val="24"/>
          <w:szCs w:val="24"/>
          <w:lang w:val="en-US" w:eastAsia="zh-CN" w:bidi="ar"/>
        </w:rPr>
        <w:tab/>
        <w:t xml:space="preserve">Manuscript </w:t>
      </w:r>
      <w:r>
        <w:rPr>
          <w:rFonts w:hint="default" w:ascii="Times New Roman" w:hAnsi="Times New Roman" w:eastAsia="MinionPro" w:cs="Times New Roman"/>
          <w:color w:val="auto"/>
          <w:kern w:val="0"/>
          <w:sz w:val="24"/>
          <w:szCs w:val="24"/>
          <w:lang w:val="en-US" w:eastAsia="zh-CN" w:bidi="ar"/>
        </w:rPr>
        <w:tab/>
        <w:t xml:space="preserve">submitted for publication. </w:t>
      </w:r>
    </w:p>
    <w:p w14:paraId="5E9BC880">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Bunce, L., &amp; Harris, M. (2008). I saw the real Father Christmas! Children’s everyday </w:t>
      </w:r>
      <w:r>
        <w:rPr>
          <w:rFonts w:hint="default" w:ascii="Times New Roman" w:hAnsi="Times New Roman" w:eastAsia="MinionPro" w:cs="Times New Roman"/>
          <w:color w:val="auto"/>
          <w:kern w:val="0"/>
          <w:sz w:val="24"/>
          <w:szCs w:val="24"/>
          <w:lang w:val="en-US" w:eastAsia="zh-CN" w:bidi="ar"/>
        </w:rPr>
        <w:tab/>
        <w:t xml:space="preserve">uses of  the words real, really, and pretend. </w:t>
      </w:r>
      <w:r>
        <w:rPr>
          <w:rFonts w:hint="default" w:ascii="Times New Roman" w:hAnsi="Times New Roman" w:eastAsia="MinionPro-It" w:cs="Times New Roman"/>
          <w:i/>
          <w:iCs/>
          <w:color w:val="auto"/>
          <w:kern w:val="0"/>
          <w:sz w:val="24"/>
          <w:szCs w:val="24"/>
          <w:lang w:val="en-US" w:eastAsia="zh-CN" w:bidi="ar"/>
        </w:rPr>
        <w:t xml:space="preserve">British Journal of  Developmental </w:t>
      </w:r>
      <w:r>
        <w:rPr>
          <w:rFonts w:hint="default" w:ascii="Times New Roman" w:hAnsi="Times New Roman" w:eastAsia="MinionPro-It" w:cs="Times New Roman"/>
          <w:i/>
          <w:iCs/>
          <w:color w:val="auto"/>
          <w:kern w:val="0"/>
          <w:sz w:val="24"/>
          <w:szCs w:val="24"/>
          <w:lang w:val="en-US" w:eastAsia="zh-CN" w:bidi="ar"/>
        </w:rPr>
        <w:tab/>
        <w:t>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26</w:t>
      </w:r>
      <w:r>
        <w:rPr>
          <w:rFonts w:hint="default" w:ascii="Times New Roman" w:hAnsi="Times New Roman" w:eastAsia="MinionPro" w:cs="Times New Roman"/>
          <w:color w:val="auto"/>
          <w:kern w:val="0"/>
          <w:sz w:val="24"/>
          <w:szCs w:val="24"/>
          <w:lang w:val="en-US" w:eastAsia="zh-CN" w:bidi="ar"/>
        </w:rPr>
        <w:t>, 445–455. doi:</w:t>
      </w:r>
      <w:r>
        <w:rPr>
          <w:rFonts w:hint="default" w:ascii="Times New Roman" w:hAnsi="Times New Roman" w:eastAsia="MinionPro" w:cs="Times New Roman"/>
          <w:color w:val="auto"/>
          <w:kern w:val="0"/>
          <w:sz w:val="24"/>
          <w:szCs w:val="24"/>
          <w:lang w:val="en-US" w:eastAsia="zh-CN" w:bidi="ar"/>
        </w:rPr>
        <w:t xml:space="preserve">10.1348/026151007X258733 </w:t>
      </w:r>
    </w:p>
    <w:p w14:paraId="0969CCE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Bunce, L., &amp; Harris, M. (2013). “He hasn’t got the real toolkit!” Young children’s </w:t>
      </w:r>
      <w:r>
        <w:rPr>
          <w:rFonts w:hint="default" w:ascii="Times New Roman" w:hAnsi="Times New Roman" w:eastAsia="MinionPro" w:cs="Times New Roman"/>
          <w:color w:val="auto"/>
          <w:kern w:val="0"/>
          <w:sz w:val="24"/>
          <w:szCs w:val="24"/>
          <w:lang w:val="en-US" w:eastAsia="zh-CN" w:bidi="ar"/>
        </w:rPr>
        <w:tab/>
        <w:t xml:space="preserve">reasoning about real/not-real status. </w:t>
      </w:r>
      <w:r>
        <w:rPr>
          <w:rFonts w:hint="default" w:ascii="Times New Roman" w:hAnsi="Times New Roman" w:eastAsia="MinionPro-It" w:cs="Times New Roman"/>
          <w:i/>
          <w:iCs/>
          <w:color w:val="auto"/>
          <w:kern w:val="0"/>
          <w:sz w:val="24"/>
          <w:szCs w:val="24"/>
          <w:lang w:val="en-US" w:eastAsia="zh-CN" w:bidi="ar"/>
        </w:rPr>
        <w:t>Developmental 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49</w:t>
      </w:r>
      <w:r>
        <w:rPr>
          <w:rFonts w:hint="default" w:ascii="Times New Roman" w:hAnsi="Times New Roman" w:eastAsia="MinionPro" w:cs="Times New Roman"/>
          <w:color w:val="auto"/>
          <w:kern w:val="0"/>
          <w:sz w:val="24"/>
          <w:szCs w:val="24"/>
          <w:lang w:val="en-US" w:eastAsia="zh-CN" w:bidi="ar"/>
        </w:rPr>
        <w:t xml:space="preserve">, 1494–1504. </w:t>
      </w:r>
      <w:r>
        <w:rPr>
          <w:rFonts w:hint="default" w:ascii="Times New Roman" w:hAnsi="Times New Roman" w:eastAsia="MinionPro" w:cs="Times New Roman"/>
          <w:color w:val="auto"/>
          <w:kern w:val="0"/>
          <w:sz w:val="24"/>
          <w:szCs w:val="24"/>
          <w:lang w:val="en-US" w:eastAsia="zh-CN" w:bidi="ar"/>
        </w:rPr>
        <w:tab/>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 xml:space="preserve">10.1037/a0030608 </w:t>
      </w:r>
    </w:p>
    <w:p w14:paraId="557E14A3">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Dillon, J., DeWitt, J., Pegram, E., Irwin, B., Crowley, K., Haydon, R., Xanthoudaki, M. </w:t>
      </w:r>
      <w:r>
        <w:rPr>
          <w:rFonts w:hint="default" w:ascii="Times New Roman" w:hAnsi="Times New Roman" w:eastAsia="MinionPro" w:cs="Times New Roman"/>
          <w:color w:val="auto"/>
          <w:kern w:val="0"/>
          <w:sz w:val="24"/>
          <w:szCs w:val="24"/>
          <w:lang w:val="en-US" w:eastAsia="zh-CN" w:bidi="ar"/>
        </w:rPr>
        <w:tab/>
        <w:t xml:space="preserve">(2016). </w:t>
      </w:r>
      <w:r>
        <w:rPr>
          <w:rFonts w:hint="default" w:ascii="Times New Roman" w:hAnsi="Times New Roman" w:eastAsia="MinionPro-It" w:cs="Times New Roman"/>
          <w:i/>
          <w:iCs/>
          <w:color w:val="auto"/>
          <w:kern w:val="0"/>
          <w:sz w:val="24"/>
          <w:szCs w:val="24"/>
          <w:lang w:val="en-US" w:eastAsia="zh-CN" w:bidi="ar"/>
        </w:rPr>
        <w:t xml:space="preserve">A learning research agenda for natural history institutions </w:t>
      </w:r>
      <w:r>
        <w:rPr>
          <w:rFonts w:hint="default" w:ascii="Times New Roman" w:hAnsi="Times New Roman" w:eastAsia="MinionPro" w:cs="Times New Roman"/>
          <w:color w:val="auto"/>
          <w:kern w:val="0"/>
          <w:sz w:val="24"/>
          <w:szCs w:val="24"/>
          <w:lang w:val="en-US" w:eastAsia="zh-CN" w:bidi="ar"/>
        </w:rPr>
        <w:t xml:space="preserve">(technical </w:t>
      </w:r>
      <w:r>
        <w:rPr>
          <w:rFonts w:hint="default" w:ascii="Times New Roman" w:hAnsi="Times New Roman" w:eastAsia="MinionPro" w:cs="Times New Roman"/>
          <w:color w:val="auto"/>
          <w:kern w:val="0"/>
          <w:sz w:val="24"/>
          <w:szCs w:val="24"/>
          <w:lang w:val="en-US" w:eastAsia="zh-CN" w:bidi="ar"/>
        </w:rPr>
        <w:tab/>
        <w:t xml:space="preserve">report). London, UK: Natural History Museum. </w:t>
      </w:r>
    </w:p>
    <w:p w14:paraId="7B4C1AA6">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Dutton, D. (2003). Authenticity in art. In J. Levinson (Ed.), </w:t>
      </w:r>
      <w:r>
        <w:rPr>
          <w:rFonts w:hint="default" w:ascii="Times New Roman" w:hAnsi="Times New Roman" w:eastAsia="MinionPro-It" w:cs="Times New Roman"/>
          <w:i/>
          <w:iCs/>
          <w:color w:val="auto"/>
          <w:kern w:val="0"/>
          <w:sz w:val="24"/>
          <w:szCs w:val="24"/>
          <w:lang w:val="en-US" w:eastAsia="zh-CN" w:bidi="ar"/>
        </w:rPr>
        <w:t xml:space="preserve">The Oxford handbook of </w:t>
      </w:r>
      <w:r>
        <w:rPr>
          <w:rFonts w:hint="default" w:ascii="Times New Roman" w:hAnsi="Times New Roman" w:eastAsia="MinionPro-It" w:cs="Times New Roman"/>
          <w:i/>
          <w:iCs/>
          <w:color w:val="auto"/>
          <w:kern w:val="0"/>
          <w:sz w:val="24"/>
          <w:szCs w:val="24"/>
          <w:lang w:val="en-US" w:eastAsia="zh-CN" w:bidi="ar"/>
        </w:rPr>
        <w:tab/>
        <w:t xml:space="preserve">aesthetics </w:t>
      </w:r>
      <w:r>
        <w:rPr>
          <w:rFonts w:hint="default" w:ascii="Times New Roman" w:hAnsi="Times New Roman" w:eastAsia="MinionPro" w:cs="Times New Roman"/>
          <w:color w:val="auto"/>
          <w:kern w:val="0"/>
          <w:sz w:val="24"/>
          <w:szCs w:val="24"/>
          <w:lang w:val="en-US" w:eastAsia="zh-CN" w:bidi="ar"/>
        </w:rPr>
        <w:t xml:space="preserve">(pp. 258–274). New York, NY: Oxford University Press. </w:t>
      </w:r>
    </w:p>
    <w:p w14:paraId="3EB2C51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Eberbach, C., &amp; Crowley, K. (2005). From living to virtual: Learning from museum </w:t>
      </w:r>
      <w:r>
        <w:rPr>
          <w:rFonts w:hint="default" w:ascii="Times New Roman" w:hAnsi="Times New Roman" w:eastAsia="MinionPro" w:cs="Times New Roman"/>
          <w:color w:val="auto"/>
          <w:kern w:val="0"/>
          <w:sz w:val="24"/>
          <w:szCs w:val="24"/>
          <w:lang w:val="en-US" w:eastAsia="zh-CN" w:bidi="ar"/>
        </w:rPr>
        <w:tab/>
        <w:t xml:space="preserve">objects. </w:t>
      </w:r>
      <w:r>
        <w:rPr>
          <w:rFonts w:hint="default" w:ascii="Times New Roman" w:hAnsi="Times New Roman" w:eastAsia="MinionPro-It" w:cs="Times New Roman"/>
          <w:i/>
          <w:iCs/>
          <w:color w:val="auto"/>
          <w:kern w:val="0"/>
          <w:sz w:val="24"/>
          <w:szCs w:val="24"/>
          <w:lang w:val="en-US" w:eastAsia="zh-CN" w:bidi="ar"/>
        </w:rPr>
        <w:t>Curator: The Museum Journal</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48</w:t>
      </w:r>
      <w:r>
        <w:rPr>
          <w:rFonts w:hint="default" w:ascii="Times New Roman" w:hAnsi="Times New Roman" w:eastAsia="MinionPro" w:cs="Times New Roman"/>
          <w:color w:val="auto"/>
          <w:kern w:val="0"/>
          <w:sz w:val="24"/>
          <w:szCs w:val="24"/>
          <w:lang w:val="en-US" w:eastAsia="zh-CN" w:bidi="ar"/>
        </w:rPr>
        <w:t>, 317–338. doi:</w:t>
      </w:r>
      <w:r>
        <w:rPr>
          <w:rFonts w:hint="default" w:ascii="Times New Roman" w:hAnsi="Times New Roman" w:eastAsia="MinionPro" w:cs="Times New Roman"/>
          <w:color w:val="auto"/>
          <w:kern w:val="0"/>
          <w:sz w:val="24"/>
          <w:szCs w:val="24"/>
          <w:lang w:val="en-US" w:eastAsia="zh-CN" w:bidi="ar"/>
        </w:rPr>
        <w:t>10.1111/j.2151-</w:t>
      </w:r>
      <w:r>
        <w:rPr>
          <w:rFonts w:hint="default" w:ascii="Times New Roman" w:hAnsi="Times New Roman" w:eastAsia="MinionPro" w:cs="Times New Roman"/>
          <w:color w:val="auto"/>
          <w:kern w:val="0"/>
          <w:sz w:val="24"/>
          <w:szCs w:val="24"/>
          <w:lang w:val="en-US" w:eastAsia="zh-CN" w:bidi="ar"/>
        </w:rPr>
        <w:tab/>
        <w:t/>
      </w:r>
      <w:r>
        <w:rPr>
          <w:rFonts w:hint="default" w:ascii="Times New Roman" w:hAnsi="Times New Roman" w:eastAsia="MinionPro" w:cs="Times New Roman"/>
          <w:color w:val="auto"/>
          <w:kern w:val="0"/>
          <w:sz w:val="24"/>
          <w:szCs w:val="24"/>
          <w:lang w:val="en-US" w:eastAsia="zh-CN" w:bidi="ar"/>
        </w:rPr>
        <w:tab/>
        <w:t xml:space="preserve">6952.2005.tb00175.x </w:t>
      </w:r>
    </w:p>
    <w:p w14:paraId="508D454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Evans, E. M., Mull, M. S., &amp; Poling, D. A. (2002). The authentic object? A child’s-eye </w:t>
      </w:r>
      <w:r>
        <w:rPr>
          <w:rFonts w:hint="default" w:ascii="Times New Roman" w:hAnsi="Times New Roman" w:eastAsia="MinionPro" w:cs="Times New Roman"/>
          <w:color w:val="auto"/>
          <w:kern w:val="0"/>
          <w:sz w:val="24"/>
          <w:szCs w:val="24"/>
          <w:lang w:val="en-US" w:eastAsia="zh-CN" w:bidi="ar"/>
        </w:rPr>
        <w:tab/>
        <w:t xml:space="preserve">view. </w:t>
      </w:r>
      <w:r>
        <w:rPr>
          <w:rFonts w:hint="default" w:ascii="Times New Roman" w:hAnsi="Times New Roman" w:eastAsia="MinionPro" w:cs="Times New Roman"/>
          <w:color w:val="auto"/>
          <w:kern w:val="0"/>
          <w:sz w:val="24"/>
          <w:szCs w:val="24"/>
          <w:lang w:val="en-US" w:eastAsia="zh-CN" w:bidi="ar"/>
        </w:rPr>
        <w:tab/>
        <w:t xml:space="preserve">In S. G. Paris (Ed,) </w:t>
      </w:r>
      <w:r>
        <w:rPr>
          <w:rFonts w:hint="default" w:ascii="Times New Roman" w:hAnsi="Times New Roman" w:eastAsia="MinionPro-It" w:cs="Times New Roman"/>
          <w:i/>
          <w:iCs/>
          <w:color w:val="auto"/>
          <w:kern w:val="0"/>
          <w:sz w:val="24"/>
          <w:szCs w:val="24"/>
          <w:lang w:val="en-US" w:eastAsia="zh-CN" w:bidi="ar"/>
        </w:rPr>
        <w:t xml:space="preserve">Perspectives on object-centered learning in museums </w:t>
      </w:r>
      <w:r>
        <w:rPr>
          <w:rFonts w:hint="default" w:ascii="Times New Roman" w:hAnsi="Times New Roman" w:eastAsia="MinionPro-It" w:cs="Times New Roman"/>
          <w:i/>
          <w:iCs/>
          <w:color w:val="auto"/>
          <w:kern w:val="0"/>
          <w:sz w:val="24"/>
          <w:szCs w:val="24"/>
          <w:lang w:val="en-US" w:eastAsia="zh-CN" w:bidi="ar"/>
        </w:rPr>
        <w:tab/>
      </w:r>
      <w:r>
        <w:rPr>
          <w:rFonts w:hint="default" w:ascii="Times New Roman" w:hAnsi="Times New Roman" w:eastAsia="MinionPro" w:cs="Times New Roman"/>
          <w:color w:val="auto"/>
          <w:kern w:val="0"/>
          <w:sz w:val="24"/>
          <w:szCs w:val="24"/>
          <w:lang w:val="en-US" w:eastAsia="zh-CN" w:bidi="ar"/>
        </w:rPr>
        <w:t xml:space="preserve">(pp. 55–77). </w:t>
      </w:r>
      <w:r>
        <w:rPr>
          <w:rFonts w:hint="default" w:ascii="Times New Roman" w:hAnsi="Times New Roman" w:eastAsia="MinionPro" w:cs="Times New Roman"/>
          <w:color w:val="auto"/>
          <w:kern w:val="0"/>
          <w:sz w:val="24"/>
          <w:szCs w:val="24"/>
          <w:lang w:val="en-US" w:eastAsia="zh-CN" w:bidi="ar"/>
        </w:rPr>
        <w:tab/>
        <w:t xml:space="preserve">Mahwah, NJ: Erlbaum. </w:t>
      </w:r>
    </w:p>
    <w:p w14:paraId="30BB03B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Flavell, J. H., Flavell, E. R., &amp; Green, F. L. (1987). Young children’s knowledge about </w:t>
      </w:r>
      <w:r>
        <w:rPr>
          <w:rFonts w:hint="default" w:ascii="Times New Roman" w:hAnsi="Times New Roman" w:eastAsia="MinionPro" w:cs="Times New Roman"/>
          <w:color w:val="auto"/>
          <w:kern w:val="0"/>
          <w:sz w:val="24"/>
          <w:szCs w:val="24"/>
          <w:lang w:val="en-US" w:eastAsia="zh-CN" w:bidi="ar"/>
        </w:rPr>
        <w:tab/>
        <w:t xml:space="preserve">the apparent-real and pretend-real distinctions. </w:t>
      </w:r>
      <w:r>
        <w:rPr>
          <w:rFonts w:hint="default" w:ascii="Times New Roman" w:hAnsi="Times New Roman" w:eastAsia="MinionPro-It" w:cs="Times New Roman"/>
          <w:i/>
          <w:iCs/>
          <w:color w:val="auto"/>
          <w:kern w:val="0"/>
          <w:sz w:val="24"/>
          <w:szCs w:val="24"/>
          <w:lang w:val="en-US" w:eastAsia="zh-CN" w:bidi="ar"/>
        </w:rPr>
        <w:t>Developmental 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23</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 w:cs="Times New Roman"/>
          <w:color w:val="auto"/>
          <w:kern w:val="0"/>
          <w:sz w:val="24"/>
          <w:szCs w:val="24"/>
          <w:lang w:val="en-US" w:eastAsia="zh-CN" w:bidi="ar"/>
        </w:rPr>
        <w:tab/>
        <w:t xml:space="preserve">816–822. doi:apa.org/journals/dev/23/6/816. </w:t>
      </w:r>
    </w:p>
    <w:p w14:paraId="75BD19B3">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Frazier, B. N., &amp; Gelman, S. A. (2009). Developmental changes in judgments of </w:t>
      </w:r>
      <w:r>
        <w:rPr>
          <w:rFonts w:hint="default" w:ascii="Times New Roman" w:hAnsi="Times New Roman" w:eastAsia="MinionPro" w:cs="Times New Roman"/>
          <w:color w:val="auto"/>
          <w:kern w:val="0"/>
          <w:sz w:val="24"/>
          <w:szCs w:val="24"/>
          <w:lang w:val="en-US" w:eastAsia="zh-CN" w:bidi="ar"/>
        </w:rPr>
        <w:tab/>
        <w:t xml:space="preserve">authentic objects. </w:t>
      </w:r>
      <w:r>
        <w:rPr>
          <w:rFonts w:hint="default" w:ascii="Times New Roman" w:hAnsi="Times New Roman" w:eastAsia="MinionPro-It" w:cs="Times New Roman"/>
          <w:i/>
          <w:iCs/>
          <w:color w:val="auto"/>
          <w:kern w:val="0"/>
          <w:sz w:val="24"/>
          <w:szCs w:val="24"/>
          <w:lang w:val="en-US" w:eastAsia="zh-CN" w:bidi="ar"/>
        </w:rPr>
        <w:t>Cog</w:t>
      </w:r>
      <w:r>
        <w:rPr>
          <w:rFonts w:hint="default" w:ascii="Times New Roman" w:hAnsi="Times New Roman" w:eastAsia="MinionPro-It" w:cs="Times New Roman"/>
          <w:i/>
          <w:iCs/>
          <w:color w:val="auto"/>
          <w:kern w:val="0"/>
          <w:sz w:val="24"/>
          <w:szCs w:val="24"/>
          <w:lang w:val="en-US" w:eastAsia="zh-CN" w:bidi="ar"/>
        </w:rPr>
        <w:t/>
      </w:r>
      <w:r>
        <w:rPr>
          <w:rFonts w:hint="default" w:ascii="Times New Roman" w:hAnsi="Times New Roman" w:eastAsia="MinionPro-It" w:cs="Times New Roman"/>
          <w:i/>
          <w:iCs/>
          <w:color w:val="auto"/>
          <w:kern w:val="0"/>
          <w:sz w:val="24"/>
          <w:szCs w:val="24"/>
          <w:lang w:val="en-US" w:eastAsia="zh-CN" w:bidi="ar"/>
        </w:rPr>
        <w:t>nitive Development</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24</w:t>
      </w:r>
      <w:r>
        <w:rPr>
          <w:rFonts w:hint="default" w:ascii="Times New Roman" w:hAnsi="Times New Roman" w:eastAsia="MinionPro" w:cs="Times New Roman"/>
          <w:color w:val="auto"/>
          <w:kern w:val="0"/>
          <w:sz w:val="24"/>
          <w:szCs w:val="24"/>
          <w:lang w:val="en-US" w:eastAsia="zh-CN" w:bidi="ar"/>
        </w:rPr>
        <w:t xml:space="preserve">, 284–292.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 xml:space="preserve">10.1016/j.cogdev.2009.06.003 </w:t>
      </w:r>
    </w:p>
    <w:p w14:paraId="396AC158">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Frazier, B. N., Gelman, S. A., Wilson, A., &amp; Hood, B. (2009). Picasso paintings, moon </w:t>
      </w:r>
      <w:r>
        <w:rPr>
          <w:rFonts w:hint="default" w:ascii="Times New Roman" w:hAnsi="Times New Roman" w:eastAsia="MinionPro" w:cs="Times New Roman"/>
          <w:color w:val="auto"/>
          <w:kern w:val="0"/>
          <w:sz w:val="24"/>
          <w:szCs w:val="24"/>
          <w:lang w:val="en-US" w:eastAsia="zh-CN" w:bidi="ar"/>
        </w:rPr>
        <w:tab/>
        <w:t xml:space="preserve">rocks, </w:t>
      </w:r>
      <w:r>
        <w:rPr>
          <w:rFonts w:hint="default" w:ascii="Times New Roman" w:hAnsi="Times New Roman" w:eastAsia="MinionPro" w:cs="Times New Roman"/>
          <w:color w:val="auto"/>
          <w:kern w:val="0"/>
          <w:sz w:val="24"/>
          <w:szCs w:val="24"/>
          <w:lang w:val="en-US" w:eastAsia="zh-CN" w:bidi="ar"/>
        </w:rPr>
        <w:tab/>
        <w:t>and hand</w:t>
      </w:r>
      <w:r>
        <w:rPr>
          <w:rFonts w:hint="default" w:ascii="Times New Roman" w:hAnsi="Times New Roman" w:eastAsia="MinionPro" w:cs="Times New Roman"/>
          <w:color w:val="auto"/>
          <w:kern w:val="0"/>
          <w:sz w:val="24"/>
          <w:szCs w:val="24"/>
          <w:lang w:val="en-US" w:eastAsia="zh-CN" w:bidi="ar"/>
        </w:rPr>
        <w:t/>
      </w:r>
      <w:r>
        <w:rPr>
          <w:rFonts w:hint="default" w:ascii="Times New Roman" w:hAnsi="Times New Roman" w:eastAsia="MinionPro" w:cs="Times New Roman"/>
          <w:color w:val="auto"/>
          <w:kern w:val="0"/>
          <w:sz w:val="24"/>
          <w:szCs w:val="24"/>
          <w:lang w:val="en-US" w:eastAsia="zh-CN" w:bidi="ar"/>
        </w:rPr>
        <w:t xml:space="preserve">written Beatles lyrics: Adults’ evaluations of authentic objects. </w:t>
      </w:r>
      <w:r>
        <w:rPr>
          <w:rFonts w:hint="default" w:ascii="Times New Roman" w:hAnsi="Times New Roman" w:eastAsia="MinionPro" w:cs="Times New Roman"/>
          <w:color w:val="auto"/>
          <w:kern w:val="0"/>
          <w:sz w:val="24"/>
          <w:szCs w:val="24"/>
          <w:lang w:val="en-US" w:eastAsia="zh-CN" w:bidi="ar"/>
        </w:rPr>
        <w:tab/>
      </w:r>
      <w:r>
        <w:rPr>
          <w:rFonts w:hint="default" w:ascii="Times New Roman" w:hAnsi="Times New Roman" w:eastAsia="MinionPro-It" w:cs="Times New Roman"/>
          <w:i/>
          <w:iCs/>
          <w:color w:val="auto"/>
          <w:kern w:val="0"/>
          <w:sz w:val="24"/>
          <w:szCs w:val="24"/>
          <w:lang w:val="en-US" w:eastAsia="zh-CN" w:bidi="ar"/>
        </w:rPr>
        <w:t>Journal of Cognition and Culture</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9</w:t>
      </w:r>
      <w:r>
        <w:rPr>
          <w:rFonts w:hint="default" w:ascii="Times New Roman" w:hAnsi="Times New Roman" w:eastAsia="MinionPro" w:cs="Times New Roman"/>
          <w:color w:val="auto"/>
          <w:kern w:val="0"/>
          <w:sz w:val="24"/>
          <w:szCs w:val="24"/>
          <w:lang w:val="en-US" w:eastAsia="zh-CN" w:bidi="ar"/>
        </w:rPr>
        <w:t>, 1–14. doi:</w:t>
      </w:r>
      <w:r>
        <w:rPr>
          <w:rFonts w:hint="default" w:ascii="Times New Roman" w:hAnsi="Times New Roman" w:eastAsia="MinionPro" w:cs="Times New Roman"/>
          <w:color w:val="auto"/>
          <w:kern w:val="0"/>
          <w:sz w:val="24"/>
          <w:szCs w:val="24"/>
          <w:lang w:val="en-US" w:eastAsia="zh-CN" w:bidi="ar"/>
        </w:rPr>
        <w:t xml:space="preserve">10.1163/156853709X414601 </w:t>
      </w:r>
    </w:p>
    <w:p w14:paraId="5E5BEDA7">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Gjersoe, N. L., Newman, G.E., Chituc, V., &amp; Hood, B. (2014). Individualism and the </w:t>
      </w:r>
      <w:r>
        <w:rPr>
          <w:rFonts w:hint="default" w:ascii="Times New Roman" w:hAnsi="Times New Roman" w:eastAsia="MinionPro" w:cs="Times New Roman"/>
          <w:color w:val="auto"/>
          <w:kern w:val="0"/>
          <w:sz w:val="24"/>
          <w:szCs w:val="24"/>
          <w:lang w:val="en-US" w:eastAsia="zh-CN" w:bidi="ar"/>
        </w:rPr>
        <w:tab/>
        <w:t>extended</w:t>
      </w:r>
      <w:r>
        <w:rPr>
          <w:rFonts w:hint="default" w:ascii="Times New Roman" w:hAnsi="Times New Roman" w:eastAsia="MinionPro" w:cs="Times New Roman"/>
          <w:color w:val="auto"/>
          <w:kern w:val="0"/>
          <w:sz w:val="24"/>
          <w:szCs w:val="24"/>
          <w:lang w:val="en-US" w:eastAsia="zh-CN" w:bidi="ar"/>
        </w:rPr>
        <w:t/>
      </w:r>
      <w:r>
        <w:rPr>
          <w:rFonts w:hint="default" w:ascii="Times New Roman" w:hAnsi="Times New Roman" w:eastAsia="MinionPro" w:cs="Times New Roman"/>
          <w:color w:val="auto"/>
          <w:kern w:val="0"/>
          <w:sz w:val="24"/>
          <w:szCs w:val="24"/>
          <w:lang w:val="en-US" w:eastAsia="zh-CN" w:bidi="ar"/>
        </w:rPr>
        <w:t xml:space="preserve">self: Cross-cultural differences in the valuation of authentic objects. </w:t>
      </w:r>
      <w:r>
        <w:rPr>
          <w:rFonts w:hint="default" w:ascii="Times New Roman" w:hAnsi="Times New Roman" w:eastAsia="MinionPro" w:cs="Times New Roman"/>
          <w:color w:val="auto"/>
          <w:kern w:val="0"/>
          <w:sz w:val="24"/>
          <w:szCs w:val="24"/>
          <w:lang w:val="en-US" w:eastAsia="zh-CN" w:bidi="ar"/>
        </w:rPr>
        <w:tab/>
      </w:r>
      <w:r>
        <w:rPr>
          <w:rFonts w:hint="default" w:ascii="Times New Roman" w:hAnsi="Times New Roman" w:eastAsia="MinionPro-It" w:cs="Times New Roman"/>
          <w:i/>
          <w:iCs/>
          <w:color w:val="auto"/>
          <w:kern w:val="0"/>
          <w:sz w:val="24"/>
          <w:szCs w:val="24"/>
          <w:lang w:val="en-US" w:eastAsia="zh-CN" w:bidi="ar"/>
        </w:rPr>
        <w:t xml:space="preserve">PLoS </w:t>
      </w:r>
      <w:r>
        <w:rPr>
          <w:rFonts w:hint="default" w:ascii="Times New Roman" w:hAnsi="Times New Roman" w:eastAsia="MinionPro-It" w:cs="Times New Roman"/>
          <w:i/>
          <w:iCs/>
          <w:color w:val="auto"/>
          <w:kern w:val="0"/>
          <w:sz w:val="24"/>
          <w:szCs w:val="24"/>
          <w:lang w:val="en-US" w:eastAsia="zh-CN" w:bidi="ar"/>
        </w:rPr>
        <w:tab/>
        <w:t>ONE</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9</w:t>
      </w:r>
      <w:r>
        <w:rPr>
          <w:rFonts w:hint="default" w:ascii="Times New Roman" w:hAnsi="Times New Roman" w:eastAsia="MinionPro" w:cs="Times New Roman"/>
          <w:color w:val="auto"/>
          <w:kern w:val="0"/>
          <w:sz w:val="24"/>
          <w:szCs w:val="24"/>
          <w:lang w:val="en-US" w:eastAsia="zh-CN" w:bidi="ar"/>
        </w:rPr>
        <w:t>, e90787. doi:</w:t>
      </w:r>
      <w:r>
        <w:rPr>
          <w:rFonts w:hint="default" w:ascii="Times New Roman" w:hAnsi="Times New Roman" w:eastAsia="MinionPro" w:cs="Times New Roman"/>
          <w:color w:val="auto"/>
          <w:kern w:val="0"/>
          <w:sz w:val="24"/>
          <w:szCs w:val="24"/>
          <w:lang w:val="en-US" w:eastAsia="zh-CN" w:bidi="ar"/>
        </w:rPr>
        <w:t xml:space="preserve">10.1371/journal.pone.0090787 </w:t>
      </w:r>
    </w:p>
    <w:p w14:paraId="37570F3A">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Gottfried, G. M., &amp; Gelman, S. A. (2005). Developing domain-specific causal-</w:t>
      </w:r>
      <w:r>
        <w:rPr>
          <w:rFonts w:hint="default" w:ascii="Times New Roman" w:hAnsi="Times New Roman" w:eastAsia="MinionPro" w:cs="Times New Roman"/>
          <w:color w:val="auto"/>
          <w:kern w:val="0"/>
          <w:sz w:val="24"/>
          <w:szCs w:val="24"/>
          <w:lang w:val="en-US" w:eastAsia="zh-CN" w:bidi="ar"/>
        </w:rPr>
        <w:tab/>
        <w:t xml:space="preserve">explanatory </w:t>
      </w:r>
      <w:r>
        <w:rPr>
          <w:rFonts w:hint="default" w:ascii="Times New Roman" w:hAnsi="Times New Roman" w:eastAsia="MinionPro" w:cs="Times New Roman"/>
          <w:color w:val="auto"/>
          <w:kern w:val="0"/>
          <w:sz w:val="24"/>
          <w:szCs w:val="24"/>
          <w:lang w:val="en-US" w:eastAsia="zh-CN" w:bidi="ar"/>
        </w:rPr>
        <w:tab/>
        <w:t xml:space="preserve">frame works: The role of insides and immanence. </w:t>
      </w:r>
      <w:r>
        <w:rPr>
          <w:rFonts w:hint="default" w:ascii="Times New Roman" w:hAnsi="Times New Roman" w:eastAsia="MinionPro-It" w:cs="Times New Roman"/>
          <w:i/>
          <w:iCs/>
          <w:color w:val="auto"/>
          <w:kern w:val="0"/>
          <w:sz w:val="24"/>
          <w:szCs w:val="24"/>
          <w:lang w:val="en-US" w:eastAsia="zh-CN" w:bidi="ar"/>
        </w:rPr>
        <w:t xml:space="preserve">Cognitive </w:t>
      </w:r>
      <w:r>
        <w:rPr>
          <w:rFonts w:hint="default" w:ascii="Times New Roman" w:hAnsi="Times New Roman" w:eastAsia="MinionPro-It" w:cs="Times New Roman"/>
          <w:i/>
          <w:iCs/>
          <w:color w:val="auto"/>
          <w:kern w:val="0"/>
          <w:sz w:val="24"/>
          <w:szCs w:val="24"/>
          <w:lang w:val="en-US" w:eastAsia="zh-CN" w:bidi="ar"/>
        </w:rPr>
        <w:tab/>
        <w:t>Development</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20</w:t>
      </w:r>
      <w:r>
        <w:rPr>
          <w:rFonts w:hint="default" w:ascii="Times New Roman" w:hAnsi="Times New Roman" w:eastAsia="MinionPro" w:cs="Times New Roman"/>
          <w:color w:val="auto"/>
          <w:kern w:val="0"/>
          <w:sz w:val="24"/>
          <w:szCs w:val="24"/>
          <w:lang w:val="en-US" w:eastAsia="zh-CN" w:bidi="ar"/>
        </w:rPr>
        <w:t xml:space="preserve">(1), </w:t>
      </w:r>
      <w:r>
        <w:rPr>
          <w:rFonts w:hint="default" w:ascii="Times New Roman" w:hAnsi="Times New Roman" w:eastAsia="MinionPro" w:cs="Times New Roman"/>
          <w:color w:val="auto"/>
          <w:kern w:val="0"/>
          <w:sz w:val="24"/>
          <w:szCs w:val="24"/>
          <w:lang w:val="en-US" w:eastAsia="zh-CN" w:bidi="ar"/>
        </w:rPr>
        <w:tab/>
        <w:t xml:space="preserve">137–158. doi: </w:t>
      </w:r>
      <w:r>
        <w:rPr>
          <w:rFonts w:hint="default" w:ascii="Times New Roman" w:hAnsi="Times New Roman" w:eastAsia="MinionPro" w:cs="Times New Roman"/>
          <w:color w:val="auto"/>
          <w:kern w:val="0"/>
          <w:sz w:val="24"/>
          <w:szCs w:val="24"/>
          <w:lang w:val="en-US" w:eastAsia="zh-CN" w:bidi="ar"/>
        </w:rPr>
        <w:t xml:space="preserve">10.1016/j.cogdev.2004.07.003 </w:t>
      </w:r>
    </w:p>
    <w:p w14:paraId="10D226A5">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Greif, M. L., Nelson, D. G. K., Keil, F. C., &amp; Gutierrez, F. (2006). What do children want </w:t>
      </w:r>
      <w:r>
        <w:rPr>
          <w:rFonts w:hint="default" w:ascii="Times New Roman" w:hAnsi="Times New Roman" w:eastAsia="MinionPro" w:cs="Times New Roman"/>
          <w:color w:val="auto"/>
          <w:kern w:val="0"/>
          <w:sz w:val="24"/>
          <w:szCs w:val="24"/>
          <w:lang w:val="en-US" w:eastAsia="zh-CN" w:bidi="ar"/>
        </w:rPr>
        <w:tab/>
        <w:t xml:space="preserve">to know about animals and artifacts? Domain-specific requests for information. </w:t>
      </w:r>
      <w:r>
        <w:rPr>
          <w:rFonts w:hint="default" w:ascii="Times New Roman" w:hAnsi="Times New Roman" w:eastAsia="MinionPro" w:cs="Times New Roman"/>
          <w:color w:val="auto"/>
          <w:kern w:val="0"/>
          <w:sz w:val="24"/>
          <w:szCs w:val="24"/>
          <w:lang w:val="en-US" w:eastAsia="zh-CN" w:bidi="ar"/>
        </w:rPr>
        <w:tab/>
      </w:r>
      <w:r>
        <w:rPr>
          <w:rFonts w:hint="default" w:ascii="Times New Roman" w:hAnsi="Times New Roman" w:eastAsia="MinionPro-It" w:cs="Times New Roman"/>
          <w:i/>
          <w:iCs/>
          <w:color w:val="auto"/>
          <w:kern w:val="0"/>
          <w:sz w:val="24"/>
          <w:szCs w:val="24"/>
          <w:lang w:val="en-US" w:eastAsia="zh-CN" w:bidi="ar"/>
        </w:rPr>
        <w:t>Psychological Science</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17</w:t>
      </w:r>
      <w:r>
        <w:rPr>
          <w:rFonts w:hint="default" w:ascii="Times New Roman" w:hAnsi="Times New Roman" w:eastAsia="MinionPro" w:cs="Times New Roman"/>
          <w:color w:val="auto"/>
          <w:kern w:val="0"/>
          <w:sz w:val="24"/>
          <w:szCs w:val="24"/>
          <w:lang w:val="en-US" w:eastAsia="zh-CN" w:bidi="ar"/>
        </w:rPr>
        <w:t>, 455–459. doi:</w:t>
      </w:r>
      <w:r>
        <w:rPr>
          <w:rFonts w:hint="default" w:ascii="Times New Roman" w:hAnsi="Times New Roman" w:eastAsia="MinionPro" w:cs="Times New Roman"/>
          <w:color w:val="auto"/>
          <w:kern w:val="0"/>
          <w:sz w:val="24"/>
          <w:szCs w:val="24"/>
          <w:lang w:val="en-US" w:eastAsia="zh-CN" w:bidi="ar"/>
        </w:rPr>
        <w:t xml:space="preserve">10.1111/j.1467-9280.2006.01727.x </w:t>
      </w:r>
    </w:p>
    <w:p w14:paraId="3445C261">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Hampp, C., &amp; Schwan, S. (2014). The role of authentic objects in museums of the history </w:t>
      </w:r>
      <w:r>
        <w:rPr>
          <w:rFonts w:hint="default" w:ascii="Times New Roman" w:hAnsi="Times New Roman" w:eastAsia="MinionPro" w:cs="Times New Roman"/>
          <w:color w:val="auto"/>
          <w:kern w:val="0"/>
          <w:sz w:val="24"/>
          <w:szCs w:val="24"/>
          <w:lang w:val="en-US" w:eastAsia="zh-CN" w:bidi="ar"/>
        </w:rPr>
        <w:tab/>
        <w:t xml:space="preserve">of science and technology: Findings from a visitor study. </w:t>
      </w:r>
      <w:r>
        <w:rPr>
          <w:rFonts w:hint="default" w:ascii="Times New Roman" w:hAnsi="Times New Roman" w:eastAsia="MinionPro-It" w:cs="Times New Roman"/>
          <w:i/>
          <w:iCs/>
          <w:color w:val="auto"/>
          <w:kern w:val="0"/>
          <w:sz w:val="24"/>
          <w:szCs w:val="24"/>
          <w:lang w:val="en-US" w:eastAsia="zh-CN" w:bidi="ar"/>
        </w:rPr>
        <w:t xml:space="preserve">International Journal of </w:t>
      </w:r>
      <w:r>
        <w:rPr>
          <w:rFonts w:hint="default" w:ascii="Times New Roman" w:hAnsi="Times New Roman" w:eastAsia="MinionPro-It" w:cs="Times New Roman"/>
          <w:i/>
          <w:iCs/>
          <w:color w:val="auto"/>
          <w:kern w:val="0"/>
          <w:sz w:val="24"/>
          <w:szCs w:val="24"/>
          <w:lang w:val="en-US" w:eastAsia="zh-CN" w:bidi="ar"/>
        </w:rPr>
        <w:tab/>
        <w:t>Science Education, Part B</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5</w:t>
      </w:r>
      <w:r>
        <w:rPr>
          <w:rFonts w:hint="default" w:ascii="Times New Roman" w:hAnsi="Times New Roman" w:eastAsia="MinionPro" w:cs="Times New Roman"/>
          <w:color w:val="auto"/>
          <w:kern w:val="0"/>
          <w:sz w:val="24"/>
          <w:szCs w:val="24"/>
          <w:lang w:val="en-US" w:eastAsia="zh-CN" w:bidi="ar"/>
        </w:rPr>
        <w:t>, 161–181. doi:</w:t>
      </w:r>
      <w:r>
        <w:rPr>
          <w:rFonts w:hint="default" w:ascii="Times New Roman" w:hAnsi="Times New Roman" w:eastAsia="MinionPro" w:cs="Times New Roman"/>
          <w:color w:val="auto"/>
          <w:kern w:val="0"/>
          <w:sz w:val="24"/>
          <w:szCs w:val="24"/>
          <w:lang w:val="en-US" w:eastAsia="zh-CN" w:bidi="ar"/>
        </w:rPr>
        <w:t xml:space="preserve">10.1080/21548455.2013.875238 </w:t>
      </w:r>
    </w:p>
    <w:p w14:paraId="62EF1D86">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Harris, P. L., &amp; Kavanaugh, R. D. (1993). Young children’s understanding of pretense. </w:t>
      </w:r>
      <w:r>
        <w:rPr>
          <w:rFonts w:hint="default" w:ascii="Times New Roman" w:hAnsi="Times New Roman" w:eastAsia="MinionPro" w:cs="Times New Roman"/>
          <w:color w:val="auto"/>
          <w:kern w:val="0"/>
          <w:sz w:val="24"/>
          <w:szCs w:val="24"/>
          <w:lang w:val="en-US" w:eastAsia="zh-CN" w:bidi="ar"/>
        </w:rPr>
        <w:tab/>
      </w:r>
      <w:r>
        <w:rPr>
          <w:rFonts w:hint="default" w:ascii="Times New Roman" w:hAnsi="Times New Roman" w:eastAsia="MinionPro-It" w:cs="Times New Roman"/>
          <w:i/>
          <w:iCs/>
          <w:color w:val="auto"/>
          <w:kern w:val="0"/>
          <w:sz w:val="24"/>
          <w:szCs w:val="24"/>
          <w:lang w:val="en-US" w:eastAsia="zh-CN" w:bidi="ar"/>
        </w:rPr>
        <w:t>Monographs of the Society for Research in Child Development</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58</w:t>
      </w:r>
      <w:r>
        <w:rPr>
          <w:rFonts w:hint="default" w:ascii="Times New Roman" w:hAnsi="Times New Roman" w:eastAsia="MinionPro" w:cs="Times New Roman"/>
          <w:color w:val="auto"/>
          <w:kern w:val="0"/>
          <w:sz w:val="24"/>
          <w:szCs w:val="24"/>
          <w:lang w:val="en-US" w:eastAsia="zh-CN" w:bidi="ar"/>
        </w:rPr>
        <w:t xml:space="preserve">(1, Serial No. </w:t>
      </w:r>
      <w:r>
        <w:rPr>
          <w:rFonts w:hint="default" w:ascii="Times New Roman" w:hAnsi="Times New Roman" w:eastAsia="MinionPro" w:cs="Times New Roman"/>
          <w:color w:val="auto"/>
          <w:kern w:val="0"/>
          <w:sz w:val="24"/>
          <w:szCs w:val="24"/>
          <w:lang w:val="en-US" w:eastAsia="zh-CN" w:bidi="ar"/>
        </w:rPr>
        <w:tab/>
        <w:t xml:space="preserve">231).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 xml:space="preserve">10.2307/1166074 </w:t>
      </w:r>
    </w:p>
    <w:p w14:paraId="053E01FE">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Inagaki, K., &amp; Hatano, G. (1996). Young children’s recognition of commonalities </w:t>
      </w:r>
      <w:r>
        <w:rPr>
          <w:rFonts w:hint="default" w:ascii="Times New Roman" w:hAnsi="Times New Roman" w:eastAsia="MinionPro" w:cs="Times New Roman"/>
          <w:color w:val="auto"/>
          <w:kern w:val="0"/>
          <w:sz w:val="24"/>
          <w:szCs w:val="24"/>
          <w:lang w:val="en-US" w:eastAsia="zh-CN" w:bidi="ar"/>
        </w:rPr>
        <w:tab/>
        <w:t xml:space="preserve">between animals and plants. </w:t>
      </w:r>
      <w:r>
        <w:rPr>
          <w:rFonts w:hint="default" w:ascii="Times New Roman" w:hAnsi="Times New Roman" w:eastAsia="MinionPro-It" w:cs="Times New Roman"/>
          <w:i/>
          <w:iCs/>
          <w:color w:val="auto"/>
          <w:kern w:val="0"/>
          <w:sz w:val="24"/>
          <w:szCs w:val="24"/>
          <w:lang w:val="en-US" w:eastAsia="zh-CN" w:bidi="ar"/>
        </w:rPr>
        <w:t>Child Development</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67</w:t>
      </w:r>
      <w:r>
        <w:rPr>
          <w:rFonts w:hint="default" w:ascii="Times New Roman" w:hAnsi="Times New Roman" w:eastAsia="MinionPro" w:cs="Times New Roman"/>
          <w:color w:val="auto"/>
          <w:kern w:val="0"/>
          <w:sz w:val="24"/>
          <w:szCs w:val="24"/>
          <w:lang w:val="en-US" w:eastAsia="zh-CN" w:bidi="ar"/>
        </w:rPr>
        <w:t xml:space="preserve">, 2823–2840.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10.1111/j.1467-</w:t>
      </w:r>
      <w:r>
        <w:rPr>
          <w:rFonts w:hint="default" w:ascii="Times New Roman" w:hAnsi="Times New Roman" w:eastAsia="MinionPro" w:cs="Times New Roman"/>
          <w:color w:val="auto"/>
          <w:kern w:val="0"/>
          <w:sz w:val="24"/>
          <w:szCs w:val="24"/>
          <w:lang w:val="en-US" w:eastAsia="zh-CN" w:bidi="ar"/>
        </w:rPr>
        <w:tab/>
        <w:t>8624.1996.tb01890.x</w:t>
      </w:r>
    </w:p>
    <w:p w14:paraId="62E50A8B">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 Jaakkola, R. O., &amp; Slaughter, V. (2002). Children’s body knowledge: Understanding </w:t>
      </w:r>
      <w:r>
        <w:rPr>
          <w:rFonts w:hint="default" w:ascii="Times New Roman" w:hAnsi="Times New Roman" w:eastAsia="MinionPro" w:cs="Times New Roman"/>
          <w:color w:val="auto"/>
          <w:kern w:val="0"/>
          <w:sz w:val="24"/>
          <w:szCs w:val="24"/>
          <w:lang w:val="en-US" w:eastAsia="zh-CN" w:bidi="ar"/>
        </w:rPr>
        <w:tab/>
        <w:t xml:space="preserve">‘life’ as a biological goal. </w:t>
      </w:r>
      <w:r>
        <w:rPr>
          <w:rFonts w:hint="default" w:ascii="Times New Roman" w:hAnsi="Times New Roman" w:eastAsia="MinionPro-It" w:cs="Times New Roman"/>
          <w:i/>
          <w:iCs/>
          <w:color w:val="auto"/>
          <w:kern w:val="0"/>
          <w:sz w:val="24"/>
          <w:szCs w:val="24"/>
          <w:lang w:val="en-US" w:eastAsia="zh-CN" w:bidi="ar"/>
        </w:rPr>
        <w:t>British Journal of Developmental 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20</w:t>
      </w:r>
      <w:r>
        <w:rPr>
          <w:rFonts w:hint="default" w:ascii="Times New Roman" w:hAnsi="Times New Roman" w:eastAsia="MinionPro" w:cs="Times New Roman"/>
          <w:color w:val="auto"/>
          <w:kern w:val="0"/>
          <w:sz w:val="24"/>
          <w:szCs w:val="24"/>
          <w:lang w:val="en-US" w:eastAsia="zh-CN" w:bidi="ar"/>
        </w:rPr>
        <w:t>, 325–</w:t>
      </w:r>
      <w:r>
        <w:rPr>
          <w:rFonts w:hint="default" w:ascii="Times New Roman" w:hAnsi="Times New Roman" w:eastAsia="MinionPro" w:cs="Times New Roman"/>
          <w:color w:val="auto"/>
          <w:kern w:val="0"/>
          <w:sz w:val="24"/>
          <w:szCs w:val="24"/>
          <w:lang w:val="en-US" w:eastAsia="zh-CN" w:bidi="ar"/>
        </w:rPr>
        <w:tab/>
        <w:t xml:space="preserve">342.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 xml:space="preserve">10.1348/026151002320620352 </w:t>
      </w:r>
    </w:p>
    <w:p w14:paraId="323CE686">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Kirchberg, V., &amp; Tröndle, M. (2012). Experiencing exhibitions: A review of studies on </w:t>
      </w:r>
      <w:r>
        <w:rPr>
          <w:rFonts w:hint="default" w:ascii="Times New Roman" w:hAnsi="Times New Roman" w:eastAsia="MinionPro" w:cs="Times New Roman"/>
          <w:color w:val="auto"/>
          <w:kern w:val="0"/>
          <w:sz w:val="24"/>
          <w:szCs w:val="24"/>
          <w:lang w:val="en-US" w:eastAsia="zh-CN" w:bidi="ar"/>
        </w:rPr>
        <w:tab/>
        <w:t xml:space="preserve">visitor experiences in museums. </w:t>
      </w:r>
      <w:r>
        <w:rPr>
          <w:rFonts w:hint="default" w:ascii="Times New Roman" w:hAnsi="Times New Roman" w:eastAsia="MinionPro-It" w:cs="Times New Roman"/>
          <w:i/>
          <w:iCs/>
          <w:color w:val="auto"/>
          <w:kern w:val="0"/>
          <w:sz w:val="24"/>
          <w:szCs w:val="24"/>
          <w:lang w:val="en-US" w:eastAsia="zh-CN" w:bidi="ar"/>
        </w:rPr>
        <w:t>Curator: The Museum Journal</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55</w:t>
      </w:r>
      <w:r>
        <w:rPr>
          <w:rFonts w:hint="default" w:ascii="Times New Roman" w:hAnsi="Times New Roman" w:eastAsia="MinionPro" w:cs="Times New Roman"/>
          <w:color w:val="auto"/>
          <w:kern w:val="0"/>
          <w:sz w:val="24"/>
          <w:szCs w:val="24"/>
          <w:lang w:val="en-US" w:eastAsia="zh-CN" w:bidi="ar"/>
        </w:rPr>
        <w:t xml:space="preserve">, 435–452.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 xml:space="preserve">10.1111/j.2151-6952.2012.00167.x </w:t>
      </w:r>
    </w:p>
    <w:p w14:paraId="1A989122">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Leinhardt, G., &amp; Crowley, K. (2002). Objects of learning, objects of talk: Changing </w:t>
      </w:r>
      <w:r>
        <w:rPr>
          <w:rFonts w:hint="default" w:ascii="Times New Roman" w:hAnsi="Times New Roman" w:eastAsia="MinionPro" w:cs="Times New Roman"/>
          <w:color w:val="auto"/>
          <w:kern w:val="0"/>
          <w:sz w:val="24"/>
          <w:szCs w:val="24"/>
          <w:lang w:val="en-US" w:eastAsia="zh-CN" w:bidi="ar"/>
        </w:rPr>
        <w:tab/>
        <w:t xml:space="preserve">minds in museums. In S. G. Paris (Ed.), </w:t>
      </w:r>
      <w:r>
        <w:rPr>
          <w:rFonts w:hint="default" w:ascii="Times New Roman" w:hAnsi="Times New Roman" w:eastAsia="MinionPro-It" w:cs="Times New Roman"/>
          <w:i/>
          <w:iCs/>
          <w:color w:val="auto"/>
          <w:kern w:val="0"/>
          <w:sz w:val="24"/>
          <w:szCs w:val="24"/>
          <w:lang w:val="en-US" w:eastAsia="zh-CN" w:bidi="ar"/>
        </w:rPr>
        <w:t>Perspectives on children’s object-</w:t>
      </w:r>
      <w:r>
        <w:rPr>
          <w:rFonts w:hint="default" w:ascii="Times New Roman" w:hAnsi="Times New Roman" w:eastAsia="MinionPro-It" w:cs="Times New Roman"/>
          <w:i/>
          <w:iCs/>
          <w:color w:val="auto"/>
          <w:kern w:val="0"/>
          <w:sz w:val="24"/>
          <w:szCs w:val="24"/>
          <w:lang w:val="en-US" w:eastAsia="zh-CN" w:bidi="ar"/>
        </w:rPr>
        <w:tab/>
        <w:t xml:space="preserve">centered learning in </w:t>
      </w:r>
      <w:r>
        <w:rPr>
          <w:rFonts w:hint="default" w:ascii="Times New Roman" w:hAnsi="Times New Roman" w:eastAsia="MinionPro-It" w:cs="Times New Roman"/>
          <w:i/>
          <w:iCs/>
          <w:color w:val="auto"/>
          <w:kern w:val="0"/>
          <w:sz w:val="24"/>
          <w:szCs w:val="24"/>
          <w:lang w:val="en-US" w:eastAsia="zh-CN" w:bidi="ar"/>
        </w:rPr>
        <w:tab/>
        <w:t xml:space="preserve">museums </w:t>
      </w:r>
      <w:r>
        <w:rPr>
          <w:rFonts w:hint="default" w:ascii="Times New Roman" w:hAnsi="Times New Roman" w:eastAsia="MinionPro" w:cs="Times New Roman"/>
          <w:color w:val="auto"/>
          <w:kern w:val="0"/>
          <w:sz w:val="24"/>
          <w:szCs w:val="24"/>
          <w:lang w:val="en-US" w:eastAsia="zh-CN" w:bidi="ar"/>
        </w:rPr>
        <w:t xml:space="preserve">(pp. 301–324). </w:t>
      </w:r>
    </w:p>
    <w:p w14:paraId="45783C7C">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Moll, H., &amp; Tomasello, M. (2012). Three-year-olds understand appearance and reality- </w:t>
      </w:r>
      <w:r>
        <w:rPr>
          <w:rFonts w:hint="default" w:ascii="Times New Roman" w:hAnsi="Times New Roman" w:eastAsia="MinionPro" w:cs="Times New Roman"/>
          <w:color w:val="auto"/>
          <w:kern w:val="0"/>
          <w:sz w:val="24"/>
          <w:szCs w:val="24"/>
          <w:lang w:val="en-US" w:eastAsia="zh-CN" w:bidi="ar"/>
        </w:rPr>
        <w:tab/>
        <w:t xml:space="preserve">just not about the same object at the same time. </w:t>
      </w:r>
      <w:r>
        <w:rPr>
          <w:rFonts w:hint="default" w:ascii="Times New Roman" w:hAnsi="Times New Roman" w:eastAsia="MinionPro-It" w:cs="Times New Roman"/>
          <w:i/>
          <w:iCs/>
          <w:color w:val="auto"/>
          <w:kern w:val="0"/>
          <w:sz w:val="24"/>
          <w:szCs w:val="24"/>
          <w:lang w:val="en-US" w:eastAsia="zh-CN" w:bidi="ar"/>
        </w:rPr>
        <w:t>Developmental 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48</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 w:cs="Times New Roman"/>
          <w:color w:val="auto"/>
          <w:kern w:val="0"/>
          <w:sz w:val="24"/>
          <w:szCs w:val="24"/>
          <w:lang w:val="en-US" w:eastAsia="zh-CN" w:bidi="ar"/>
        </w:rPr>
        <w:tab/>
        <w:t>1124–</w:t>
      </w:r>
      <w:r>
        <w:rPr>
          <w:rFonts w:hint="default" w:ascii="Times New Roman" w:hAnsi="Times New Roman" w:eastAsia="MinionPro" w:cs="Times New Roman"/>
          <w:color w:val="auto"/>
          <w:kern w:val="0"/>
          <w:sz w:val="24"/>
          <w:szCs w:val="24"/>
          <w:lang w:val="en-US" w:eastAsia="zh-CN" w:bidi="ar"/>
        </w:rPr>
        <w:tab/>
        <w:t>1132. doi:</w:t>
      </w:r>
      <w:r>
        <w:rPr>
          <w:rFonts w:hint="default" w:ascii="Times New Roman" w:hAnsi="Times New Roman" w:eastAsia="MinionPro" w:cs="Times New Roman"/>
          <w:color w:val="auto"/>
          <w:kern w:val="0"/>
          <w:sz w:val="24"/>
          <w:szCs w:val="24"/>
          <w:lang w:val="en-US" w:eastAsia="zh-CN" w:bidi="ar"/>
        </w:rPr>
        <w:t xml:space="preserve">10.1037/a0025915 </w:t>
      </w:r>
    </w:p>
    <w:p w14:paraId="75815ADB">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Poliquin, R. (2008). The matter and meaning of museum taxidermy. </w:t>
      </w:r>
      <w:r>
        <w:rPr>
          <w:rFonts w:hint="default" w:ascii="Times New Roman" w:hAnsi="Times New Roman" w:eastAsia="MinionPro-It" w:cs="Times New Roman"/>
          <w:i/>
          <w:iCs/>
          <w:color w:val="auto"/>
          <w:kern w:val="0"/>
          <w:sz w:val="24"/>
          <w:szCs w:val="24"/>
          <w:lang w:val="en-US" w:eastAsia="zh-CN" w:bidi="ar"/>
        </w:rPr>
        <w:t>Museum and Society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 w:cs="Times New Roman"/>
          <w:color w:val="auto"/>
          <w:kern w:val="0"/>
          <w:sz w:val="24"/>
          <w:szCs w:val="24"/>
          <w:lang w:val="en-US" w:eastAsia="zh-CN" w:bidi="ar"/>
        </w:rPr>
        <w:tab/>
      </w:r>
      <w:r>
        <w:rPr>
          <w:rFonts w:hint="default" w:ascii="Times New Roman" w:hAnsi="Times New Roman" w:eastAsia="MinionPro-It" w:cs="Times New Roman"/>
          <w:i/>
          <w:iCs/>
          <w:color w:val="auto"/>
          <w:kern w:val="0"/>
          <w:sz w:val="24"/>
          <w:szCs w:val="24"/>
          <w:lang w:val="en-US" w:eastAsia="zh-CN" w:bidi="ar"/>
        </w:rPr>
        <w:t>6</w:t>
      </w:r>
      <w:r>
        <w:rPr>
          <w:rFonts w:hint="default" w:ascii="Times New Roman" w:hAnsi="Times New Roman" w:eastAsia="MinionPro" w:cs="Times New Roman"/>
          <w:color w:val="auto"/>
          <w:kern w:val="0"/>
          <w:sz w:val="24"/>
          <w:szCs w:val="24"/>
          <w:lang w:val="en-US" w:eastAsia="zh-CN" w:bidi="ar"/>
        </w:rPr>
        <w:t>(2), 123–134.</w:t>
      </w:r>
    </w:p>
    <w:p w14:paraId="1F6C3E2B">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 Reisinger, Y., &amp; Steiner, C. S. (2006). Reconceptualizing object authenticity. </w:t>
      </w:r>
      <w:r>
        <w:rPr>
          <w:rFonts w:hint="default" w:ascii="Times New Roman" w:hAnsi="Times New Roman" w:eastAsia="MinionPro-It" w:cs="Times New Roman"/>
          <w:i/>
          <w:iCs/>
          <w:color w:val="auto"/>
          <w:kern w:val="0"/>
          <w:sz w:val="24"/>
          <w:szCs w:val="24"/>
          <w:lang w:val="en-US" w:eastAsia="zh-CN" w:bidi="ar"/>
        </w:rPr>
        <w:t xml:space="preserve">Annals of </w:t>
      </w:r>
      <w:r>
        <w:rPr>
          <w:rFonts w:hint="default" w:ascii="Times New Roman" w:hAnsi="Times New Roman" w:eastAsia="MinionPro-It" w:cs="Times New Roman"/>
          <w:i/>
          <w:iCs/>
          <w:color w:val="auto"/>
          <w:kern w:val="0"/>
          <w:sz w:val="24"/>
          <w:szCs w:val="24"/>
          <w:lang w:val="en-US" w:eastAsia="zh-CN" w:bidi="ar"/>
        </w:rPr>
        <w:tab/>
        <w:t>Tourism Research</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33</w:t>
      </w:r>
      <w:r>
        <w:rPr>
          <w:rFonts w:hint="default" w:ascii="Times New Roman" w:hAnsi="Times New Roman" w:eastAsia="MinionPro" w:cs="Times New Roman"/>
          <w:color w:val="auto"/>
          <w:kern w:val="0"/>
          <w:sz w:val="24"/>
          <w:szCs w:val="24"/>
          <w:lang w:val="en-US" w:eastAsia="zh-CN" w:bidi="ar"/>
        </w:rPr>
        <w:t>, 65–86. doi:</w:t>
      </w:r>
      <w:r>
        <w:rPr>
          <w:rFonts w:hint="default" w:ascii="Times New Roman" w:hAnsi="Times New Roman" w:eastAsia="MinionPro" w:cs="Times New Roman"/>
          <w:color w:val="auto"/>
          <w:kern w:val="0"/>
          <w:sz w:val="24"/>
          <w:szCs w:val="24"/>
          <w:lang w:val="en-US" w:eastAsia="zh-CN" w:bidi="ar"/>
        </w:rPr>
        <w:t xml:space="preserve">10.1016/j.annals.2005.04.003 </w:t>
      </w:r>
    </w:p>
    <w:p w14:paraId="5EEA4C6E">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color w:val="auto"/>
          <w:sz w:val="24"/>
          <w:szCs w:val="24"/>
        </w:rPr>
      </w:pPr>
      <w:r>
        <w:rPr>
          <w:rFonts w:hint="default" w:ascii="Times New Roman" w:hAnsi="Times New Roman" w:eastAsia="MinionPro" w:cs="Times New Roman"/>
          <w:color w:val="auto"/>
          <w:kern w:val="0"/>
          <w:sz w:val="24"/>
          <w:szCs w:val="24"/>
          <w:lang w:val="en-US" w:eastAsia="zh-CN" w:bidi="ar"/>
        </w:rPr>
        <w:t xml:space="preserve">Roberts, L. C. (1997). </w:t>
      </w:r>
      <w:r>
        <w:rPr>
          <w:rFonts w:hint="default" w:ascii="Times New Roman" w:hAnsi="Times New Roman" w:eastAsia="MinionPro-It" w:cs="Times New Roman"/>
          <w:i/>
          <w:iCs/>
          <w:color w:val="auto"/>
          <w:kern w:val="0"/>
          <w:sz w:val="24"/>
          <w:szCs w:val="24"/>
          <w:lang w:val="en-US" w:eastAsia="zh-CN" w:bidi="ar"/>
        </w:rPr>
        <w:t xml:space="preserve">From knowledge to narrative: Educators and the changing </w:t>
      </w:r>
      <w:r>
        <w:rPr>
          <w:rFonts w:hint="default" w:ascii="Times New Roman" w:hAnsi="Times New Roman" w:eastAsia="MinionPro-It" w:cs="Times New Roman"/>
          <w:i/>
          <w:iCs/>
          <w:color w:val="auto"/>
          <w:kern w:val="0"/>
          <w:sz w:val="24"/>
          <w:szCs w:val="24"/>
          <w:lang w:val="en-US" w:eastAsia="zh-CN" w:bidi="ar"/>
        </w:rPr>
        <w:tab/>
        <w:t>museum</w:t>
      </w:r>
      <w:r>
        <w:rPr>
          <w:rFonts w:hint="default" w:ascii="Times New Roman" w:hAnsi="Times New Roman" w:eastAsia="MinionPro" w:cs="Times New Roman"/>
          <w:color w:val="auto"/>
          <w:kern w:val="0"/>
          <w:sz w:val="24"/>
          <w:szCs w:val="24"/>
          <w:lang w:val="en-US" w:eastAsia="zh-CN" w:bidi="ar"/>
        </w:rPr>
        <w:t xml:space="preserve">. Washington, DC: Smithsonian Institution Press. </w:t>
      </w:r>
    </w:p>
    <w:p w14:paraId="0CFED20C">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Scaife, M., &amp; van Duuren, M. (1995). Do computers have brains? What children believe </w:t>
      </w:r>
      <w:r>
        <w:rPr>
          <w:rFonts w:hint="default" w:ascii="Times New Roman" w:hAnsi="Times New Roman" w:eastAsia="MinionPro" w:cs="Times New Roman"/>
          <w:color w:val="auto"/>
          <w:kern w:val="0"/>
          <w:sz w:val="24"/>
          <w:szCs w:val="24"/>
          <w:lang w:val="en-US" w:eastAsia="zh-CN" w:bidi="ar"/>
        </w:rPr>
        <w:tab/>
        <w:t xml:space="preserve">about intelligent artifacts. </w:t>
      </w:r>
      <w:r>
        <w:rPr>
          <w:rFonts w:hint="default" w:ascii="Times New Roman" w:hAnsi="Times New Roman" w:eastAsia="MinionPro-It" w:cs="Times New Roman"/>
          <w:i/>
          <w:iCs/>
          <w:color w:val="auto"/>
          <w:kern w:val="0"/>
          <w:sz w:val="24"/>
          <w:szCs w:val="24"/>
          <w:lang w:val="en-US" w:eastAsia="zh-CN" w:bidi="ar"/>
        </w:rPr>
        <w:t>British Journal of Developmental Psychology</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13</w:t>
      </w:r>
      <w:r>
        <w:rPr>
          <w:rFonts w:hint="default" w:ascii="Times New Roman" w:hAnsi="Times New Roman" w:eastAsia="MinionPro" w:cs="Times New Roman"/>
          <w:color w:val="auto"/>
          <w:kern w:val="0"/>
          <w:sz w:val="24"/>
          <w:szCs w:val="24"/>
          <w:lang w:val="en-US" w:eastAsia="zh-CN" w:bidi="ar"/>
        </w:rPr>
        <w:t>, 367–</w:t>
      </w:r>
      <w:r>
        <w:rPr>
          <w:rFonts w:hint="default" w:ascii="Times New Roman" w:hAnsi="Times New Roman" w:eastAsia="MinionPro" w:cs="Times New Roman"/>
          <w:color w:val="auto"/>
          <w:kern w:val="0"/>
          <w:sz w:val="24"/>
          <w:szCs w:val="24"/>
          <w:lang w:val="en-US" w:eastAsia="zh-CN" w:bidi="ar"/>
        </w:rPr>
        <w:tab/>
        <w:t>377.  doi:</w:t>
      </w:r>
      <w:r>
        <w:rPr>
          <w:rFonts w:hint="default" w:ascii="Times New Roman" w:hAnsi="Times New Roman" w:eastAsia="MinionPro" w:cs="Times New Roman"/>
          <w:color w:val="auto"/>
          <w:kern w:val="0"/>
          <w:sz w:val="24"/>
          <w:szCs w:val="24"/>
          <w:lang w:val="en-US" w:eastAsia="zh-CN" w:bidi="ar"/>
        </w:rPr>
        <w:t xml:space="preserve">10.1111/j.2044- 835X.1995.tb00686.x </w:t>
      </w:r>
    </w:p>
    <w:p w14:paraId="5C17B15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eastAsia="MinionPro" w:cs="Times New Roman"/>
          <w:color w:val="auto"/>
          <w:kern w:val="0"/>
          <w:sz w:val="24"/>
          <w:szCs w:val="24"/>
          <w:lang w:val="en-US" w:eastAsia="zh-CN" w:bidi="ar"/>
        </w:rPr>
      </w:pPr>
      <w:r>
        <w:rPr>
          <w:rFonts w:hint="default" w:ascii="Times New Roman" w:hAnsi="Times New Roman" w:eastAsia="MinionPro" w:cs="Times New Roman"/>
          <w:color w:val="auto"/>
          <w:kern w:val="0"/>
          <w:sz w:val="24"/>
          <w:szCs w:val="24"/>
          <w:lang w:val="en-US" w:eastAsia="zh-CN" w:bidi="ar"/>
        </w:rPr>
        <w:t xml:space="preserve">Watson, B., &amp; Werb, S. R. (2013). One hundred strong: A colloquium on transforming </w:t>
      </w:r>
      <w:r>
        <w:rPr>
          <w:rFonts w:hint="default" w:ascii="Times New Roman" w:hAnsi="Times New Roman" w:eastAsia="MinionPro" w:cs="Times New Roman"/>
          <w:color w:val="auto"/>
          <w:kern w:val="0"/>
          <w:sz w:val="24"/>
          <w:szCs w:val="24"/>
          <w:lang w:val="en-US" w:eastAsia="zh-CN" w:bidi="ar"/>
        </w:rPr>
        <w:tab/>
        <w:t xml:space="preserve">natural history museums in the twenty-first century. </w:t>
      </w:r>
      <w:r>
        <w:rPr>
          <w:rFonts w:hint="default" w:ascii="Times New Roman" w:hAnsi="Times New Roman" w:eastAsia="MinionPro-It" w:cs="Times New Roman"/>
          <w:i/>
          <w:iCs/>
          <w:color w:val="auto"/>
          <w:kern w:val="0"/>
          <w:sz w:val="24"/>
          <w:szCs w:val="24"/>
          <w:lang w:val="en-US" w:eastAsia="zh-CN" w:bidi="ar"/>
        </w:rPr>
        <w:t xml:space="preserve">Curator: The Museum </w:t>
      </w:r>
      <w:r>
        <w:rPr>
          <w:rFonts w:hint="default" w:ascii="Times New Roman" w:hAnsi="Times New Roman" w:eastAsia="MinionPro-It" w:cs="Times New Roman"/>
          <w:i/>
          <w:iCs/>
          <w:color w:val="auto"/>
          <w:kern w:val="0"/>
          <w:sz w:val="24"/>
          <w:szCs w:val="24"/>
          <w:lang w:val="en-US" w:eastAsia="zh-CN" w:bidi="ar"/>
        </w:rPr>
        <w:tab/>
        <w:t>Journal</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56</w:t>
      </w:r>
      <w:r>
        <w:rPr>
          <w:rFonts w:hint="default" w:ascii="Times New Roman" w:hAnsi="Times New Roman" w:eastAsia="MinionPro" w:cs="Times New Roman"/>
          <w:color w:val="auto"/>
          <w:kern w:val="0"/>
          <w:sz w:val="24"/>
          <w:szCs w:val="24"/>
          <w:lang w:val="en-US" w:eastAsia="zh-CN" w:bidi="ar"/>
        </w:rPr>
        <w:t>, 255–265.</w:t>
      </w:r>
    </w:p>
    <w:p w14:paraId="225E4B39">
      <w:pPr>
        <w:keepNext w:val="0"/>
        <w:keepLines w:val="0"/>
        <w:pageBreakBefore w:val="0"/>
        <w:widowControl/>
        <w:suppressLineNumbers w:val="0"/>
        <w:kinsoku/>
        <w:wordWrap/>
        <w:overflowPunct/>
        <w:topLinePunct w:val="0"/>
        <w:autoSpaceDE/>
        <w:autoSpaceDN/>
        <w:bidi w:val="0"/>
        <w:adjustRightInd/>
        <w:snapToGrid/>
        <w:spacing w:after="40" w:line="36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eastAsia="MinionPro" w:cs="Times New Roman"/>
          <w:color w:val="auto"/>
          <w:kern w:val="0"/>
          <w:sz w:val="24"/>
          <w:szCs w:val="24"/>
          <w:lang w:val="en-US" w:eastAsia="zh-CN" w:bidi="ar"/>
        </w:rPr>
        <w:t xml:space="preserve">Woolley, J. D., &amp; Wellman, H. M. (1990). Young children’s understanding of realities, </w:t>
      </w:r>
      <w:r>
        <w:rPr>
          <w:rFonts w:hint="default" w:ascii="Times New Roman" w:hAnsi="Times New Roman" w:eastAsia="MinionPro" w:cs="Times New Roman"/>
          <w:color w:val="auto"/>
          <w:kern w:val="0"/>
          <w:sz w:val="24"/>
          <w:szCs w:val="24"/>
          <w:lang w:val="en-US" w:eastAsia="zh-CN" w:bidi="ar"/>
        </w:rPr>
        <w:tab/>
        <w:t xml:space="preserve">nonrealities, and appearances. </w:t>
      </w:r>
      <w:r>
        <w:rPr>
          <w:rFonts w:hint="default" w:ascii="Times New Roman" w:hAnsi="Times New Roman" w:eastAsia="MinionPro-It" w:cs="Times New Roman"/>
          <w:i/>
          <w:iCs/>
          <w:color w:val="auto"/>
          <w:kern w:val="0"/>
          <w:sz w:val="24"/>
          <w:szCs w:val="24"/>
          <w:lang w:val="en-US" w:eastAsia="zh-CN" w:bidi="ar"/>
        </w:rPr>
        <w:t>Child Development</w:t>
      </w:r>
      <w:r>
        <w:rPr>
          <w:rFonts w:hint="default" w:ascii="Times New Roman" w:hAnsi="Times New Roman" w:eastAsia="MinionPro" w:cs="Times New Roman"/>
          <w:color w:val="auto"/>
          <w:kern w:val="0"/>
          <w:sz w:val="24"/>
          <w:szCs w:val="24"/>
          <w:lang w:val="en-US" w:eastAsia="zh-CN" w:bidi="ar"/>
        </w:rPr>
        <w:t xml:space="preserve">, </w:t>
      </w:r>
      <w:r>
        <w:rPr>
          <w:rFonts w:hint="default" w:ascii="Times New Roman" w:hAnsi="Times New Roman" w:eastAsia="MinionPro-It" w:cs="Times New Roman"/>
          <w:i/>
          <w:iCs/>
          <w:color w:val="auto"/>
          <w:kern w:val="0"/>
          <w:sz w:val="24"/>
          <w:szCs w:val="24"/>
          <w:lang w:val="en-US" w:eastAsia="zh-CN" w:bidi="ar"/>
        </w:rPr>
        <w:t>61</w:t>
      </w:r>
      <w:r>
        <w:rPr>
          <w:rFonts w:hint="default" w:ascii="Times New Roman" w:hAnsi="Times New Roman" w:eastAsia="MinionPro" w:cs="Times New Roman"/>
          <w:color w:val="auto"/>
          <w:kern w:val="0"/>
          <w:sz w:val="24"/>
          <w:szCs w:val="24"/>
          <w:lang w:val="en-US" w:eastAsia="zh-CN" w:bidi="ar"/>
        </w:rPr>
        <w:t xml:space="preserve">, 946–961. </w:t>
      </w:r>
      <w:r>
        <w:rPr>
          <w:rFonts w:hint="default" w:ascii="Times New Roman" w:hAnsi="Times New Roman" w:eastAsia="MinionPro" w:cs="Times New Roman"/>
          <w:color w:val="auto"/>
          <w:kern w:val="0"/>
          <w:sz w:val="24"/>
          <w:szCs w:val="24"/>
          <w:lang w:val="en-US" w:eastAsia="zh-CN" w:bidi="ar"/>
        </w:rPr>
        <w:tab/>
        <w:t>doi:</w:t>
      </w:r>
      <w:r>
        <w:rPr>
          <w:rFonts w:hint="default" w:ascii="Times New Roman" w:hAnsi="Times New Roman" w:eastAsia="MinionPro" w:cs="Times New Roman"/>
          <w:color w:val="auto"/>
          <w:kern w:val="0"/>
          <w:sz w:val="24"/>
          <w:szCs w:val="24"/>
          <w:lang w:val="en-US" w:eastAsia="zh-CN" w:bidi="ar"/>
        </w:rPr>
        <w:t>10.1111/j.1467-</w:t>
      </w:r>
      <w:r>
        <w:rPr>
          <w:rFonts w:hint="default" w:ascii="Times New Roman" w:hAnsi="Times New Roman" w:eastAsia="MinionPro" w:cs="Times New Roman"/>
          <w:color w:val="auto"/>
          <w:kern w:val="0"/>
          <w:sz w:val="24"/>
          <w:szCs w:val="24"/>
          <w:lang w:val="en-US" w:eastAsia="zh-CN" w:bidi="ar"/>
        </w:rPr>
        <w:tab/>
        <w:t>8624.1990.tb02833.x</w:t>
      </w:r>
    </w:p>
    <w:sectPr>
      <w:footerReference r:id="rId6" w:type="default"/>
      <w:pgSz w:w="11906" w:h="16838"/>
      <w:pgMar w:top="1440" w:right="1440" w:bottom="3600" w:left="1800" w:header="720" w:footer="3168"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ionPro">
    <w:altName w:val="Segoe Print"/>
    <w:panose1 w:val="00000000000000000000"/>
    <w:charset w:val="00"/>
    <w:family w:val="auto"/>
    <w:pitch w:val="default"/>
    <w:sig w:usb0="00000000" w:usb1="00000000" w:usb2="00000000" w:usb3="00000000" w:csb0="00000000" w:csb1="00000000"/>
  </w:font>
  <w:font w:name="MinionPro-Ca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yriadPro-Bold">
    <w:altName w:val="Segoe Print"/>
    <w:panose1 w:val="00000000000000000000"/>
    <w:charset w:val="00"/>
    <w:family w:val="auto"/>
    <w:pitch w:val="default"/>
    <w:sig w:usb0="00000000" w:usb1="00000000" w:usb2="00000000" w:usb3="00000000" w:csb0="00000000" w:csb1="00000000"/>
  </w:font>
  <w:font w:name="MinionPro-It">
    <w:altName w:val="Segoe Print"/>
    <w:panose1 w:val="00000000000000000000"/>
    <w:charset w:val="00"/>
    <w:family w:val="auto"/>
    <w:pitch w:val="default"/>
    <w:sig w:usb0="00000000" w:usb1="00000000" w:usb2="00000000" w:usb3="00000000" w:csb0="00000000" w:csb1="00000000"/>
  </w:font>
  <w:font w:name="Myriad Pro Semi bold">
    <w:panose1 w:val="020B0603030403020204"/>
    <w:charset w:val="00"/>
    <w:family w:val="auto"/>
    <w:pitch w:val="default"/>
    <w:sig w:usb0="A00002AF" w:usb1="5000204B" w:usb2="00000000" w:usb3="00000000" w:csb0="0000019F" w:csb1="00000000"/>
  </w:font>
  <w:font w:name="ITC Bookman">
    <w:panose1 w:val="02050504040505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C658">
    <w:pPr>
      <w:pStyle w:val="3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3E8438">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63E8438">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148D">
    <w:pPr>
      <w:pStyle w:val="3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046C5">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3B6046C5">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D6890"/>
    <w:multiLevelType w:val="multilevel"/>
    <w:tmpl w:val="A02D689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93C8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FB0C2B"/>
    <w:rsid w:val="04C223B8"/>
    <w:rsid w:val="05E83882"/>
    <w:rsid w:val="06047BBC"/>
    <w:rsid w:val="0A6A44EC"/>
    <w:rsid w:val="0C96069F"/>
    <w:rsid w:val="0DD15D3A"/>
    <w:rsid w:val="10D279E9"/>
    <w:rsid w:val="13200AEC"/>
    <w:rsid w:val="1983452B"/>
    <w:rsid w:val="1D093C8E"/>
    <w:rsid w:val="1D3F3750"/>
    <w:rsid w:val="22874208"/>
    <w:rsid w:val="384A3EFF"/>
    <w:rsid w:val="39982399"/>
    <w:rsid w:val="4A07508C"/>
    <w:rsid w:val="4F650971"/>
    <w:rsid w:val="6C1C20EB"/>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14</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2025-05-22T13:03:00Z</dcterms:created>
  <dc:creator>IBRAHIM ABDULWAHEED LABE</dc:creator>
  <cp:lastModifiedBy>IBRAHIM ABDULWAHEED LABE</cp:lastModifiedBy>
  <cp:lastPrinted>2025-05-26T10:54:58Z</cp:lastPrinted>
  <dcterms:modified xsi:type="dcterms:W3CDTF">2025-05-26T10:58:53Z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A77FDBF622FE4EF383375EEBF31598C4_11</vt:lpwstr>
  </property>
</Properties>
</file>