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 OF JOB AND SAFETY HAZARD IN HEALTH SECTOR</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UNIVERSITY OF ILORIN TEACHING HOSPITAL, ILORIN)</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1"/>
          <w:sz w:val="32"/>
          <w:szCs w:val="32"/>
        </w:rPr>
      </w:pPr>
      <w:bookmarkStart w:colFirst="0" w:colLast="0" w:name="_heading=h.taq5pqy1ekfz" w:id="0"/>
      <w:bookmarkEnd w:id="0"/>
      <w:r w:rsidDel="00000000" w:rsidR="00000000" w:rsidRPr="00000000">
        <w:rPr>
          <w:rFonts w:ascii="Times New Roman" w:cs="Times New Roman" w:eastAsia="Times New Roman" w:hAnsi="Times New Roman"/>
          <w:b w:val="0"/>
          <w:color w:val="212529"/>
          <w:sz w:val="30"/>
          <w:szCs w:val="30"/>
          <w:rtl w:val="0"/>
        </w:rPr>
        <w:t xml:space="preserve">ABDULQUADRI, USMAN KEHINDE</w:t>
      </w:r>
      <w:r w:rsidDel="00000000" w:rsidR="00000000" w:rsidRPr="00000000">
        <w:rPr>
          <w:rtl w:val="0"/>
        </w:rPr>
      </w:r>
    </w:p>
    <w:p w:rsidR="00000000" w:rsidDel="00000000" w:rsidP="00000000" w:rsidRDefault="00000000" w:rsidRPr="00000000" w14:paraId="00000009">
      <w:pPr>
        <w:spacing w:after="20" w:before="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HND/23/BAM/FT/0749</w:t>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REESEARCH PROJECT SUBMITTED TO THE DEPARTMENT OF BUSINESS ADMINISTRATION, INSTITUTE OF FINANCE AND MANAGEMENT STUDIES, KWARA STATE POLYTECHNIC, ILORIN.</w:t>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 FOR THE AWARD OF HIGHER NATIONAL DIPLOMA (HND) IN BUSINES ADMINISTRATION AND MANAGEMENT</w:t>
      </w:r>
    </w:p>
    <w:p w:rsidR="00000000" w:rsidDel="00000000" w:rsidP="00000000" w:rsidRDefault="00000000" w:rsidRPr="00000000" w14:paraId="0000000E">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240" w:lineRule="auto"/>
        <w:ind w:left="4320"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2024</w:t>
      </w:r>
    </w:p>
    <w:p w:rsidR="00000000" w:rsidDel="00000000" w:rsidP="00000000" w:rsidRDefault="00000000" w:rsidRPr="00000000" w14:paraId="00000011">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0" w:line="4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4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15">
      <w:pPr>
        <w:spacing w:after="0" w:line="420" w:lineRule="auto"/>
        <w:ind w:firstLine="720"/>
        <w:jc w:val="both"/>
        <w:rPr>
          <w:rFonts w:ascii="Times New Roman" w:cs="Times New Roman" w:eastAsia="Times New Roman" w:hAnsi="Times New Roman"/>
          <w:sz w:val="28"/>
          <w:szCs w:val="28"/>
        </w:rPr>
      </w:pPr>
      <w:bookmarkStart w:colFirst="0" w:colLast="0" w:name="_heading=h.w1mtxz7t2qbt" w:id="1"/>
      <w:bookmarkEnd w:id="1"/>
      <w:r w:rsidDel="00000000" w:rsidR="00000000" w:rsidRPr="00000000">
        <w:rPr>
          <w:rFonts w:ascii="Times New Roman" w:cs="Times New Roman" w:eastAsia="Times New Roman" w:hAnsi="Times New Roman"/>
          <w:sz w:val="28"/>
          <w:szCs w:val="28"/>
          <w:rtl w:val="0"/>
        </w:rPr>
        <w:t xml:space="preserve">This project has been read and approved as meeting the requirement for the award of Higher National Diploma (HND) in Business Administration, Department of Business Administration, Institute of Finance and Management Studies (IFMS), Kwara State Polytechnic, Ilorin.</w:t>
      </w:r>
    </w:p>
    <w:p w:rsidR="00000000" w:rsidDel="00000000" w:rsidP="00000000" w:rsidRDefault="00000000" w:rsidRPr="00000000" w14:paraId="00000016">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Muhammed A</w:t>
        <w:tab/>
        <w:tab/>
        <w:tab/>
        <w:tab/>
        <w:tab/>
        <w:tab/>
        <w:tab/>
        <w:t xml:space="preserve">Date </w:t>
      </w:r>
    </w:p>
    <w:p w:rsidR="00000000" w:rsidDel="00000000" w:rsidP="00000000" w:rsidRDefault="00000000" w:rsidRPr="00000000" w14:paraId="0000001B">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Supervisor</w:t>
      </w:r>
    </w:p>
    <w:p w:rsidR="00000000" w:rsidDel="00000000" w:rsidP="00000000" w:rsidRDefault="00000000" w:rsidRPr="00000000" w14:paraId="0000001C">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A</w:t>
        <w:tab/>
        <w:tab/>
        <w:tab/>
        <w:tab/>
        <w:tab/>
        <w:tab/>
        <w:t xml:space="preserve">            </w:t>
        <w:tab/>
        <w:t xml:space="preserve">Date </w:t>
      </w:r>
    </w:p>
    <w:p w:rsidR="00000000" w:rsidDel="00000000" w:rsidP="00000000" w:rsidRDefault="00000000" w:rsidRPr="00000000" w14:paraId="0000001F">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coordinator</w:t>
      </w:r>
    </w:p>
    <w:p w:rsidR="00000000" w:rsidDel="00000000" w:rsidP="00000000" w:rsidRDefault="00000000" w:rsidRPr="00000000" w14:paraId="00000020">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ab/>
        <w:tab/>
        <w:t xml:space="preserve">           </w:t>
        <w:tab/>
        <w:t xml:space="preserve">Date </w:t>
      </w:r>
    </w:p>
    <w:p w:rsidR="00000000" w:rsidDel="00000000" w:rsidP="00000000" w:rsidRDefault="00000000" w:rsidRPr="00000000" w14:paraId="00000023">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of Department</w:t>
      </w:r>
    </w:p>
    <w:p w:rsidR="00000000" w:rsidDel="00000000" w:rsidP="00000000" w:rsidRDefault="00000000" w:rsidRPr="00000000" w14:paraId="00000024">
      <w:pPr>
        <w:spacing w:after="0" w:line="42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4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w:t>
        <w:tab/>
        <w:tab/>
        <w:tab/>
        <w:tab/>
        <w:tab/>
        <w:tab/>
        <w:t xml:space="preserve">______________</w:t>
      </w:r>
    </w:p>
    <w:p w:rsidR="00000000" w:rsidDel="00000000" w:rsidP="00000000" w:rsidRDefault="00000000" w:rsidRPr="00000000" w14:paraId="0000002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Examiner</w:t>
        <w:tab/>
        <w:tab/>
        <w:tab/>
        <w:tab/>
        <w:tab/>
        <w:tab/>
        <w:tab/>
        <w:t xml:space="preserve">Date</w:t>
      </w:r>
    </w:p>
    <w:p w:rsidR="00000000" w:rsidDel="00000000" w:rsidP="00000000" w:rsidRDefault="00000000" w:rsidRPr="00000000" w14:paraId="00000028">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This project is highly dedicated to Almighty God.</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All thanks belongs to Almighty God, the visionary, beginner and finisher of my project.</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acknowledge goes to my loving and caring parents, Mr. and Mrs. ABASS, you worth more than silver and gold to me. I pray that Almighty GOD will highly reward you.</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special appreciation goes to my indefatigable articulated and ever understanding supervisor Mr. JIMOH S.M, I thank him for his work of encouragement and immense knowledge impacted on me, I could not have imagine having better supervisor for this study.</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want to express my deep sincere thanks to my all my friends, I cannot neglect the contributions, sense of direction and I really know your worth thank you so much, may Almighty Allah (SWT) reward you all abundantly (Amin).</w:t>
      </w:r>
    </w:p>
    <w:p w:rsidR="00000000" w:rsidDel="00000000" w:rsidP="00000000" w:rsidRDefault="00000000" w:rsidRPr="00000000" w14:paraId="00000030">
      <w:pPr>
        <w:spacing w:line="36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r>
    </w:p>
    <w:p w:rsidR="00000000" w:rsidDel="00000000" w:rsidP="00000000" w:rsidRDefault="00000000" w:rsidRPr="00000000" w14:paraId="0000003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Table of contents</w:t>
      </w: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3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Background to the study</w:t>
      </w:r>
    </w:p>
    <w:p w:rsidR="00000000" w:rsidDel="00000000" w:rsidP="00000000" w:rsidRDefault="00000000" w:rsidRPr="00000000" w14:paraId="0000003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Statement of the problems</w:t>
      </w:r>
    </w:p>
    <w:p w:rsidR="00000000" w:rsidDel="00000000" w:rsidP="00000000" w:rsidRDefault="00000000" w:rsidRPr="00000000" w14:paraId="0000003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question (three questions)</w:t>
      </w:r>
    </w:p>
    <w:p w:rsidR="00000000" w:rsidDel="00000000" w:rsidP="00000000" w:rsidRDefault="00000000" w:rsidRPr="00000000" w14:paraId="0000003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Objectives of the study (3)</w:t>
      </w:r>
    </w:p>
    <w:p w:rsidR="00000000" w:rsidDel="00000000" w:rsidP="00000000" w:rsidRDefault="00000000" w:rsidRPr="00000000" w14:paraId="0000003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hypothesis (3)</w:t>
      </w:r>
    </w:p>
    <w:p w:rsidR="00000000" w:rsidDel="00000000" w:rsidP="00000000" w:rsidRDefault="00000000" w:rsidRPr="00000000" w14:paraId="0000003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Significant of the study</w:t>
      </w:r>
    </w:p>
    <w:p w:rsidR="00000000" w:rsidDel="00000000" w:rsidP="00000000" w:rsidRDefault="00000000" w:rsidRPr="00000000" w14:paraId="0000003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3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Definition of terms</w:t>
      </w:r>
    </w:p>
    <w:p w:rsidR="00000000" w:rsidDel="00000000" w:rsidP="00000000" w:rsidRDefault="00000000" w:rsidRPr="00000000" w14:paraId="0000004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Introudction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Conceptual framework</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Theoretical framework</w:t>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Introduction</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Research design</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Population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Sample size and sampling techniques</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 of data collection</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Instrument of data collection</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tab/>
        <w:t xml:space="preserve">Method of data analysis</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 DATA PRESENTATION, ANALYSIS AND INTERPRETATION</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Introduction</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Data presentation, analysis and intrepretation</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r>
    </w:p>
    <w:p w:rsidR="00000000" w:rsidDel="00000000" w:rsidP="00000000" w:rsidRDefault="00000000" w:rsidRPr="00000000" w14:paraId="000000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 SUMMARY, CONCLUSION AND RECOMMENDATION</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sectPr>
          <w:footerReference r:id="rId7" w:type="default"/>
          <w:pgSz w:h="14400" w:w="11520" w:orient="portrait"/>
          <w:pgMar w:bottom="1440" w:top="1440" w:left="1440" w:right="1440" w:header="720" w:footer="936"/>
          <w:pgNumType w:start="1"/>
        </w:sectPr>
      </w:pPr>
      <w:r w:rsidDel="00000000" w:rsidR="00000000" w:rsidRPr="00000000">
        <w:rPr>
          <w:rFonts w:ascii="Times New Roman" w:cs="Times New Roman" w:eastAsia="Times New Roman" w:hAnsi="Times New Roman"/>
          <w:sz w:val="28"/>
          <w:szCs w:val="28"/>
          <w:rtl w:val="0"/>
        </w:rPr>
        <w:tab/>
        <w:t xml:space="preserve">References / Bibliography</w:t>
      </w:r>
    </w:p>
    <w:p w:rsidR="00000000" w:rsidDel="00000000" w:rsidP="00000000" w:rsidRDefault="00000000" w:rsidRPr="00000000" w14:paraId="00000056">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5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5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BACKGROUND TO THE STUDY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is  the  greatest  asset  of  a  country  and  it  is  the foundation on which  the entire production capacity of  the people rests. The conservation of health in the economically active age groups result in increased productivity of the labor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 2000).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work environment consist of various factors which introduce new dimensions to health, causing diseases and injuries which include, work accidents and exposure to hazards. (Emeharole &amp; Iwok 1997) asserted that occupational stress result from negative environmental factors associated with job.</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Occupational Health is defined by the International Labor Organization (ILO) and World Health Organization(WHO) (2004) as " the promotion and maintenance of the highest degree of physical, mental and social well-being of workers in all occupations; the prevention amongst workers of departures from health caused by their working conditions; the protection of workers in their employment from risks resulting from factors adverse to health; the placing and maintenance of the worker in an occupational environment adapted to his physiological and psychological capabilities; and, to summarize,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Safety means freedom from the occurrence or risk of injury or loss (Aswathappa, 2004). He described industrial or employee safety as the protection of workers from the danger of industrial accidents.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in Hospital should be a major concern for everybody in the industry but it is unfortunate that in this part of the world especially in Nigeria, enough attention is not been given to the issue. In the Hospitals; operation of machines, plant and equipment, use of hand tools and many other operations call for attention from relevant authorities, regulatory bodies, societies, scientists, professionals and businessmen to establish safety and health management programs and laws governing the industry and all works activities (Scribd Inc. 2012).</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occupation. He was of the view that there is relationship between a person's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65">
      <w:pPr>
        <w:pStyle w:val="Heading1"/>
        <w:spacing w:before="0" w:line="360" w:lineRule="auto"/>
        <w:ind w:left="0" w:firstLine="0"/>
        <w:rPr>
          <w:sz w:val="28"/>
          <w:szCs w:val="28"/>
        </w:rPr>
      </w:pPr>
      <w:r w:rsidDel="00000000" w:rsidR="00000000" w:rsidRPr="00000000">
        <w:rPr>
          <w:sz w:val="28"/>
          <w:szCs w:val="28"/>
          <w:rtl w:val="0"/>
        </w:rPr>
        <w:t xml:space="preserve">1.2</w:t>
        <w:tab/>
        <w:t xml:space="preserve">STATEMENT OF THE PROBLEM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too often lives are shattered unnecessarily of poor working conditions and inadequate safety systems. Let me encourage everyone to join the ILO in promoting safety and health at work. It is not only sound economic policy; it is basic human right". Kofi Annan (2006).</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workplace is also essential.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has not been given enough attention in most of the Health Sector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increasing competition related to the globalization era, the predominance of service-oriented industries, the rising job insecurity associated with labor market flexibility (e.g. part-time/temporary contracts) and the shifting demographic composition of the workforce (towards more female, racially diverse and elderly employees), poses important challenges for the health and safety of workers in modern economies. Given the rapidly changing economic environment of recent decades health and safety has therefore gained new impetus, spurred primarily by the non-trivial costs it entails to both individual and national welfare.</w:t>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QUESTIONS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followings are the research questions for this study</w:t>
      </w:r>
    </w:p>
    <w:p w:rsidR="00000000" w:rsidDel="00000000" w:rsidP="00000000" w:rsidRDefault="00000000" w:rsidRPr="00000000" w14:paraId="0000006C">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occupational health hazard affect the performance of employees?</w:t>
      </w:r>
    </w:p>
    <w:p w:rsidR="00000000" w:rsidDel="00000000" w:rsidP="00000000" w:rsidRDefault="00000000" w:rsidRPr="00000000" w14:paraId="0000006D">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industry have adequate occupational hazard safety policies?</w:t>
      </w:r>
    </w:p>
    <w:p w:rsidR="00000000" w:rsidDel="00000000" w:rsidP="00000000" w:rsidRDefault="00000000" w:rsidRPr="00000000" w14:paraId="0000006E">
      <w:pPr>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safety measure/practice have influence on occupational hazards?</w:t>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OBJECTIVES</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7up Bottling company.</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examine the effects of occupational health hazard on the level of performance of employees.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effects of occupational health and safety policies employees.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ascertain influence of safety measure and practice has on occupational hazards.</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following research hypotheses were formulated to guide the conduct of the research.</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There is no significant relationship between occupational hazard and employees’ performance. </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is no significant influence of the safety policies on employee performance.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03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There is no significant relationship between safety measures put in place and occupational hazard.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w:t>
        <w:tab/>
        <w:t xml:space="preserve">SIGNIFICANCE OF THE STUDY</w:t>
      </w:r>
    </w:p>
    <w:p w:rsidR="00000000" w:rsidDel="00000000" w:rsidP="00000000" w:rsidRDefault="00000000" w:rsidRPr="00000000" w14:paraId="0000007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r w:rsidDel="00000000" w:rsidR="00000000" w:rsidRPr="00000000">
        <w:rPr>
          <w:rtl w:val="0"/>
        </w:rPr>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r w:rsidDel="00000000" w:rsidR="00000000" w:rsidRPr="00000000">
        <w:rPr>
          <w:rtl w:val="0"/>
        </w:rPr>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of 7up Bottling Company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company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SCOPE OF THE STUDY</w:t>
      </w:r>
      <w:r w:rsidDel="00000000" w:rsidR="00000000" w:rsidRPr="00000000">
        <w:rPr>
          <w:rtl w:val="0"/>
        </w:rPr>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productivity in the Health sector. UITH is a health institution with the primary aim of ensuring normalcy in Nigeria Health System.</w:t>
      </w: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work would cover an in-depth study of the industry selected output at the preceding period of production for period of five years covering 2013 to 2024,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Accident: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unfortunate incident that happens unexpectedly and unintentionally, typically resulting in damage or injury.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Hazard</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something that can cause harm if not controlled.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combination of the probability that a particular outcome will occur and the severity of the harm involved.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person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who is hired to provide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services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a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company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regular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basis in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exchange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compensation and who does not provide these services as part of an independent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Health: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Organization: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social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people, systematically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structured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managed to meet a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need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to pursue collective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goals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continuing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basis.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Performance: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accomplishment of a given </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task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measured against preset known standards of </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accuracy,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completeness,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cost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speed. In a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contract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performance is </w:t>
      </w:r>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deemed</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be the </w:t>
      </w: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fulfillment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an </w:t>
      </w:r>
      <w:hyperlink r:id="r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obligation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a manner that </w:t>
      </w:r>
      <w:hyperlink r:id="r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releases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performer from all </w:t>
      </w:r>
      <w:hyperlink r:id="rId2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liabilities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under the contract.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Policy: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set of basic principles and </w:t>
      </w:r>
      <w:hyperlink r:id="r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associated </w:t>
        </w:r>
      </w:hyperlink>
      <w:hyperlink r:id="rId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guidelines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formulated and enforced by the governing body of an </w:t>
      </w:r>
      <w:hyperlink r:id="rId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direct and limit its </w:t>
      </w:r>
      <w:hyperlink r:id="rId3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actions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pursuit of </w:t>
      </w:r>
      <w:hyperlink r:id="r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long-term </w:t>
        </w:r>
      </w:hyperlink>
      <w:hyperlink r:id="rId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goals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Safety: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Relative </w:t>
      </w:r>
      <w:hyperlink r:id="r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freedom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w:t>
      </w:r>
      <w:hyperlink r:id="rId3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danger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3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risk</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w:t>
      </w:r>
      <w:hyperlink r:id="rId3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threat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w:t>
      </w:r>
      <w:hyperlink r:id="rId4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injury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loss to </w:t>
      </w:r>
      <w:hyperlink r:id="r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personnel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and/or </w:t>
      </w:r>
      <w:hyperlink r:id="rId4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property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whether caused deliberately or by </w:t>
      </w:r>
      <w:hyperlink r:id="rId4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accident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r w:rsidDel="00000000" w:rsidR="00000000" w:rsidRPr="00000000">
        <w:rPr>
          <w:rtl w:val="0"/>
        </w:rPr>
      </w:r>
    </w:p>
    <w:p w:rsidR="00000000" w:rsidDel="00000000" w:rsidP="00000000" w:rsidRDefault="00000000" w:rsidRPr="00000000" w14:paraId="0000008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90">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2.1</w:t>
        <w:tab/>
        <w:tab/>
        <w:t xml:space="preserve">INTRODUCTION</w:t>
      </w:r>
    </w:p>
    <w:p w:rsidR="00000000" w:rsidDel="00000000" w:rsidP="00000000" w:rsidRDefault="00000000" w:rsidRPr="00000000" w14:paraId="00000091">
      <w:pPr>
        <w:spacing w:after="0" w:line="36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CONCEPTUAL CLARIFICATION</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OCCUPATIONAL SAFETY AND HEALTH (OSH) </w:t>
      </w:r>
      <w:r w:rsidDel="00000000" w:rsidR="00000000" w:rsidRPr="00000000">
        <w:rPr>
          <w:rtl w:val="0"/>
        </w:rPr>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000000" w:rsidDel="00000000" w:rsidP="00000000" w:rsidRDefault="00000000" w:rsidRPr="00000000" w14:paraId="0000009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Labor Organization and World Health Organisation in (1950s) define “occupational health and safety as protecting and maintaining the highest level of physical, mental and social well-being of workers in all occupations”.</w:t>
      </w:r>
    </w:p>
    <w:p w:rsidR="00000000" w:rsidDel="00000000" w:rsidP="00000000" w:rsidRDefault="00000000" w:rsidRPr="00000000" w14:paraId="0000009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000000" w:rsidDel="00000000" w:rsidP="00000000" w:rsidRDefault="00000000" w:rsidRPr="00000000" w14:paraId="0000009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000000" w:rsidDel="00000000" w:rsidP="00000000" w:rsidRDefault="00000000" w:rsidRPr="00000000" w14:paraId="0000009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Encyclopedia  America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000000" w:rsidDel="00000000" w:rsidP="00000000" w:rsidRDefault="00000000" w:rsidRPr="00000000" w14:paraId="0000009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goal of all occupational health and safety programme is to foster a safe working environment.</w:t>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2.1.2.</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OCCUPATIONAL HAZARDS</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Occupational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(Borman, 2004).</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Labor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2.2.3.</w:t>
        <w:tab/>
        <w:t xml:space="preserve">CONCEPT OF OCCUPATION HEALTH AND SAFETY: GLOBAL PERSPECTIVE</w:t>
      </w:r>
    </w:p>
    <w:p w:rsidR="00000000" w:rsidDel="00000000" w:rsidP="00000000" w:rsidRDefault="00000000" w:rsidRPr="00000000" w14:paraId="000000A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(Entwistle, 2003).</w:t>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(Kalejaiye, 2013).</w:t>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occupational  health  services  brought about  the  enactment  of  safety  laws  and  Regulations  in 1833.  The general conviction then that accidents were predestined and inevitable was no longer acceptable to a growing population of the English public (Nwajei, 2003).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(Nwajei, 2003).</w:t>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all started in 1802 when the British parliament passed the  “Health  and  Morals  Act,”  aimed  at  regulating  the labor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(Duebenspeek, 2004).</w:t>
      </w:r>
    </w:p>
    <w:p w:rsidR="00000000" w:rsidDel="00000000" w:rsidP="00000000" w:rsidRDefault="00000000" w:rsidRPr="00000000" w14:paraId="000000A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(Entwistle, 2010).</w:t>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2.2.4.</w:t>
        <w:tab/>
        <w:t xml:space="preserve">THE DEVELOPMENT OF OCCUPATIONAL HEALTH IN NIGERIA</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(Kalejaiye, 2013).</w:t>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2.2.5</w:t>
        <w:tab/>
        <w:t xml:space="preserve">OCCUPATIONAL HEALTH RISKS (OHRS) IN NIGERIA</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000000" w:rsidDel="00000000" w:rsidP="00000000" w:rsidRDefault="00000000" w:rsidRPr="00000000" w14:paraId="000000B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2.2.6</w:t>
        <w:tab/>
        <w:t xml:space="preserve">HEALTH AND SAFETY POLICIES AND PROGRAMMES IN THE WORK PLACE IN NIGERIA  </w:t>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000000" w:rsidDel="00000000" w:rsidP="00000000" w:rsidRDefault="00000000" w:rsidRPr="00000000" w14:paraId="000000B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000000" w:rsidDel="00000000" w:rsidP="00000000" w:rsidRDefault="00000000" w:rsidRPr="00000000" w14:paraId="000000C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also interaction between work hazards and chronic diseases such as malaria, diabetes, hypertension and cancer.  Types of health problems include labor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(Folawiyo, 2005).</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2.2.6.</w:t>
        <w:tab/>
        <w:t xml:space="preserve">Development of occupational health in Nigeria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including construction came into being.</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 Britain.</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after the abolition of slave trade, the Royal Niger Company of Britain increased its exploration and trading activities in Nigeria. The Company organized its own health services which were later inherited by the United African Company (UAC).</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 Service. Comfort, 2012.</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 among others. Feeding was very poor; workers were dying in their forties and fifties.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had no knowledge between work conditions and health. They accepted work related illnesses and injuries as part of the job and lived shorter lives. Employers attributed workers' poor health and early death to workers' personal habits on the job and their living conditions at home. Little or no attention was paid to prevention of the hazards in work places. Azuekoto, 2015.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centers to take care of the sick injured workers. The increased industrialization and its impact on health, safety and welfare of workers lead to the creation of occupational health unit in the Federal Ministry of Health and the Institute of Occupational Health in Oyo State Ministry of Health. Oloriegbe, 2017.</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agencies organized courses for managers, safety officers, medical officers, occupational hygienists, and other personnel involved with the protection, maintenance and promotion of health and welfare of workers in Nigeria.</w:t>
      </w:r>
    </w:p>
    <w:p w:rsidR="00000000" w:rsidDel="00000000" w:rsidP="00000000" w:rsidRDefault="00000000" w:rsidRPr="00000000" w14:paraId="000000D1">
      <w:pPr>
        <w:pStyle w:val="Heading1"/>
        <w:spacing w:before="0" w:line="360" w:lineRule="auto"/>
        <w:ind w:left="0" w:right="11" w:firstLine="0"/>
        <w:rPr>
          <w:sz w:val="28"/>
          <w:szCs w:val="28"/>
        </w:rPr>
      </w:pPr>
      <w:r w:rsidDel="00000000" w:rsidR="00000000" w:rsidRPr="00000000">
        <w:rPr>
          <w:sz w:val="28"/>
          <w:szCs w:val="28"/>
          <w:rtl w:val="0"/>
        </w:rPr>
        <w:t xml:space="preserve">2.2.7</w:t>
        <w:tab/>
        <w:t xml:space="preserve">Source and History Of The Employee Health And Safety Policy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Animashahun, 2000.</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Initially, it was thought that the employees were being made objects of servitude but in the long run it became apparent that this sort of relationship requires the incorporation of rules to avoid either party being cheated outrightly. Labor law which was fashioned to ameliorate the prevalent crisis engulfing the industry in England at a time was adopted in Nigeria as a direct consequence of colonialism by the United Kingdom.</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History and sources of Nigerian Labor Law in which we have the factory Act where the health and safety of the employees is well spelled-out and protected may be divided into legal and extra-legal sources. Extra-legal sources, in contradistinction to the legal sources are those created by the voluntary conduct of the parties.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legal sources of Nigeria Labor Law are:</w:t>
      </w:r>
    </w:p>
    <w:p w:rsidR="00000000" w:rsidDel="00000000" w:rsidP="00000000" w:rsidRDefault="00000000" w:rsidRPr="00000000" w14:paraId="000000D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Nigerian constitution</w:t>
      </w:r>
    </w:p>
    <w:p w:rsidR="00000000" w:rsidDel="00000000" w:rsidP="00000000" w:rsidRDefault="00000000" w:rsidRPr="00000000" w14:paraId="000000D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Nigeria‟s statutes</w:t>
      </w:r>
    </w:p>
    <w:p w:rsidR="00000000" w:rsidDel="00000000" w:rsidP="00000000" w:rsidRDefault="00000000" w:rsidRPr="00000000" w14:paraId="000000D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received English law, comprising</w:t>
      </w:r>
    </w:p>
    <w:p w:rsidR="00000000" w:rsidDel="00000000" w:rsidP="00000000" w:rsidRDefault="00000000" w:rsidRPr="00000000" w14:paraId="000000D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common law,</w:t>
      </w:r>
    </w:p>
    <w:p w:rsidR="00000000" w:rsidDel="00000000" w:rsidP="00000000" w:rsidRDefault="00000000" w:rsidRPr="00000000" w14:paraId="000000D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doctrines of equity; and</w:t>
      </w:r>
    </w:p>
    <w:p w:rsidR="00000000" w:rsidDel="00000000" w:rsidP="00000000" w:rsidRDefault="00000000" w:rsidRPr="00000000" w14:paraId="000000D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Statutes of general applications in force in England on January 1, 1990.</w:t>
      </w:r>
    </w:p>
    <w:p w:rsidR="00000000" w:rsidDel="00000000" w:rsidP="00000000" w:rsidRDefault="00000000" w:rsidRPr="00000000" w14:paraId="000000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Nigerian case law i.e. decisions of Nigerian courts relevant to labor law.</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extra-legal sources, on the other hand, include;</w:t>
      </w:r>
    </w:p>
    <w:p w:rsidR="00000000" w:rsidDel="00000000" w:rsidP="00000000" w:rsidRDefault="00000000" w:rsidRPr="00000000" w14:paraId="000000D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Collective agreements</w:t>
      </w:r>
    </w:p>
    <w:p w:rsidR="00000000" w:rsidDel="00000000" w:rsidP="00000000" w:rsidRDefault="00000000" w:rsidRPr="00000000" w14:paraId="000000E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39"/>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Workplace notices and documents e.g. rule books and handbooks</w:t>
      </w:r>
    </w:p>
    <w:p w:rsidR="00000000" w:rsidDel="00000000" w:rsidP="00000000" w:rsidRDefault="00000000" w:rsidRPr="00000000" w14:paraId="000000E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26"/>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 and practices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Labor  law  in  Nigeria  is  generally  defined  as  that  branch  of  the  country‟s  law  which regulates industrial relations. In essence, labor laws are meant to guarantee peace and harmony in the industry so as to increase productivity and profits.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labor laws are largely a reflection of our colonial heritage. By virtue of this, many principles of British labor law featured prominently in our labor statutes. Jude, 2004.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Okoye, 2007.</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Factories Act, cap 126 laws of the Federation of Nigeria (LFN) 1990 was primarily designed to govern order and regulate industrial activities generally. It is under this same chapter that we see all occupational/employees' health and safety policies as the government is concerned. Folami, 2024.</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labor in factories, to take various precautions for the protection of their work-people…” Section 89(1) of the Factories Act, 1990 which is in pari material with section 175 of the English Factories Act, 1961, which replaced section151 of the 1937 Act defines what a factory is. It is also important to state that it has earlier being said that Nigeria Labor Law principally is derived from English Labor Law and as such the Factories Act, LFN 1990 is the Nigerian version of the English Factories Act of 1961 albeit with little modification to fit into our own peculiar local circumstances. Igbayilola, 2015.</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000000" w:rsidDel="00000000" w:rsidP="00000000" w:rsidRDefault="00000000" w:rsidRPr="00000000" w14:paraId="000000E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factory premises must be used for trade or gain in order to qualify as a factory. The phrase “trade” or “gain” connotes an intention to make profit. Thus, the kitchen of a manual hospital had been held not to be a factory because the mincing of meat by electrical means carried on in it was not carried on by way of trade or gain.</w:t>
      </w:r>
    </w:p>
    <w:p w:rsidR="00000000" w:rsidDel="00000000" w:rsidP="00000000" w:rsidRDefault="00000000" w:rsidRPr="00000000" w14:paraId="000000E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60"/>
        </w:tabs>
        <w:spacing w:after="0" w:before="0" w:line="360" w:lineRule="auto"/>
        <w:ind w:left="0" w:right="11"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employer must have access to or control over the premises if the place is to be a factory.</w:t>
      </w:r>
    </w:p>
    <w:p w:rsidR="00000000" w:rsidDel="00000000" w:rsidP="00000000" w:rsidRDefault="00000000" w:rsidRPr="00000000" w14:paraId="000000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7"/>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the person or persons who work in a factory must be employed. Thus it has been held that a prison workshop was not a factory under the definition of factory in the Act since there was no relationship of master and servant or employment for wages.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second part of the Act,(Part II) which is on general health provisions, imposes on the occupiers of factories, duties designed to protect the health of those employed in such places. Sections 7-12 deal with cleanliness, overcrowding, ventilation, lighting, damage of floors and sanitary conveniences.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principal provisions of part III of the Act are those dealing with general safety provisions with particular emphasis on the provision for fencing of machinery. Machinery under the Act is divided into three classes;</w:t>
      </w:r>
    </w:p>
    <w:p w:rsidR="00000000" w:rsidDel="00000000" w:rsidP="00000000" w:rsidRDefault="00000000" w:rsidRPr="00000000" w14:paraId="000000E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7"/>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Prime movers: these are engines, motors and other enhancements which provide mechanical energy derived from steam, water, wind, electricity, the combustion of fuel and other sources.</w:t>
      </w:r>
    </w:p>
    <w:p w:rsidR="00000000" w:rsidDel="00000000" w:rsidP="00000000" w:rsidRDefault="00000000" w:rsidRPr="00000000" w14:paraId="000000E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5"/>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Transmission Machinery: This consists of every shaft, wheel, drum, pulley, and system of fast and loose pulleys, coupling, clutch, driving-belt or other devices by which the motion of a prime mover is transmitted to or received by any machine or appliances.</w:t>
      </w:r>
    </w:p>
    <w:p w:rsidR="00000000" w:rsidDel="00000000" w:rsidP="00000000" w:rsidRDefault="00000000" w:rsidRPr="00000000" w14:paraId="000000E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65"/>
        </w:tabs>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dangerous parts of machinery. It is obligatory on the occupier of a factory to securely fence there parts of a machinery unless they are in such position or of such construction as to be safe to every person employed or working on the promises as it would be if securely fenced.</w:t>
      </w:r>
    </w:p>
    <w:p w:rsidR="00000000" w:rsidDel="00000000" w:rsidP="00000000" w:rsidRDefault="00000000" w:rsidRPr="00000000" w14:paraId="000000F0">
      <w:pPr>
        <w:pStyle w:val="Heading1"/>
        <w:numPr>
          <w:ilvl w:val="2"/>
          <w:numId w:val="16"/>
        </w:numPr>
        <w:spacing w:before="0" w:line="360" w:lineRule="auto"/>
        <w:ind w:left="720" w:right="11" w:hanging="720"/>
        <w:rPr>
          <w:sz w:val="28"/>
          <w:szCs w:val="28"/>
        </w:rPr>
      </w:pPr>
      <w:r w:rsidDel="00000000" w:rsidR="00000000" w:rsidRPr="00000000">
        <w:rPr>
          <w:sz w:val="28"/>
          <w:szCs w:val="28"/>
          <w:rtl w:val="0"/>
        </w:rPr>
        <w:t xml:space="preserve">Occupational Health and Safety Law/Policies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relates to health and safety at work. Ola-Oluwa, 2016</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000000" w:rsidDel="00000000" w:rsidP="00000000" w:rsidRDefault="00000000" w:rsidRPr="00000000" w14:paraId="000000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Continuous education of personnel and the creation of societies for occupational health practitioners in Nigeria: physicians, nurses, safety officers, hygienists, etc.</w:t>
      </w:r>
    </w:p>
    <w:p w:rsidR="00000000" w:rsidDel="00000000" w:rsidP="00000000" w:rsidRDefault="00000000" w:rsidRPr="00000000" w14:paraId="000000F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increasing demand for the creation of divisions of OH&amp;S in the Nigerian government; in health ministries at the state and national levels; and the improvement of health systems in the local governments.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initiatives led to legislation that included the Labor Act of 1974, the Factories Act of 1987, and the Workman‟s Compensation Act of 1987.The Factories Act was enacted to make general and special provisions for the health, safety and welfare of persons employed in places statutorily defined as “factories” and for which a certificate of registration is required by law. Additionally, the Act includes general provisions regarding standards of cleanliness, crowding/overcrowding, ventilation, lighting, drainage of floors, and sanitary conveniences, i.e., all factories must have portable water and washing facilities. Igbokwe, (2013)</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Ngozi (2011) edition of the Global Policy Brief journal” The 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safety of the employee at work.</w:t>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2.2.7</w:t>
        <w:tab/>
        <w:t xml:space="preserve">CONCEPT OF ORGANIZATIONAL PERFORMANCE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Richard et al. (2009) organizational performance encompasses three specific areas of firm outcomes: </w:t>
      </w:r>
    </w:p>
    <w:p w:rsidR="00000000" w:rsidDel="00000000" w:rsidP="00000000" w:rsidRDefault="00000000" w:rsidRPr="00000000" w14:paraId="000000F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Financial performance (profits, return on assets, return on investment, etc.); </w:t>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product market performance (sales, market share, etc.); and </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Shareholder return (total shareholder return, economic value added, etc.). The term </w:t>
      </w:r>
      <w:hyperlink r:id="rId4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Organizational effectiveness</w:t>
        </w:r>
      </w:hyperlink>
      <w:hyperlink r:id="rId4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superscript"/>
            <w:rtl w:val="0"/>
          </w:rPr>
          <w:t xml:space="preserve">[2]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broader.</w:t>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Specialists in many fields are concerned with organizational performance including strategic planners, operations, finance, legal, and </w:t>
      </w:r>
      <w:hyperlink r:id="rId47">
        <w:r w:rsidDel="00000000" w:rsidR="00000000" w:rsidRPr="00000000">
          <w:rPr>
            <w:rFonts w:ascii="Times New Roman" w:cs="Times New Roman" w:eastAsia="Times New Roman" w:hAnsi="Times New Roman"/>
            <w:color w:val="0000ff"/>
            <w:sz w:val="28"/>
            <w:szCs w:val="28"/>
            <w:u w:val="single"/>
            <w:rtl w:val="0"/>
          </w:rPr>
          <w:t xml:space="preserve">organizational development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recent years, many organizations have attempted to manage organizational performance using the balanced scorecard methodology where performance is tracked and measured in multiple dimensions such as:</w:t>
      </w:r>
    </w:p>
    <w:p w:rsidR="00000000" w:rsidDel="00000000" w:rsidP="00000000" w:rsidRDefault="00000000" w:rsidRPr="00000000" w14:paraId="00000100">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performance (e.g. shareholder return).</w:t>
      </w:r>
    </w:p>
    <w:p w:rsidR="00000000" w:rsidDel="00000000" w:rsidP="00000000" w:rsidRDefault="00000000" w:rsidRPr="00000000" w14:paraId="00000101">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Customer service.</w:t>
      </w:r>
    </w:p>
    <w:p w:rsidR="00000000" w:rsidDel="00000000" w:rsidP="00000000" w:rsidRDefault="00000000" w:rsidRPr="00000000" w14:paraId="00000102">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responsibility (e.g. corporate citizenship, community outreach).</w:t>
      </w:r>
    </w:p>
    <w:p w:rsidR="00000000" w:rsidDel="00000000" w:rsidP="00000000" w:rsidRDefault="00000000" w:rsidRPr="00000000" w14:paraId="00000103">
      <w:pPr>
        <w:numPr>
          <w:ilvl w:val="0"/>
          <w:numId w:val="17"/>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 stewardship.</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organization itself does not perform any work but its managers are performing their assigned works and in a combination of these performed works is called organization performance.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factors are to be performed by organization such as human and </w:t>
      </w:r>
      <w:hyperlink r:id="rId48">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cultural factors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technology, natural recourses, economic factors, regulatory measures, markets, </w:t>
      </w:r>
      <w:hyperlink r:id="rId49">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management philosophy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50">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organizational culture (Goals, Value, Beliefs &amp; Norms)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organizational climate, motivated behavior and teamwork, structure, technological and physical resources, financial resources, leadership style.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combination of these resources, the organization gets some outcome such as effectiveness, efficiency, development and participant’s satisfaction.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using all supports and efforts when the organization produces a product or service that is called the organizational performance.</w:t>
      </w:r>
    </w:p>
    <w:p w:rsidR="00000000" w:rsidDel="00000000" w:rsidP="00000000" w:rsidRDefault="00000000" w:rsidRPr="00000000" w14:paraId="00000108">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2.2.8</w:t>
        <w:tab/>
        <w:t xml:space="preserve">Factors of Organizational Performance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Organizations vary according to the relative influence of a number of factors related to both the objective of the organization and the instruments and strategies chosen to achieve them.</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factors, which determine the structure, aims, and activities of the organization, can be grouped into:</w:t>
      </w:r>
    </w:p>
    <w:p w:rsidR="00000000" w:rsidDel="00000000" w:rsidP="00000000" w:rsidRDefault="00000000" w:rsidRPr="00000000" w14:paraId="0000010B">
      <w:pPr>
        <w:numPr>
          <w:ilvl w:val="0"/>
          <w:numId w:val="18"/>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External factors: </w:t>
      </w:r>
      <w:r w:rsidDel="00000000" w:rsidR="00000000" w:rsidRPr="00000000">
        <w:rPr>
          <w:rFonts w:ascii="Times New Roman" w:cs="Times New Roman" w:eastAsia="Times New Roman" w:hAnsi="Times New Roman"/>
          <w:sz w:val="28"/>
          <w:szCs w:val="28"/>
          <w:rtl w:val="0"/>
        </w:rPr>
        <w:t xml:space="preserve">Those from the enabling environments which are not under the control of the organization but which affect its structure and development. They include:</w:t>
      </w:r>
    </w:p>
    <w:p w:rsidR="00000000" w:rsidDel="00000000" w:rsidP="00000000" w:rsidRDefault="00000000" w:rsidRPr="00000000" w14:paraId="0000010C">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factors</w:t>
      </w:r>
    </w:p>
    <w:p w:rsidR="00000000" w:rsidDel="00000000" w:rsidP="00000000" w:rsidRDefault="00000000" w:rsidRPr="00000000" w14:paraId="0000010D">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Socio-economic factors</w:t>
      </w:r>
    </w:p>
    <w:p w:rsidR="00000000" w:rsidDel="00000000" w:rsidP="00000000" w:rsidRDefault="00000000" w:rsidRPr="00000000" w14:paraId="0000010E">
      <w:pPr>
        <w:numPr>
          <w:ilvl w:val="0"/>
          <w:numId w:val="19"/>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Political-administrative factors</w:t>
      </w:r>
    </w:p>
    <w:p w:rsidR="00000000" w:rsidDel="00000000" w:rsidP="00000000" w:rsidRDefault="00000000" w:rsidRPr="00000000" w14:paraId="0000010F">
      <w:pPr>
        <w:numPr>
          <w:ilvl w:val="0"/>
          <w:numId w:val="20"/>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Internal factors:</w:t>
      </w:r>
      <w:r w:rsidDel="00000000" w:rsidR="00000000" w:rsidRPr="00000000">
        <w:rPr>
          <w:rFonts w:ascii="Times New Roman" w:cs="Times New Roman" w:eastAsia="Times New Roman" w:hAnsi="Times New Roman"/>
          <w:sz w:val="28"/>
          <w:szCs w:val="28"/>
          <w:rtl w:val="0"/>
        </w:rPr>
        <w:t xml:space="preserve"> Organizational characteristics, including:</w:t>
      </w:r>
    </w:p>
    <w:p w:rsidR="00000000" w:rsidDel="00000000" w:rsidP="00000000" w:rsidRDefault="00000000" w:rsidRPr="00000000" w14:paraId="00000110">
      <w:pPr>
        <w:numPr>
          <w:ilvl w:val="0"/>
          <w:numId w:val="21"/>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Purpose of the organization</w:t>
      </w:r>
    </w:p>
    <w:p w:rsidR="00000000" w:rsidDel="00000000" w:rsidP="00000000" w:rsidRDefault="00000000" w:rsidRPr="00000000" w14:paraId="00000111">
      <w:pPr>
        <w:numPr>
          <w:ilvl w:val="0"/>
          <w:numId w:val="21"/>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Organizational instruments</w:t>
      </w:r>
    </w:p>
    <w:p w:rsidR="00000000" w:rsidDel="00000000" w:rsidP="00000000" w:rsidRDefault="00000000" w:rsidRPr="00000000" w14:paraId="00000112">
      <w:pPr>
        <w:numPr>
          <w:ilvl w:val="0"/>
          <w:numId w:val="22"/>
        </w:numPr>
        <w:shd w:fill="ffffff" w:val="clear"/>
        <w:spacing w:after="0" w:line="36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Individual choice factors:</w:t>
      </w:r>
      <w:r w:rsidDel="00000000" w:rsidR="00000000" w:rsidRPr="00000000">
        <w:rPr>
          <w:rFonts w:ascii="Times New Roman" w:cs="Times New Roman" w:eastAsia="Times New Roman" w:hAnsi="Times New Roman"/>
          <w:sz w:val="28"/>
          <w:szCs w:val="28"/>
          <w:rtl w:val="0"/>
        </w:rPr>
        <w:t xml:space="preserve"> Members joint or individual decisions regarding expected costs and benefits.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Older studies, especially in the 1970s, focused on the influence of internal factors, while more recent work has emphasized the importance of all three sets of factors.</w:t>
      </w:r>
    </w:p>
    <w:p w:rsidR="00000000" w:rsidDel="00000000" w:rsidP="00000000" w:rsidRDefault="00000000" w:rsidRPr="00000000" w14:paraId="00000114">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2.2.9</w:t>
        <w:tab/>
        <w:t xml:space="preserve">Organizational Performance Model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Causal Model of Organizational Performance and Change, or the Burke &amp; Litwin Model, suggests linkages that hypothesize how performance is affected by internal and external factors.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provides a framework to assess organizational and environmental dimensions that are keys to successful change and it demonstrates how these dimensions should be linked causally to achieve a change in performance.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focuses on providing a guide for both organizational diagnoses and planned, managed organizational change, one that clearly shows cause-and-effect relationships.</w:t>
      </w:r>
    </w:p>
    <w:p w:rsidR="00000000" w:rsidDel="00000000" w:rsidP="00000000" w:rsidRDefault="00000000" w:rsidRPr="00000000" w14:paraId="00000119">
      <w:pPr>
        <w:pStyle w:val="Heading3"/>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Outline of the Model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revolves around 12 organizational dimensions:</w:t>
      </w:r>
    </w:p>
    <w:p w:rsidR="00000000" w:rsidDel="00000000" w:rsidP="00000000" w:rsidRDefault="00000000" w:rsidRPr="00000000" w14:paraId="0000011B">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External environment</w:t>
      </w:r>
    </w:p>
    <w:p w:rsidR="00000000" w:rsidDel="00000000" w:rsidP="00000000" w:rsidRDefault="00000000" w:rsidRPr="00000000" w14:paraId="0000011C">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Mission and strategy</w:t>
      </w:r>
    </w:p>
    <w:p w:rsidR="00000000" w:rsidDel="00000000" w:rsidP="00000000" w:rsidRDefault="00000000" w:rsidRPr="00000000" w14:paraId="0000011D">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Leadership</w:t>
      </w:r>
    </w:p>
    <w:p w:rsidR="00000000" w:rsidDel="00000000" w:rsidP="00000000" w:rsidRDefault="00000000" w:rsidRPr="00000000" w14:paraId="0000011E">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Organizational culture</w:t>
      </w:r>
    </w:p>
    <w:p w:rsidR="00000000" w:rsidDel="00000000" w:rsidP="00000000" w:rsidRDefault="00000000" w:rsidRPr="00000000" w14:paraId="0000011F">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Structure</w:t>
      </w:r>
    </w:p>
    <w:p w:rsidR="00000000" w:rsidDel="00000000" w:rsidP="00000000" w:rsidRDefault="00000000" w:rsidRPr="00000000" w14:paraId="00000120">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practices</w:t>
      </w:r>
    </w:p>
    <w:p w:rsidR="00000000" w:rsidDel="00000000" w:rsidP="00000000" w:rsidRDefault="00000000" w:rsidRPr="00000000" w14:paraId="00000121">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Systems</w:t>
      </w:r>
    </w:p>
    <w:p w:rsidR="00000000" w:rsidDel="00000000" w:rsidP="00000000" w:rsidRDefault="00000000" w:rsidRPr="00000000" w14:paraId="00000122">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unit climate</w:t>
      </w:r>
    </w:p>
    <w:p w:rsidR="00000000" w:rsidDel="00000000" w:rsidP="00000000" w:rsidRDefault="00000000" w:rsidRPr="00000000" w14:paraId="00000123">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Task and individual skills</w:t>
      </w:r>
    </w:p>
    <w:p w:rsidR="00000000" w:rsidDel="00000000" w:rsidP="00000000" w:rsidRDefault="00000000" w:rsidRPr="00000000" w14:paraId="00000124">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needs and values</w:t>
      </w:r>
    </w:p>
    <w:p w:rsidR="00000000" w:rsidDel="00000000" w:rsidP="00000000" w:rsidRDefault="00000000" w:rsidRPr="00000000" w14:paraId="00000125">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Motivation</w:t>
      </w:r>
    </w:p>
    <w:p w:rsidR="00000000" w:rsidDel="00000000" w:rsidP="00000000" w:rsidRDefault="00000000" w:rsidRPr="00000000" w14:paraId="00000126">
      <w:pPr>
        <w:numPr>
          <w:ilvl w:val="0"/>
          <w:numId w:val="23"/>
        </w:numPr>
        <w:shd w:fill="ffffff" w:val="clea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and organizational performance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model also distinguishes between transformational and transactional organizational dynamics in organizations.</w:t>
      </w:r>
    </w:p>
    <w:p w:rsidR="00000000" w:rsidDel="00000000" w:rsidP="00000000" w:rsidRDefault="00000000" w:rsidRPr="00000000" w14:paraId="00000128">
      <w:pPr>
        <w:pStyle w:val="Heading2"/>
        <w:shd w:fill="ffffff" w:val="clear"/>
        <w:spacing w:after="0" w:before="0" w:line="360" w:lineRule="auto"/>
        <w:jc w:val="both"/>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2.2.10</w:t>
        <w:tab/>
        <w:t xml:space="preserve">Internal and External Environment of Organizational Performance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Alex (2014) opines that environmental factors play a major role in determining an organization’s success or failure. Managers should strive to maintain the proper alignment between their organizations and their environment.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organization’s internal environment is composed of the </w:t>
      </w:r>
      <w:hyperlink r:id="rId51">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elements within the organization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including current employees, management, and especially corporate culture, which defines employee behavior. Although some elements affect the organization as a whole, others affect only the manager.</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manager’s philosophical or leadership style directly impacts employees. Traditional managers give explicit instructions to employees, while progressive managers empower employees to make many of their own decisions.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Individual employees and the labor unions they sometimes join are other important parts of the internal environment. The physical environment, yet another part of the internal environment, varies greatly across organizations.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000000" w:rsidDel="00000000" w:rsidP="00000000" w:rsidRDefault="00000000" w:rsidRPr="00000000" w14:paraId="000001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THEORETICAL REVIEW</w:t>
      </w:r>
    </w:p>
    <w:p w:rsidR="00000000" w:rsidDel="00000000" w:rsidP="00000000" w:rsidRDefault="00000000" w:rsidRPr="00000000" w14:paraId="000001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2.3.1</w:t>
        <w:tab/>
        <w:t xml:space="preserve">MAXIMIZATION THEORY</w:t>
      </w:r>
    </w:p>
    <w:p w:rsidR="00000000" w:rsidDel="00000000" w:rsidP="00000000" w:rsidRDefault="00000000" w:rsidRPr="00000000" w14:paraId="0000013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13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13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13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135">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3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3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3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3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2.3.2</w:t>
        <w:tab/>
        <w:t xml:space="preserve">STIMULUS-BASED THEORY</w:t>
      </w:r>
    </w:p>
    <w:p w:rsidR="00000000" w:rsidDel="00000000" w:rsidP="00000000" w:rsidRDefault="00000000" w:rsidRPr="00000000" w14:paraId="0000013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000000" w:rsidDel="00000000" w:rsidP="00000000" w:rsidRDefault="00000000" w:rsidRPr="00000000" w14:paraId="000001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2.3.3</w:t>
        <w:tab/>
        <w:t xml:space="preserve">ROLE THEORY </w:t>
      </w:r>
    </w:p>
    <w:p w:rsidR="00000000" w:rsidDel="00000000" w:rsidP="00000000" w:rsidRDefault="00000000" w:rsidRPr="00000000" w14:paraId="0000013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000000" w:rsidDel="00000000" w:rsidP="00000000" w:rsidRDefault="00000000" w:rsidRPr="00000000" w14:paraId="0000013F">
      <w:pPr>
        <w:spacing w:after="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14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14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w:t>
      </w:r>
    </w:p>
    <w:p w:rsidR="00000000" w:rsidDel="00000000" w:rsidP="00000000" w:rsidRDefault="00000000" w:rsidRPr="00000000" w14:paraId="0000014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w:t>
        <w:tab/>
        <w:t xml:space="preserve">RESEARCH DESIGN</w:t>
      </w:r>
    </w:p>
    <w:p w:rsidR="00000000" w:rsidDel="00000000" w:rsidP="00000000" w:rsidRDefault="00000000" w:rsidRPr="00000000" w14:paraId="0000014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 </w:t>
      </w:r>
    </w:p>
    <w:p w:rsidR="00000000" w:rsidDel="00000000" w:rsidP="00000000" w:rsidRDefault="00000000" w:rsidRPr="00000000" w14:paraId="000001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for this research is the staff in the departments and units in UITH, Ilorin serves as the sample frame for the study.</w:t>
      </w:r>
    </w:p>
    <w:p w:rsidR="00000000" w:rsidDel="00000000" w:rsidP="00000000" w:rsidRDefault="00000000" w:rsidRPr="00000000" w14:paraId="000001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SAMPLE SIZE AND SAMPLING TECHNIQUE</w: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 plant.</w:t>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3.5</w:t>
        <w:tab/>
        <w:t xml:space="preserve">METHOD OF DATA COLLECTION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3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Primary data: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collection techniques used was the questionnaire, and observation. </w:t>
      </w:r>
    </w:p>
    <w:p w:rsidR="00000000" w:rsidDel="00000000" w:rsidP="00000000" w:rsidRDefault="00000000" w:rsidRPr="00000000" w14:paraId="000001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Secondary data: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these were collected from textbooks, journal, and publication including records of UITH.</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INSTRUMENT OF DATA COLLECTION </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was obtained from the UITH staffs and general public. Using questionnaire constituting of closed ended questionnaire targeted at the UITH staff, staffs customers and general public.</w:t>
      </w:r>
    </w:p>
    <w:p w:rsidR="00000000" w:rsidDel="00000000" w:rsidP="00000000" w:rsidRDefault="00000000" w:rsidRPr="00000000" w14:paraId="000001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This will consists of structural items to elicit information from the respondents; this is adopted because it allows a systematic collection of information about the object of the study</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w:t>
        <w:tab/>
        <w:t xml:space="preserve">METHOD OF DATA ANALYSIS</w:t>
      </w:r>
    </w:p>
    <w:p w:rsidR="00000000" w:rsidDel="00000000" w:rsidP="00000000" w:rsidRDefault="00000000" w:rsidRPr="00000000" w14:paraId="0000015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000000" w:rsidDel="00000000" w:rsidP="00000000" w:rsidRDefault="00000000" w:rsidRPr="00000000" w14:paraId="0000015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significance of the relationship will be tested at 95% and 99% confidence level or 0.05 and 0.01 significant levels respectively using the student ‘t’ test.</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The decision rule is to reject the null hypothesis (H</w:t>
      </w:r>
      <w:r w:rsidDel="00000000" w:rsidR="00000000" w:rsidRPr="00000000">
        <w:rPr>
          <w:rFonts w:ascii="Times New Roman" w:cs="Times New Roman" w:eastAsia="Times New Roman" w:hAnsi="Times New Roman"/>
          <w:sz w:val="28"/>
          <w:szCs w:val="28"/>
          <w:vertAlign w:val="subscript"/>
          <w:rtl w:val="0"/>
        </w:rPr>
        <w:t xml:space="preserve">o</w:t>
      </w:r>
      <w:r w:rsidDel="00000000" w:rsidR="00000000" w:rsidRPr="00000000">
        <w:rPr>
          <w:rFonts w:ascii="Times New Roman" w:cs="Times New Roman" w:eastAsia="Times New Roman" w:hAnsi="Times New Roman"/>
          <w:sz w:val="28"/>
          <w:szCs w:val="28"/>
          <w:rtl w:val="0"/>
        </w:rPr>
        <w:t xml:space="preserve">) if the obtained or calculated‘t’ value is greater than the critical or tabulated value. It is however accepted, if the obtained or calculated’ is less than the critical or tabulated value.</w:t>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Simple correlation method measures the degree of association between two variables. The formula for finding percentage score is presented below;</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 score= </w:t>
      </w:r>
      <w:r w:rsidDel="00000000" w:rsidR="00000000" w:rsidRPr="00000000">
        <w:rPr>
          <w:rFonts w:ascii="Times New Roman" w:cs="Times New Roman" w:eastAsia="Times New Roman" w:hAnsi="Times New Roman"/>
          <w:sz w:val="28"/>
          <w:szCs w:val="28"/>
          <w:u w:val="single"/>
          <w:rtl w:val="0"/>
        </w:rPr>
        <w:t xml:space="preserve">number of respondent</w:t>
      </w:r>
      <w:r w:rsidDel="00000000" w:rsidR="00000000" w:rsidRPr="00000000">
        <w:rPr>
          <w:rFonts w:ascii="Times New Roman" w:cs="Times New Roman" w:eastAsia="Times New Roman" w:hAnsi="Times New Roman"/>
          <w:sz w:val="28"/>
          <w:szCs w:val="28"/>
          <w:rtl w:val="0"/>
        </w:rPr>
        <w:t xml:space="preserve"> X 100</w:t>
        <w:tab/>
        <w:tab/>
        <w:tab/>
        <w:tab/>
        <w:tab/>
        <w:tab/>
      </w:r>
    </w:p>
    <w:p w:rsidR="00000000" w:rsidDel="00000000" w:rsidP="00000000" w:rsidRDefault="00000000" w:rsidRPr="00000000" w14:paraId="00000158">
      <w:pPr>
        <w:spacing w:after="0" w:line="360" w:lineRule="auto"/>
        <w:ind w:left="144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Sample size</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formula for calculating Pearson’s product moment correlation coefficient (r) is given as:</w:t>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n∑xy-n∑x∑y </m:t>
            </m:r>
          </m:num>
          <m:den>
            <m:r>
              <w:rPr>
                <w:rFonts w:ascii="Cambria Math" w:cs="Cambria Math" w:eastAsia="Cambria Math" w:hAnsi="Cambria Math"/>
                <w:sz w:val="28"/>
                <w:szCs w:val="28"/>
              </w:rPr>
              <m:t xml:space="preserve">[n∑</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x</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-(∑x</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 [n∑</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y</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-(∑y</m:t>
            </m:r>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m:t>
            </m:r>
          </m:den>
        </m:f>
      </m:oMath>
      <w:r w:rsidDel="00000000" w:rsidR="00000000" w:rsidRPr="00000000">
        <w:rPr>
          <w:rtl w:val="0"/>
        </w:rPr>
      </w:r>
    </w:p>
    <w:p w:rsidR="00000000" w:rsidDel="00000000" w:rsidP="00000000" w:rsidRDefault="00000000" w:rsidRPr="00000000" w14:paraId="000001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 r </w:t>
      </w:r>
      <m:oMath>
        <m:rad>
          <m:radPr>
            <m:degHide m:val="1"/>
          </m:ra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n-2</m:t>
                </m:r>
              </m:num>
              <m:den>
                <m:sSup>
                  <m:sSupPr>
                    <m:ctrlPr>
                      <w:rPr>
                        <w:rFonts w:ascii="Cambria Math" w:cs="Cambria Math" w:eastAsia="Cambria Math" w:hAnsi="Cambria Math"/>
                        <w:sz w:val="28"/>
                        <w:szCs w:val="28"/>
                      </w:rPr>
                    </m:ctrlPr>
                  </m:sSupPr>
                  <m:e>
                    <m:r>
                      <w:rPr>
                        <w:rFonts w:ascii="Cambria Math" w:cs="Cambria Math" w:eastAsia="Cambria Math" w:hAnsi="Cambria Math"/>
                        <w:sz w:val="28"/>
                        <w:szCs w:val="28"/>
                      </w:rPr>
                      <m:t xml:space="preserve">(1-r</m:t>
                    </m:r>
                  </m:e>
                  <m:sup>
                    <m:r>
                      <w:rPr>
                        <w:rFonts w:ascii="Cambria Math" w:cs="Cambria Math" w:eastAsia="Cambria Math" w:hAnsi="Cambria Math"/>
                        <w:sz w:val="28"/>
                        <w:szCs w:val="28"/>
                      </w:rPr>
                      <m:t xml:space="preserve">2</m:t>
                    </m:r>
                  </m:sup>
                </m:sSup>
                <m:r>
                  <w:rPr>
                    <w:rFonts w:ascii="Cambria Math" w:cs="Cambria Math" w:eastAsia="Cambria Math" w:hAnsi="Cambria Math"/>
                    <w:sz w:val="28"/>
                    <w:szCs w:val="28"/>
                  </w:rPr>
                  <m:t xml:space="preserve">)</m:t>
                </m:r>
              </m:den>
            </m:f>
          </m:e>
        </m:rad>
      </m:oMath>
      <w:r w:rsidDel="00000000" w:rsidR="00000000" w:rsidRPr="00000000">
        <w:rPr>
          <w:rtl w:val="0"/>
        </w:rPr>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w:t>
        <w:tab/>
        <w:tab/>
        <w:t xml:space="preserve">x = value of variable x</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Y = value of variable y</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n = number of sample </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r = correlation coefficient</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 t-value (calculated)</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degree of freedom (df) = n-2</w:t>
      </w:r>
    </w:p>
    <w:p w:rsidR="00000000" w:rsidDel="00000000" w:rsidP="00000000" w:rsidRDefault="00000000" w:rsidRPr="00000000" w14:paraId="0000016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Definition of Variable</w:t>
      </w:r>
    </w:p>
    <w:p w:rsidR="00000000" w:rsidDel="00000000" w:rsidP="00000000" w:rsidRDefault="00000000" w:rsidRPr="00000000" w14:paraId="000001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research topic “effect of job hazards on productivity”.</w:t>
      </w:r>
    </w:p>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variables are measured</w:t>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Job hazards = x</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Productivity = y</w:t>
      </w:r>
    </w:p>
    <w:p w:rsidR="00000000" w:rsidDel="00000000" w:rsidP="00000000" w:rsidRDefault="00000000" w:rsidRPr="00000000" w14:paraId="000001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w:t>
        <w:tab/>
        <w:t xml:space="preserve">X is the independent variable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Y is the dependent variable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w:t>
        <w:tab/>
        <w:t xml:space="preserve">BRIEF HISTORY OF THE CASE STUDY (UITH)</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University of Ilorin Teaching Hospital (UITH) belongs to the second generation of Teaching Hospitals which were established by law on the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May 1980. It took off in July1980 and started operation using as its temporary site, the then General Hospital and Maternity Hospital Ilorin which were owned by the Kwara    State Government. The permanent site of the hospital was declared opened by His Excellency, President of the Federal Republic of Nigeria, Chief Olusegun Obasanjo in May 2007 while complete movement took place in April 2010.</w:t>
      </w:r>
    </w:p>
    <w:p w:rsidR="00000000" w:rsidDel="00000000" w:rsidP="00000000" w:rsidRDefault="00000000" w:rsidRPr="00000000" w14:paraId="0000016D">
      <w:pPr>
        <w:spacing w:after="0" w:line="360" w:lineRule="auto"/>
        <w:ind w:firstLine="72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0"/>
          <w:sz w:val="28"/>
          <w:szCs w:val="28"/>
          <w:highlight w:val="white"/>
          <w:rtl w:val="0"/>
        </w:rPr>
        <w:t xml:space="preserve">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r w:rsidDel="00000000" w:rsidR="00000000" w:rsidRPr="00000000">
        <w:rPr>
          <w:rtl w:val="0"/>
        </w:rPr>
      </w:r>
    </w:p>
    <w:p w:rsidR="00000000" w:rsidDel="00000000" w:rsidP="00000000" w:rsidRDefault="00000000" w:rsidRPr="00000000" w14:paraId="0000016E">
      <w:pPr>
        <w:spacing w:after="0" w:line="360" w:lineRule="auto"/>
        <w:ind w:firstLine="72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0"/>
          <w:sz w:val="28"/>
          <w:szCs w:val="28"/>
          <w:highlight w:val="white"/>
          <w:rtl w:val="0"/>
        </w:rPr>
        <w:t xml:space="preserve">As both a teaching Hospital and a referral center, our specialist services are available to patients across a wider catchment area, providing nationally and internationally recognised work in Kidney disease and transplantation, cardio-thoracic, orthopedic surgery, IVF and lots more.</w:t>
      </w:r>
      <w:r w:rsidDel="00000000" w:rsidR="00000000" w:rsidRPr="00000000">
        <w:rPr>
          <w:rtl w:val="0"/>
        </w:rPr>
      </w:r>
    </w:p>
    <w:p w:rsidR="00000000" w:rsidDel="00000000" w:rsidP="00000000" w:rsidRDefault="00000000" w:rsidRPr="00000000" w14:paraId="0000016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sz w:val="28"/>
          <w:szCs w:val="28"/>
          <w:highlight w:val="white"/>
          <w:rtl w:val="0"/>
        </w:rPr>
        <w:t xml:space="preserve">The values have been created over time by the cheerful people of UITH, and Patients who have benefited from highly skilled health professional in the Hospital. Here, we make a living by how many lives we touch positively. Your sound health is our priority.</w:t>
      </w:r>
      <w:r w:rsidDel="00000000" w:rsidR="00000000" w:rsidRPr="00000000">
        <w:rPr>
          <w:rtl w:val="0"/>
        </w:rPr>
      </w:r>
    </w:p>
    <w:p w:rsidR="00000000" w:rsidDel="00000000" w:rsidP="00000000" w:rsidRDefault="00000000" w:rsidRPr="00000000" w14:paraId="00000170">
      <w:pPr>
        <w:spacing w:after="0" w:line="36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7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DATA PRESENTATION AND ANALYSIS</w:t>
      </w:r>
    </w:p>
    <w:p w:rsidR="00000000" w:rsidDel="00000000" w:rsidP="00000000" w:rsidRDefault="00000000" w:rsidRPr="00000000" w14:paraId="0000017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INTRODUCTION</w:t>
      </w:r>
    </w:p>
    <w:p w:rsidR="00000000" w:rsidDel="00000000" w:rsidP="00000000" w:rsidRDefault="00000000" w:rsidRPr="00000000" w14:paraId="0000017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000000" w:rsidDel="00000000" w:rsidP="00000000" w:rsidRDefault="00000000" w:rsidRPr="00000000" w14:paraId="0000017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DEMOGRAPHIC CHARACTERISTICS OF RESPONDENTS</w:t>
      </w:r>
    </w:p>
    <w:p w:rsidR="00000000" w:rsidDel="00000000" w:rsidP="00000000" w:rsidRDefault="00000000" w:rsidRPr="00000000" w14:paraId="0000017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is the tabular summary of responses to personal information on the questionnaires distributed to respondents. </w:t>
      </w:r>
    </w:p>
    <w:p w:rsidR="00000000" w:rsidDel="00000000" w:rsidP="00000000" w:rsidRDefault="00000000" w:rsidRPr="00000000" w14:paraId="0000017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w:t>
      </w:r>
    </w:p>
    <w:p w:rsidR="00000000" w:rsidDel="00000000" w:rsidP="00000000" w:rsidRDefault="00000000" w:rsidRPr="00000000" w14:paraId="0000017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9050"/>
                <wp:effectExtent b="0" l="0" r="0" t="0"/>
                <wp:wrapNone/>
                <wp:docPr id="4"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9050"/>
                <wp:effectExtent b="0" l="0" r="0" t="0"/>
                <wp:wrapNone/>
                <wp:docPr id="4" name="image1.png"/>
                <a:graphic>
                  <a:graphicData uri="http://schemas.openxmlformats.org/drawingml/2006/picture">
                    <pic:pic>
                      <pic:nvPicPr>
                        <pic:cNvPr id="0" name="image1.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7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Variable </w:t>
        <w:tab/>
        <w:tab/>
        <w:tab/>
        <w:tab/>
        <w:t xml:space="preserve">Frequency </w:t>
        <w:tab/>
        <w:tab/>
        <w:tab/>
        <w:t xml:space="preserve">Percentage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0" cy="19050"/>
                <wp:effectExtent b="0" l="0" r="0" t="0"/>
                <wp:wrapNone/>
                <wp:docPr id="6"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0" cy="19050"/>
                <wp:effectExtent b="0" l="0" r="0" t="0"/>
                <wp:wrapNone/>
                <wp:docPr id="6" name="image3.png"/>
                <a:graphic>
                  <a:graphicData uri="http://schemas.openxmlformats.org/drawingml/2006/picture">
                    <pic:pic>
                      <pic:nvPicPr>
                        <pic:cNvPr id="0" name="image3.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7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Gender</w:t>
      </w:r>
    </w:p>
    <w:p w:rsidR="00000000" w:rsidDel="00000000" w:rsidP="00000000" w:rsidRDefault="00000000" w:rsidRPr="00000000" w14:paraId="0000017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 </w:t>
        <w:tab/>
        <w:tab/>
        <w:tab/>
        <w:tab/>
        <w:tab/>
        <w:t xml:space="preserve">164 </w:t>
        <w:tab/>
        <w:tab/>
        <w:tab/>
        <w:tab/>
        <w:t xml:space="preserve">63.3%</w:t>
      </w:r>
    </w:p>
    <w:p w:rsidR="00000000" w:rsidDel="00000000" w:rsidP="00000000" w:rsidRDefault="00000000" w:rsidRPr="00000000" w14:paraId="0000017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 </w:t>
        <w:tab/>
        <w:tab/>
        <w:tab/>
        <w:tab/>
        <w:t xml:space="preserve">95</w:t>
        <w:tab/>
        <w:tab/>
        <w:tab/>
        <w:tab/>
        <w:t xml:space="preserve">36.7%</w:t>
      </w:r>
    </w:p>
    <w:p w:rsidR="00000000" w:rsidDel="00000000" w:rsidP="00000000" w:rsidRDefault="00000000" w:rsidRPr="00000000" w14:paraId="0000017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7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Age</w:t>
      </w:r>
    </w:p>
    <w:p w:rsidR="00000000" w:rsidDel="00000000" w:rsidP="00000000" w:rsidRDefault="00000000" w:rsidRPr="00000000" w14:paraId="0000017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29 years</w:t>
        <w:tab/>
        <w:tab/>
        <w:tab/>
        <w:tab/>
        <w:t xml:space="preserve">133 </w:t>
        <w:tab/>
        <w:tab/>
        <w:tab/>
        <w:tab/>
        <w:t xml:space="preserve">51.4%</w:t>
      </w:r>
    </w:p>
    <w:p w:rsidR="00000000" w:rsidDel="00000000" w:rsidP="00000000" w:rsidRDefault="00000000" w:rsidRPr="00000000" w14:paraId="0000018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39 years</w:t>
        <w:tab/>
        <w:tab/>
        <w:tab/>
        <w:tab/>
        <w:t xml:space="preserve">79</w:t>
        <w:tab/>
        <w:tab/>
        <w:tab/>
        <w:tab/>
        <w:t xml:space="preserve">30.5%</w:t>
      </w:r>
    </w:p>
    <w:p w:rsidR="00000000" w:rsidDel="00000000" w:rsidP="00000000" w:rsidRDefault="00000000" w:rsidRPr="00000000" w14:paraId="0000018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 49 years</w:t>
        <w:tab/>
        <w:tab/>
        <w:tab/>
        <w:tab/>
        <w:t xml:space="preserve">36 </w:t>
        <w:tab/>
        <w:tab/>
        <w:tab/>
        <w:tab/>
        <w:t xml:space="preserve">13.9%</w:t>
      </w:r>
    </w:p>
    <w:p w:rsidR="00000000" w:rsidDel="00000000" w:rsidP="00000000" w:rsidRDefault="00000000" w:rsidRPr="00000000" w14:paraId="0000018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tab/>
        <w:tab/>
        <w:tab/>
        <w:tab/>
        <w:t xml:space="preserve">11</w:t>
        <w:tab/>
        <w:tab/>
        <w:tab/>
        <w:tab/>
        <w:t xml:space="preserve">  4.2%</w:t>
      </w:r>
    </w:p>
    <w:p w:rsidR="00000000" w:rsidDel="00000000" w:rsidP="00000000" w:rsidRDefault="00000000" w:rsidRPr="00000000" w14:paraId="0000018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8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Marital Status</w:t>
        <w:tab/>
        <w:tab/>
        <w:tab/>
        <w:tab/>
        <w:tab/>
      </w:r>
    </w:p>
    <w:p w:rsidR="00000000" w:rsidDel="00000000" w:rsidP="00000000" w:rsidRDefault="00000000" w:rsidRPr="00000000" w14:paraId="0000018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Single</w:t>
        <w:tab/>
        <w:tab/>
        <w:tab/>
        <w:tab/>
        <w:tab/>
        <w:t xml:space="preserve">128</w:t>
        <w:tab/>
        <w:tab/>
        <w:tab/>
        <w:tab/>
        <w:t xml:space="preserve">49.4%</w:t>
      </w:r>
    </w:p>
    <w:p w:rsidR="00000000" w:rsidDel="00000000" w:rsidP="00000000" w:rsidRDefault="00000000" w:rsidRPr="00000000" w14:paraId="0000018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Married</w:t>
        <w:tab/>
        <w:tab/>
        <w:tab/>
        <w:tab/>
        <w:t xml:space="preserve">111</w:t>
        <w:tab/>
        <w:tab/>
        <w:tab/>
        <w:tab/>
        <w:t xml:space="preserve">42.9%</w:t>
      </w:r>
    </w:p>
    <w:p w:rsidR="00000000" w:rsidDel="00000000" w:rsidP="00000000" w:rsidRDefault="00000000" w:rsidRPr="00000000" w14:paraId="0000018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Divorce</w:t>
        <w:tab/>
        <w:tab/>
        <w:tab/>
        <w:tab/>
        <w:t xml:space="preserve">13</w:t>
        <w:tab/>
        <w:tab/>
        <w:tab/>
        <w:tab/>
        <w:t xml:space="preserve">5.0%</w:t>
      </w:r>
    </w:p>
    <w:p w:rsidR="00000000" w:rsidDel="00000000" w:rsidP="00000000" w:rsidRDefault="00000000" w:rsidRPr="00000000" w14:paraId="0000018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Widow/er</w:t>
        <w:tab/>
        <w:tab/>
        <w:tab/>
        <w:tab/>
        <w:t xml:space="preserve">7</w:t>
        <w:tab/>
        <w:tab/>
        <w:tab/>
        <w:tab/>
        <w:t xml:space="preserve">2.7%</w:t>
      </w:r>
    </w:p>
    <w:p w:rsidR="00000000" w:rsidDel="00000000" w:rsidP="00000000" w:rsidRDefault="00000000" w:rsidRPr="00000000" w14:paraId="0000018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8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Academic Qualification</w:t>
      </w:r>
      <w:r w:rsidDel="00000000" w:rsidR="00000000" w:rsidRPr="00000000">
        <w:rPr>
          <w:rFonts w:ascii="Times New Roman" w:cs="Times New Roman" w:eastAsia="Times New Roman" w:hAnsi="Times New Roman"/>
          <w:sz w:val="28"/>
          <w:szCs w:val="28"/>
          <w:rtl w:val="0"/>
        </w:rPr>
        <w:tab/>
        <w:tab/>
      </w:r>
    </w:p>
    <w:p w:rsidR="00000000" w:rsidDel="00000000" w:rsidP="00000000" w:rsidRDefault="00000000" w:rsidRPr="00000000" w14:paraId="0000018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WASSCE/SSCE/GCE</w:t>
        <w:tab/>
        <w:tab/>
        <w:t xml:space="preserve">22 </w:t>
        <w:tab/>
        <w:tab/>
        <w:tab/>
        <w:tab/>
        <w:t xml:space="preserve">8.5%</w:t>
      </w:r>
      <w:r w:rsidDel="00000000" w:rsidR="00000000" w:rsidRPr="00000000">
        <w:rPr>
          <w:rtl w:val="0"/>
        </w:rPr>
      </w:r>
    </w:p>
    <w:p w:rsidR="00000000" w:rsidDel="00000000" w:rsidP="00000000" w:rsidRDefault="00000000" w:rsidRPr="00000000" w14:paraId="0000018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tab/>
        <w:tab/>
        <w:tab/>
        <w:tab/>
        <w:t xml:space="preserve">122 </w:t>
        <w:tab/>
        <w:tab/>
        <w:tab/>
        <w:tab/>
        <w:t xml:space="preserve">47.2%</w:t>
      </w:r>
    </w:p>
    <w:p w:rsidR="00000000" w:rsidDel="00000000" w:rsidP="00000000" w:rsidRDefault="00000000" w:rsidRPr="00000000" w14:paraId="0000018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HND/BCE</w:t>
        <w:tab/>
        <w:t xml:space="preserve"> </w:t>
        <w:tab/>
        <w:tab/>
        <w:tab/>
        <w:t xml:space="preserve">113</w:t>
        <w:tab/>
        <w:tab/>
        <w:tab/>
        <w:tab/>
        <w:t xml:space="preserve">43.6%</w:t>
      </w:r>
    </w:p>
    <w:p w:rsidR="00000000" w:rsidDel="00000000" w:rsidP="00000000" w:rsidRDefault="00000000" w:rsidRPr="00000000" w14:paraId="0000018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MSC/MBA</w:t>
        <w:tab/>
        <w:tab/>
        <w:tab/>
        <w:tab/>
        <w:t xml:space="preserve">2</w:t>
        <w:tab/>
        <w:tab/>
        <w:tab/>
        <w:tab/>
        <w:t xml:space="preserve">0.7%</w:t>
      </w:r>
    </w:p>
    <w:p w:rsidR="00000000" w:rsidDel="00000000" w:rsidP="00000000" w:rsidRDefault="00000000" w:rsidRPr="00000000" w14:paraId="0000018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Working Experience</w:t>
      </w:r>
    </w:p>
    <w:p w:rsidR="00000000" w:rsidDel="00000000" w:rsidP="00000000" w:rsidRDefault="00000000" w:rsidRPr="00000000" w14:paraId="0000019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1 years</w:t>
        <w:tab/>
        <w:tab/>
        <w:tab/>
        <w:tab/>
        <w:t xml:space="preserve">78 </w:t>
        <w:tab/>
        <w:tab/>
        <w:tab/>
        <w:tab/>
        <w:t xml:space="preserve">30.1%</w:t>
      </w:r>
    </w:p>
    <w:p w:rsidR="00000000" w:rsidDel="00000000" w:rsidP="00000000" w:rsidRDefault="00000000" w:rsidRPr="00000000" w14:paraId="0000019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5 years</w:t>
        <w:tab/>
        <w:t xml:space="preserve"> </w:t>
        <w:tab/>
        <w:tab/>
        <w:tab/>
        <w:t xml:space="preserve">131 </w:t>
        <w:tab/>
        <w:tab/>
        <w:tab/>
        <w:tab/>
        <w:t xml:space="preserve">50.6%</w:t>
      </w:r>
    </w:p>
    <w:p w:rsidR="00000000" w:rsidDel="00000000" w:rsidP="00000000" w:rsidRDefault="00000000" w:rsidRPr="00000000" w14:paraId="0000019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10 years</w:t>
        <w:tab/>
        <w:tab/>
        <w:t xml:space="preserve"> </w:t>
        <w:tab/>
        <w:tab/>
        <w:t xml:space="preserve">44</w:t>
        <w:tab/>
        <w:tab/>
        <w:tab/>
        <w:tab/>
        <w:t xml:space="preserve">17.0%</w:t>
      </w:r>
    </w:p>
    <w:p w:rsidR="00000000" w:rsidDel="00000000" w:rsidP="00000000" w:rsidRDefault="00000000" w:rsidRPr="00000000" w14:paraId="0000019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tab/>
        <w:t xml:space="preserve"> </w:t>
        <w:tab/>
        <w:tab/>
        <w:t xml:space="preserve">6</w:t>
        <w:tab/>
        <w:tab/>
        <w:tab/>
        <w:tab/>
        <w:t xml:space="preserve">2.3%</w:t>
      </w:r>
    </w:p>
    <w:p w:rsidR="00000000" w:rsidDel="00000000" w:rsidP="00000000" w:rsidRDefault="00000000" w:rsidRPr="00000000" w14:paraId="0000019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Nature of Employment</w:t>
      </w:r>
    </w:p>
    <w:p w:rsidR="00000000" w:rsidDel="00000000" w:rsidP="00000000" w:rsidRDefault="00000000" w:rsidRPr="00000000" w14:paraId="0000019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tab/>
        <w:tab/>
        <w:tab/>
        <w:tab/>
        <w:tab/>
        <w:t xml:space="preserve">71 </w:t>
        <w:tab/>
        <w:tab/>
        <w:tab/>
        <w:tab/>
        <w:t xml:space="preserve">27.4%</w:t>
      </w:r>
    </w:p>
    <w:p w:rsidR="00000000" w:rsidDel="00000000" w:rsidP="00000000" w:rsidRDefault="00000000" w:rsidRPr="00000000" w14:paraId="0000019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 </w:t>
        <w:tab/>
        <w:tab/>
        <w:tab/>
        <w:tab/>
        <w:t xml:space="preserve">188 </w:t>
        <w:tab/>
        <w:tab/>
        <w:tab/>
        <w:tab/>
        <w:t xml:space="preserve">72.6%</w:t>
      </w:r>
    </w:p>
    <w:p w:rsidR="00000000" w:rsidDel="00000000" w:rsidP="00000000" w:rsidRDefault="00000000" w:rsidRPr="00000000" w14:paraId="0000019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Working Hour Per Day</w:t>
      </w:r>
    </w:p>
    <w:p w:rsidR="00000000" w:rsidDel="00000000" w:rsidP="00000000" w:rsidRDefault="00000000" w:rsidRPr="00000000" w14:paraId="0000019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6 Hrs</w:t>
        <w:tab/>
        <w:tab/>
        <w:tab/>
        <w:tab/>
        <w:t xml:space="preserve">66</w:t>
        <w:tab/>
        <w:tab/>
        <w:tab/>
        <w:tab/>
        <w:t xml:space="preserve">25.5%</w:t>
      </w:r>
    </w:p>
    <w:p w:rsidR="00000000" w:rsidDel="00000000" w:rsidP="00000000" w:rsidRDefault="00000000" w:rsidRPr="00000000" w14:paraId="0000019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 – </w:t>
      </w:r>
      <w:r w:rsidDel="00000000" w:rsidR="00000000" w:rsidRPr="00000000">
        <w:rPr>
          <w:rFonts w:ascii="Times New Roman" w:cs="Times New Roman" w:eastAsia="Times New Roman" w:hAnsi="Times New Roman"/>
          <w:sz w:val="28"/>
          <w:szCs w:val="28"/>
          <w:rtl w:val="0"/>
        </w:rPr>
        <w:t xml:space="preserve">14 Hrs</w:t>
        <w:tab/>
        <w:tab/>
        <w:tab/>
        <w:tab/>
        <w:t xml:space="preserve">189</w:t>
        <w:tab/>
        <w:tab/>
        <w:tab/>
        <w:tab/>
        <w:t xml:space="preserve">73.0%</w:t>
      </w:r>
    </w:p>
    <w:p w:rsidR="00000000" w:rsidDel="00000000" w:rsidP="00000000" w:rsidRDefault="00000000" w:rsidRPr="00000000" w14:paraId="0000019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Hrs and above</w:t>
        <w:tab/>
        <w:tab/>
        <w:tab/>
        <w:t xml:space="preserve">4</w:t>
        <w:tab/>
        <w:tab/>
        <w:tab/>
        <w:tab/>
        <w:t xml:space="preserve">1.5%</w:t>
      </w:r>
    </w:p>
    <w:p w:rsidR="00000000" w:rsidDel="00000000" w:rsidP="00000000" w:rsidRDefault="00000000" w:rsidRPr="00000000" w14:paraId="0000019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tab/>
        <w:tab/>
        <w:tab/>
        <w:tab/>
        <w:tab/>
        <w:t xml:space="preserve">259</w:t>
        <w:tab/>
        <w:tab/>
        <w:tab/>
        <w:tab/>
        <w:t xml:space="preserve">100.0%</w:t>
      </w:r>
    </w:p>
    <w:p w:rsidR="00000000" w:rsidDel="00000000" w:rsidP="00000000" w:rsidRDefault="00000000" w:rsidRPr="00000000" w14:paraId="0000019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9050"/>
                <wp:effectExtent b="0" l="0" r="0" t="0"/>
                <wp:wrapNone/>
                <wp:docPr id="5" name=""/>
                <a:graphic>
                  <a:graphicData uri="http://schemas.microsoft.com/office/word/2010/wordprocessingShape">
                    <wps:wsp>
                      <wps:cNvCnPr/>
                      <wps:spPr>
                        <a:xfrm>
                          <a:off x="2419920" y="3780000"/>
                          <a:ext cx="585216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5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000000" w:rsidDel="00000000" w:rsidP="00000000" w:rsidRDefault="00000000" w:rsidRPr="00000000" w14:paraId="000001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Style w:val="Table1"/>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2">
            <w:pPr>
              <w:spacing w:after="0" w:line="240" w:lineRule="auto"/>
              <w:ind w:right="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4.1.2: Awareness of hazard in the working place </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A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A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A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A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A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B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B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B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B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bl>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 </w:t>
      </w:r>
    </w:p>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reveals that 100% of the respondents were aware of the problems they are likely to face in the organization. This result indicates that workers are aware of hazard in the working place and they are enlightened on how to avoid all these hazards.</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2"/>
        <w:tblW w:w="51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398"/>
        <w:gridCol w:w="1445"/>
        <w:tblGridChange w:id="0">
          <w:tblGrid>
            <w:gridCol w:w="2268"/>
            <w:gridCol w:w="1398"/>
            <w:gridCol w:w="1445"/>
          </w:tblGrid>
        </w:tblGridChange>
      </w:tblGrid>
      <w:tr>
        <w:trPr>
          <w:cantSplit w:val="0"/>
          <w:tblHeader w:val="0"/>
        </w:trPr>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w:t>
            </w:r>
          </w:p>
        </w:tc>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Company</w:t>
            </w:r>
          </w:p>
        </w:tc>
        <w:tc>
          <w:tcPr/>
          <w:p w:rsidR="00000000" w:rsidDel="00000000" w:rsidP="00000000" w:rsidRDefault="00000000" w:rsidRPr="00000000" w14:paraId="000001BB">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w:t>
            </w:r>
          </w:p>
        </w:tc>
        <w:tc>
          <w:tcPr/>
          <w:p w:rsidR="00000000" w:rsidDel="00000000" w:rsidP="00000000" w:rsidRDefault="00000000" w:rsidRPr="00000000" w14:paraId="000001BC">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35.5</w:t>
            </w:r>
          </w:p>
        </w:tc>
      </w:tr>
      <w:tr>
        <w:trPr>
          <w:cantSplit w:val="0"/>
          <w:tblHeader w:val="0"/>
        </w:trPr>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p w:rsidR="00000000" w:rsidDel="00000000" w:rsidP="00000000" w:rsidRDefault="00000000" w:rsidRPr="00000000" w14:paraId="000001BE">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1BF">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25.9</w:t>
            </w:r>
          </w:p>
        </w:tc>
      </w:tr>
      <w:tr>
        <w:trPr>
          <w:cantSplit w:val="0"/>
          <w:tblHeader w:val="0"/>
        </w:trPr>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p w:rsidR="00000000" w:rsidDel="00000000" w:rsidP="00000000" w:rsidRDefault="00000000" w:rsidRPr="00000000" w14:paraId="000001C1">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C2">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38.6</w:t>
            </w:r>
          </w:p>
        </w:tc>
      </w:tr>
      <w:tr>
        <w:trPr>
          <w:cantSplit w:val="0"/>
          <w:tblHeader w:val="0"/>
        </w:trPr>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p w:rsidR="00000000" w:rsidDel="00000000" w:rsidP="00000000" w:rsidRDefault="00000000" w:rsidRPr="00000000" w14:paraId="000001C4">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259</w:t>
            </w:r>
          </w:p>
        </w:tc>
        <w:tc>
          <w:tcPr/>
          <w:p w:rsidR="00000000" w:rsidDel="00000000" w:rsidP="00000000" w:rsidRDefault="00000000" w:rsidRPr="00000000" w14:paraId="000001C5">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Author’s Computation, 2024</w:t>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Style w:val="Table3"/>
        <w:tblW w:w="692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194"/>
        <w:gridCol w:w="1147"/>
        <w:gridCol w:w="1009"/>
        <w:gridCol w:w="1376"/>
        <w:gridCol w:w="1468"/>
        <w:tblGridChange w:id="0">
          <w:tblGrid>
            <w:gridCol w:w="735"/>
            <w:gridCol w:w="1194"/>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8">
            <w:pPr>
              <w:spacing w:after="0" w:line="360" w:lineRule="auto"/>
              <w:ind w:right="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4.1.4: Are you satisfied with your work?</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D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D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D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D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D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D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EB">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1E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Style w:val="Table4"/>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E">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F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F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F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F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F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11">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1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Style w:val="Table5"/>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320"/>
        <w:gridCol w:w="1080"/>
        <w:gridCol w:w="1710"/>
        <w:gridCol w:w="1620"/>
        <w:tblGridChange w:id="0">
          <w:tblGrid>
            <w:gridCol w:w="735"/>
            <w:gridCol w:w="735"/>
            <w:gridCol w:w="1320"/>
            <w:gridCol w:w="1080"/>
            <w:gridCol w:w="171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1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1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1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1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2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3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3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37">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Style w:val="Table6"/>
        <w:tblW w:w="6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1468"/>
        <w:tblGridChange w:id="0">
          <w:tblGrid>
            <w:gridCol w:w="735"/>
            <w:gridCol w:w="735"/>
            <w:gridCol w:w="1147"/>
            <w:gridCol w:w="1009"/>
            <w:gridCol w:w="1376"/>
            <w:gridCol w:w="146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4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4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4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4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4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4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4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5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5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5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5D">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5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Style w:val="Table7"/>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198"/>
        <w:tblGridChange w:id="0">
          <w:tblGrid>
            <w:gridCol w:w="735"/>
            <w:gridCol w:w="735"/>
            <w:gridCol w:w="1147"/>
            <w:gridCol w:w="1009"/>
            <w:gridCol w:w="1376"/>
            <w:gridCol w:w="219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6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6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6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6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6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7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7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8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83">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8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Style w:val="Table8"/>
        <w:tblW w:w="7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410"/>
        <w:gridCol w:w="1260"/>
        <w:gridCol w:w="1350"/>
        <w:gridCol w:w="1980"/>
        <w:tblGridChange w:id="0">
          <w:tblGrid>
            <w:gridCol w:w="735"/>
            <w:gridCol w:w="735"/>
            <w:gridCol w:w="1410"/>
            <w:gridCol w:w="1260"/>
            <w:gridCol w:w="135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8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8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9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9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9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A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A9">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A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Style w:val="Table9"/>
        <w:tblW w:w="7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738"/>
        <w:tblGridChange w:id="0">
          <w:tblGrid>
            <w:gridCol w:w="735"/>
            <w:gridCol w:w="735"/>
            <w:gridCol w:w="1147"/>
            <w:gridCol w:w="1009"/>
            <w:gridCol w:w="1376"/>
            <w:gridCol w:w="273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C">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B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B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B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B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B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B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C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CF">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Style w:val="Table10"/>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80"/>
        <w:gridCol w:w="975"/>
        <w:gridCol w:w="907"/>
        <w:gridCol w:w="1009"/>
        <w:gridCol w:w="1376"/>
        <w:gridCol w:w="2303"/>
        <w:tblGridChange w:id="0">
          <w:tblGrid>
            <w:gridCol w:w="1080"/>
            <w:gridCol w:w="975"/>
            <w:gridCol w:w="907"/>
            <w:gridCol w:w="1009"/>
            <w:gridCol w:w="1376"/>
            <w:gridCol w:w="230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2">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  </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D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D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D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D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F5">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2F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tbl>
      <w:tblPr>
        <w:tblStyle w:val="Table11"/>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648"/>
        <w:tblGridChange w:id="0">
          <w:tblGrid>
            <w:gridCol w:w="735"/>
            <w:gridCol w:w="735"/>
            <w:gridCol w:w="1147"/>
            <w:gridCol w:w="1009"/>
            <w:gridCol w:w="1376"/>
            <w:gridCol w:w="264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9">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0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0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0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0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0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1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1C">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1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4.1.12 shows that (70.3%)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(17.8%) indicated negative responses, while and (12.0%) were undecided. This implies that training of employees on safety measures have positive impact on the use of training devices in the organization. </w:t>
      </w:r>
    </w:p>
    <w:tbl>
      <w:tblPr>
        <w:tblStyle w:val="Table12"/>
        <w:tblW w:w="7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378"/>
        <w:tblGridChange w:id="0">
          <w:tblGrid>
            <w:gridCol w:w="735"/>
            <w:gridCol w:w="735"/>
            <w:gridCol w:w="1147"/>
            <w:gridCol w:w="1009"/>
            <w:gridCol w:w="1376"/>
            <w:gridCol w:w="237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F">
            <w:pPr>
              <w:spacing w:after="0" w:line="360" w:lineRule="auto"/>
              <w:ind w:left="60" w:right="6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2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2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2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2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C">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3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42">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4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Style w:val="Table13"/>
        <w:tblW w:w="72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288"/>
        <w:tblGridChange w:id="0">
          <w:tblGrid>
            <w:gridCol w:w="735"/>
            <w:gridCol w:w="735"/>
            <w:gridCol w:w="1147"/>
            <w:gridCol w:w="1009"/>
            <w:gridCol w:w="1376"/>
            <w:gridCol w:w="228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consistency in management intervention to employee health behaviors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4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4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4F">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5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5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6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6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68">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4.1.14 shows that the level of consistency in management intervention to employee health behavior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Style w:val="Table14"/>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735"/>
        <w:gridCol w:w="1147"/>
        <w:gridCol w:w="1009"/>
        <w:gridCol w:w="1376"/>
        <w:gridCol w:w="2108"/>
        <w:tblGridChange w:id="0">
          <w:tblGrid>
            <w:gridCol w:w="735"/>
            <w:gridCol w:w="735"/>
            <w:gridCol w:w="1147"/>
            <w:gridCol w:w="1009"/>
            <w:gridCol w:w="1376"/>
            <w:gridCol w:w="210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4.1.15: There is improvement in productivity as a result of safety measures put in place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7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7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7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7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7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7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8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8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8E">
            <w:pPr>
              <w:spacing w:after="0"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000000" w:rsidDel="00000000" w:rsidP="00000000" w:rsidRDefault="00000000" w:rsidRPr="00000000" w14:paraId="0000039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ANALYSIS OF RESEARCH HYPOTHESES</w:t>
      </w:r>
    </w:p>
    <w:p w:rsidR="00000000" w:rsidDel="00000000" w:rsidP="00000000" w:rsidRDefault="00000000" w:rsidRPr="00000000" w14:paraId="0000039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4.2.1</w:t>
        <w:tab/>
        <w:t xml:space="preserve">ANALYSIS OF RESEARCH HYPOTHESIS I</w:t>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productivity of workers. </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5"/>
        <w:tblW w:w="6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
        <w:gridCol w:w="1009"/>
        <w:gridCol w:w="1070"/>
        <w:gridCol w:w="1469"/>
        <w:gridCol w:w="2332"/>
        <w:tblGridChange w:id="0">
          <w:tblGrid>
            <w:gridCol w:w="780"/>
            <w:gridCol w:w="1009"/>
            <w:gridCol w:w="1070"/>
            <w:gridCol w:w="1469"/>
            <w:gridCol w:w="233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9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9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39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39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9E">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A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A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A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harmful chemical compounds, air pollution</w:t>
            </w:r>
          </w:p>
          <w:p w:rsidR="00000000" w:rsidDel="00000000" w:rsidP="00000000" w:rsidRDefault="00000000" w:rsidRPr="00000000" w14:paraId="000003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Author’s Computation, 2024</w:t>
            </w:r>
          </w:p>
        </w:tc>
      </w:tr>
    </w:tbl>
    <w:p w:rsidR="00000000" w:rsidDel="00000000" w:rsidP="00000000" w:rsidRDefault="00000000" w:rsidRPr="00000000" w14:paraId="000003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Style w:val="Table16"/>
        <w:tblW w:w="78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69"/>
        <w:gridCol w:w="1469"/>
        <w:gridCol w:w="1010"/>
        <w:gridCol w:w="1392"/>
        <w:gridCol w:w="1010"/>
        <w:gridCol w:w="1010"/>
        <w:tblGridChange w:id="0">
          <w:tblGrid>
            <w:gridCol w:w="733"/>
            <w:gridCol w:w="1269"/>
            <w:gridCol w:w="1469"/>
            <w:gridCol w:w="1010"/>
            <w:gridCol w:w="1392"/>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B">
            <w:pPr>
              <w:spacing w:after="0" w:line="360" w:lineRule="auto"/>
              <w:ind w:right="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B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3B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3B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3B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B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9">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B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68.086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22.695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118.066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B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C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49.018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.192</w:t>
            </w:r>
          </w:p>
        </w:tc>
        <w:tc>
          <w:tcPr>
            <w:tcBorders>
              <w:top w:color="000000" w:space="0" w:sz="0" w:val="nil"/>
              <w:bottom w:color="000000" w:space="0" w:sz="0" w:val="nil"/>
            </w:tcBorders>
            <w:shd w:fill="ffffff" w:val="clear"/>
          </w:tcPr>
          <w:p w:rsidR="00000000" w:rsidDel="00000000" w:rsidP="00000000" w:rsidRDefault="00000000" w:rsidRPr="00000000" w14:paraId="000003C5">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3C6">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C8">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C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117.104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bottom w:color="000000" w:space="0" w:sz="16" w:val="single"/>
            </w:tcBorders>
            <w:shd w:fill="ffffff" w:val="clear"/>
          </w:tcPr>
          <w:p w:rsidR="00000000" w:rsidDel="00000000" w:rsidP="00000000" w:rsidRDefault="00000000" w:rsidRPr="00000000" w14:paraId="000003CB">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3CC">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CD">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harmful chemical compounds, air pollution </w:t>
            </w:r>
          </w:p>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tc>
      </w:tr>
    </w:tbl>
    <w:p w:rsidR="00000000" w:rsidDel="00000000" w:rsidP="00000000" w:rsidRDefault="00000000" w:rsidRPr="00000000" w14:paraId="000003D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000000" w:rsidDel="00000000" w:rsidP="00000000" w:rsidRDefault="00000000" w:rsidRPr="00000000" w14:paraId="000003DE">
      <w:pPr>
        <w:spacing w:after="0"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tbl>
      <w:tblPr>
        <w:tblStyle w:val="Table17"/>
        <w:tblW w:w="8226.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3"/>
        <w:gridCol w:w="1337"/>
        <w:gridCol w:w="1156"/>
        <w:gridCol w:w="1331"/>
        <w:gridCol w:w="1469"/>
        <w:gridCol w:w="1010"/>
        <w:gridCol w:w="1010"/>
        <w:tblGridChange w:id="0">
          <w:tblGrid>
            <w:gridCol w:w="913"/>
            <w:gridCol w:w="1337"/>
            <w:gridCol w:w="1156"/>
            <w:gridCol w:w="1331"/>
            <w:gridCol w:w="1469"/>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F">
            <w:pPr>
              <w:spacing w:after="0" w:line="360" w:lineRule="auto"/>
              <w:ind w:left="60" w:right="6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E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3E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3E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3E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3E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3ED">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3F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bottom w:color="000000" w:space="0" w:sz="16" w:val="single"/>
            </w:tcBorders>
            <w:shd w:fill="ffffff" w:val="clear"/>
          </w:tcPr>
          <w:p w:rsidR="00000000" w:rsidDel="00000000" w:rsidP="00000000" w:rsidRDefault="00000000" w:rsidRPr="00000000" w14:paraId="000003F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bottom w:color="000000" w:space="0" w:sz="16" w:val="single"/>
            </w:tcBorders>
            <w:shd w:fill="ffffff" w:val="clear"/>
          </w:tcPr>
          <w:p w:rsidR="00000000" w:rsidDel="00000000" w:rsidP="00000000" w:rsidRDefault="00000000" w:rsidRPr="00000000" w14:paraId="000003F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F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6" w:val="single"/>
              <w:bottom w:color="000000" w:space="0" w:sz="0" w:val="nil"/>
            </w:tcBorders>
            <w:shd w:fill="ffffff" w:val="clear"/>
          </w:tcPr>
          <w:p w:rsidR="00000000" w:rsidDel="00000000" w:rsidP="00000000" w:rsidRDefault="00000000" w:rsidRPr="00000000" w14:paraId="000003F9">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0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1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0" w:right="6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Dependent Variable: reduction in workers’ productivity</w:t>
            </w:r>
          </w:p>
          <w:p w:rsidR="00000000" w:rsidDel="00000000" w:rsidP="00000000" w:rsidRDefault="00000000" w:rsidRPr="00000000" w14:paraId="0000041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harmful chemical compounds, air pollution</w:t>
            </w:r>
            <w:r w:rsidDel="00000000" w:rsidR="00000000" w:rsidRPr="00000000">
              <w:rPr>
                <w:rtl w:val="0"/>
              </w:rPr>
            </w:r>
          </w:p>
          <w:p w:rsidR="00000000" w:rsidDel="00000000" w:rsidP="00000000" w:rsidRDefault="00000000" w:rsidRPr="00000000" w14:paraId="000004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p>
          <w:p w:rsidR="00000000" w:rsidDel="00000000" w:rsidP="00000000" w:rsidRDefault="00000000" w:rsidRPr="00000000" w14:paraId="00000414">
            <w:pPr>
              <w:spacing w:after="0" w:line="360" w:lineRule="auto"/>
              <w:ind w:right="60"/>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41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41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4.2.2</w:t>
        <w:tab/>
        <w:t xml:space="preserve">ANALYSIS OF RESEARCH HYPOTHESIS II</w:t>
      </w:r>
    </w:p>
    <w:p w:rsidR="00000000" w:rsidDel="00000000" w:rsidP="00000000" w:rsidRDefault="00000000" w:rsidRPr="00000000" w14:paraId="000004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4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8"/>
        <w:tblW w:w="6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0"/>
        <w:gridCol w:w="1009"/>
        <w:gridCol w:w="1070"/>
        <w:gridCol w:w="1469"/>
        <w:gridCol w:w="2062"/>
        <w:tblGridChange w:id="0">
          <w:tblGrid>
            <w:gridCol w:w="780"/>
            <w:gridCol w:w="1009"/>
            <w:gridCol w:w="1070"/>
            <w:gridCol w:w="1469"/>
            <w:gridCol w:w="206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4.2.2.1: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2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2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428">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429">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2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2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2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2D">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2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2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4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p>
    <w:p w:rsidR="00000000" w:rsidDel="00000000" w:rsidP="00000000" w:rsidRDefault="00000000" w:rsidRPr="00000000" w14:paraId="000004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19"/>
        <w:tblW w:w="7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69"/>
        <w:gridCol w:w="1469"/>
        <w:gridCol w:w="1010"/>
        <w:gridCol w:w="1392"/>
        <w:gridCol w:w="1071"/>
        <w:gridCol w:w="1010"/>
        <w:tblGridChange w:id="0">
          <w:tblGrid>
            <w:gridCol w:w="733"/>
            <w:gridCol w:w="1269"/>
            <w:gridCol w:w="1469"/>
            <w:gridCol w:w="1010"/>
            <w:gridCol w:w="1392"/>
            <w:gridCol w:w="1071"/>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0">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441">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442">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44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44">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4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4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4E">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4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bottom w:color="000000" w:space="0" w:sz="0" w:val="nil"/>
            </w:tcBorders>
            <w:shd w:fill="ffffff" w:val="clear"/>
          </w:tcPr>
          <w:p w:rsidR="00000000" w:rsidDel="00000000" w:rsidP="00000000" w:rsidRDefault="00000000" w:rsidRPr="00000000" w14:paraId="00000451">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452">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54">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5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5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bottom w:color="000000" w:space="0" w:sz="16" w:val="single"/>
            </w:tcBorders>
            <w:shd w:fill="ffffff" w:val="clear"/>
          </w:tcPr>
          <w:p w:rsidR="00000000" w:rsidDel="00000000" w:rsidP="00000000" w:rsidRDefault="00000000" w:rsidRPr="00000000" w14:paraId="00000457">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458">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59">
            <w:pPr>
              <w:spacing w:after="0" w:line="360" w:lineRule="auto"/>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5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462">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tc>
      </w:tr>
    </w:tbl>
    <w:p w:rsidR="00000000" w:rsidDel="00000000" w:rsidP="00000000" w:rsidRDefault="00000000" w:rsidRPr="00000000" w14:paraId="0000046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0"/>
        <w:tblW w:w="8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162"/>
        <w:gridCol w:w="1331"/>
        <w:gridCol w:w="1331"/>
        <w:gridCol w:w="1469"/>
        <w:gridCol w:w="1010"/>
        <w:gridCol w:w="1010"/>
        <w:tblGridChange w:id="0">
          <w:tblGrid>
            <w:gridCol w:w="733"/>
            <w:gridCol w:w="1162"/>
            <w:gridCol w:w="1331"/>
            <w:gridCol w:w="1331"/>
            <w:gridCol w:w="1469"/>
            <w:gridCol w:w="1010"/>
            <w:gridCol w:w="101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A">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471">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473">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475">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476">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477">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47A">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bottom w:color="000000" w:space="0" w:sz="16" w:val="single"/>
            </w:tcBorders>
            <w:shd w:fill="ffffff" w:val="clear"/>
          </w:tcPr>
          <w:p w:rsidR="00000000" w:rsidDel="00000000" w:rsidP="00000000" w:rsidRDefault="00000000" w:rsidRPr="00000000" w14:paraId="0000047B">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bottom w:color="000000" w:space="0" w:sz="16" w:val="single"/>
            </w:tcBorders>
            <w:shd w:fill="ffffff" w:val="clear"/>
          </w:tcPr>
          <w:p w:rsidR="00000000" w:rsidDel="00000000" w:rsidP="00000000" w:rsidRDefault="00000000" w:rsidRPr="00000000" w14:paraId="0000047C">
            <w:pPr>
              <w:spacing w:after="0" w:line="36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F">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0">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8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6" w:val="single"/>
              <w:bottom w:color="000000" w:space="0" w:sz="0" w:val="nil"/>
            </w:tcBorders>
            <w:shd w:fill="ffffff" w:val="clear"/>
          </w:tcPr>
          <w:p w:rsidR="00000000" w:rsidDel="00000000" w:rsidP="00000000" w:rsidRDefault="00000000" w:rsidRPr="00000000" w14:paraId="00000483">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4">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85">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7">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B">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C">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E">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F">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0">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1">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2">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3">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95">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96">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7">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8">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9">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9A">
            <w:pPr>
              <w:spacing w:after="0" w:line="36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B">
            <w:pPr>
              <w:spacing w:after="0" w:line="36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4A2">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Sources: Author’s Computation, 2024</w:t>
      </w:r>
      <w:r w:rsidDel="00000000" w:rsidR="00000000" w:rsidRPr="00000000">
        <w:rPr>
          <w:rtl w:val="0"/>
        </w:rPr>
      </w:r>
    </w:p>
    <w:p w:rsidR="00000000" w:rsidDel="00000000" w:rsidP="00000000" w:rsidRDefault="00000000" w:rsidRPr="00000000" w14:paraId="000004A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4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p>
    <w:p w:rsidR="00000000" w:rsidDel="00000000" w:rsidP="00000000" w:rsidRDefault="00000000" w:rsidRPr="00000000" w14:paraId="000004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000000" w:rsidDel="00000000" w:rsidP="00000000" w:rsidRDefault="00000000" w:rsidRPr="00000000" w14:paraId="000004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 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4A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4A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000000" w:rsidDel="00000000" w:rsidP="00000000" w:rsidRDefault="00000000" w:rsidRPr="00000000" w14:paraId="000004A9">
      <w:pPr>
        <w:spacing w:after="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4A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RECOMMENDATIONS</w:t>
      </w:r>
    </w:p>
    <w:p w:rsidR="00000000" w:rsidDel="00000000" w:rsidP="00000000" w:rsidRDefault="00000000" w:rsidRPr="00000000" w14:paraId="000004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4A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4A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p>
    <w:p w:rsidR="00000000" w:rsidDel="00000000" w:rsidP="00000000" w:rsidRDefault="00000000" w:rsidRPr="00000000" w14:paraId="000004A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4A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0">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w:t>
      </w:r>
    </w:p>
    <w:p w:rsidR="00000000" w:rsidDel="00000000" w:rsidP="00000000" w:rsidRDefault="00000000" w:rsidRPr="00000000" w14:paraId="000004B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this research work, the following recommendations were made for both the management and workers:</w:t>
      </w:r>
    </w:p>
    <w:p w:rsidR="00000000" w:rsidDel="00000000" w:rsidP="00000000" w:rsidRDefault="00000000" w:rsidRPr="00000000" w14:paraId="000004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management should; improve on the adequacy of protective devices otherwise it may affect the productivity of the organizations.</w:t>
      </w:r>
    </w:p>
    <w:p w:rsidR="00000000" w:rsidDel="00000000" w:rsidP="00000000" w:rsidRDefault="00000000" w:rsidRPr="00000000" w14:paraId="000004B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4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000000" w:rsidDel="00000000" w:rsidP="00000000" w:rsidRDefault="00000000" w:rsidRPr="00000000" w14:paraId="000004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remunerations, starting with those workers who comply best with safety rules and regulations. This should also serve as incentive for workers to boost performance, productivity and commitment to their job.</w:t>
      </w:r>
    </w:p>
    <w:p w:rsidR="00000000" w:rsidDel="00000000" w:rsidP="00000000" w:rsidRDefault="00000000" w:rsidRPr="00000000" w14:paraId="000004BA">
      <w:pPr>
        <w:spacing w:after="0" w:line="36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4BB">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Occupational Health and Safety, Lagos. Simarch Nigeria Ltd. Splendid Publishers.</w:t>
      </w:r>
    </w:p>
    <w:p w:rsidR="00000000" w:rsidDel="00000000" w:rsidP="00000000" w:rsidRDefault="00000000" w:rsidRPr="00000000" w14:paraId="000004BC">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Guidelines on Preparation of Research Proposal and Structure of Thesis’ Ilorin. Faculty of Business and Social Sciences.</w:t>
      </w:r>
    </w:p>
    <w:p w:rsidR="00000000" w:rsidDel="00000000" w:rsidP="00000000" w:rsidRDefault="00000000" w:rsidRPr="00000000" w14:paraId="000004BD">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 A Comprehensive Review of the Literature, American Journal of Health Promotion.  pp. 296-320.</w:t>
      </w:r>
    </w:p>
    <w:p w:rsidR="00000000" w:rsidDel="00000000" w:rsidP="00000000" w:rsidRDefault="00000000" w:rsidRPr="00000000" w14:paraId="000004BE">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Worker productivity and occupational health and safety issues in selected industries. Journal of Computers &amp; Industrial Engineering, 45, 563–572.</w:t>
      </w:r>
    </w:p>
    <w:p w:rsidR="00000000" w:rsidDel="00000000" w:rsidP="00000000" w:rsidRDefault="00000000" w:rsidRPr="00000000" w14:paraId="000004BF">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‘Guides to Occupational Health Practice’.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4C0">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occupational Health and Safety and Nigeria Industrial Development’.  Nigeria medical journal, vol.30 (4): 155-160</w:t>
      </w:r>
    </w:p>
    <w:p w:rsidR="00000000" w:rsidDel="00000000" w:rsidP="00000000" w:rsidRDefault="00000000" w:rsidRPr="00000000" w14:paraId="000004C1">
      <w:pPr>
        <w:spacing w:after="0" w:line="360" w:lineRule="auto"/>
        <w:ind w:left="1440" w:hanging="14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A guide to Occupational Health Practice in Developing Countries. Enugu. Snaap Press Ltd.</w:t>
      </w:r>
    </w:p>
    <w:p w:rsidR="00000000" w:rsidDel="00000000" w:rsidP="00000000" w:rsidRDefault="00000000" w:rsidRPr="00000000" w14:paraId="000004C2">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Occupational Health, a summary, introduction and outline of Principles’. Africa Link Books.</w:t>
      </w:r>
    </w:p>
    <w:p w:rsidR="00000000" w:rsidDel="00000000" w:rsidP="00000000" w:rsidRDefault="00000000" w:rsidRPr="00000000" w14:paraId="000004C3">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The Business Cases for the Integration of Employee Assistance, Work – Life and Wellness</w:t>
      </w:r>
    </w:p>
    <w:p w:rsidR="00000000" w:rsidDel="00000000" w:rsidP="00000000" w:rsidRDefault="00000000" w:rsidRPr="00000000" w14:paraId="000004C4">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Noise-An Occupational Hazard and Public Nuisance’. Public Health Paper, No.30, WHO, Geneva.</w:t>
      </w:r>
    </w:p>
    <w:p w:rsidR="00000000" w:rsidDel="00000000" w:rsidP="00000000" w:rsidRDefault="00000000" w:rsidRPr="00000000" w14:paraId="000004C5">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Human Resource Management and Occupational Health and Safety’. London routledge.</w:t>
      </w:r>
    </w:p>
    <w:p w:rsidR="00000000" w:rsidDel="00000000" w:rsidP="00000000" w:rsidRDefault="00000000" w:rsidRPr="00000000" w14:paraId="000004C6">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Occupational Health and Safety Management System’ Edward Arnold publishing company. Bs 880, page 2.</w:t>
      </w:r>
    </w:p>
    <w:p w:rsidR="00000000" w:rsidDel="00000000" w:rsidP="00000000" w:rsidRDefault="00000000" w:rsidRPr="00000000" w14:paraId="000004C7">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Occupational Health Service’ Africa newsletter on occupational health and safety. Vol.8, page 31.</w:t>
      </w:r>
    </w:p>
    <w:p w:rsidR="00000000" w:rsidDel="00000000" w:rsidP="00000000" w:rsidRDefault="00000000" w:rsidRPr="00000000" w14:paraId="000004C8">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Practitioners use of theory: Example of safety education. Health Educ. Quart. 19(3).</w:t>
      </w:r>
    </w:p>
    <w:p w:rsidR="00000000" w:rsidDel="00000000" w:rsidP="00000000" w:rsidRDefault="00000000" w:rsidRPr="00000000" w14:paraId="000004C9">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Carl (1975).  Code  of  practice  on  HIV/AIDS  and  the  world  of  work. Geneva, International.</w:t>
      </w:r>
    </w:p>
    <w:p w:rsidR="00000000" w:rsidDel="00000000" w:rsidP="00000000" w:rsidRDefault="00000000" w:rsidRPr="00000000" w14:paraId="000004CA">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CIPD. (2007). </w:t>
        <w:tab/>
        <w:t xml:space="preserve">Absence Management. Directions in Psychological Science 13 (6), 238–241. CIPD, London</w:t>
      </w:r>
    </w:p>
    <w:p w:rsidR="00000000" w:rsidDel="00000000" w:rsidP="00000000" w:rsidRDefault="00000000" w:rsidRPr="00000000" w14:paraId="000004CB">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Drucker F.P. (1999)</w:t>
        <w:tab/>
        <w:t xml:space="preserve">‘Management Task, Responsibilities and Practices’ Oxford: Butter Worth-Hamann.</w:t>
      </w:r>
    </w:p>
    <w:p w:rsidR="00000000" w:rsidDel="00000000" w:rsidP="00000000" w:rsidRDefault="00000000" w:rsidRPr="00000000" w14:paraId="000004CC">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Duebenspeek A.W (1974). Occupational  health Hazards. Hicksville New York exposition Press.</w:t>
      </w:r>
    </w:p>
    <w:p w:rsidR="00000000" w:rsidDel="00000000" w:rsidP="00000000" w:rsidRDefault="00000000" w:rsidRPr="00000000" w14:paraId="000004CD">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Eakin J.M (1992)</w:t>
        <w:tab/>
        <w:t xml:space="preserve">‘Sociological Perspective on the Management of Health and Safety in Small Workplace’. International journal of health services. 22(4) 689-704.</w:t>
      </w:r>
    </w:p>
    <w:p w:rsidR="00000000" w:rsidDel="00000000" w:rsidP="00000000" w:rsidRDefault="00000000" w:rsidRPr="00000000" w14:paraId="000004CE">
      <w:pPr>
        <w:spacing w:after="0" w:line="360" w:lineRule="auto"/>
        <w:ind w:left="1440" w:hanging="14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EANPC, (2005). The High Road to Wealth. Accessed from </w:t>
      </w:r>
      <w:hyperlink r:id="rId53">
        <w:r w:rsidDel="00000000" w:rsidR="00000000" w:rsidRPr="00000000">
          <w:rPr>
            <w:rFonts w:ascii="Times New Roman" w:cs="Times New Roman" w:eastAsia="Times New Roman" w:hAnsi="Times New Roman"/>
            <w:color w:val="0000ff"/>
            <w:sz w:val="28"/>
            <w:szCs w:val="28"/>
            <w:u w:val="single"/>
            <w:rtl w:val="0"/>
          </w:rPr>
          <w:t xml:space="preserve">http://www.eanpc.eu/p/754A85126B4C1450C125758C00300F66</w:t>
        </w:r>
      </w:hyperlink>
      <w:r w:rsidDel="00000000" w:rsidR="00000000" w:rsidRPr="00000000">
        <w:rPr>
          <w:rtl w:val="0"/>
        </w:rPr>
      </w:r>
    </w:p>
    <w:p w:rsidR="00000000" w:rsidDel="00000000" w:rsidP="00000000" w:rsidRDefault="00000000" w:rsidRPr="00000000" w14:paraId="000004CF">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Effect of Occupational Hazards on Employees’ productivity by Dr. Ofoegbu O.E., Olawepo G.T. and Ibojo B.O. lecturers, Business Administration Department, Ajayi Crowther University, Uyo, Nigeria. </w:t>
      </w:r>
    </w:p>
    <w:p w:rsidR="00000000" w:rsidDel="00000000" w:rsidP="00000000" w:rsidRDefault="00000000" w:rsidRPr="00000000" w14:paraId="000004D0">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EEF. (2007). Sickness Absence and Rehabilitation Survey. EEF, London.</w:t>
      </w:r>
    </w:p>
    <w:p w:rsidR="00000000" w:rsidDel="00000000" w:rsidP="00000000" w:rsidRDefault="00000000" w:rsidRPr="00000000" w14:paraId="000004D1">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Emeharole,  P.O.  &amp;  Iwok  F.  E. (1997). Occupational Stress Induced    Health Problems:  The Scene Among Employees of  Essien  Udim  LGA.  Akwa  Ibom. Proceedings  of NAHET  Conference.</w:t>
      </w:r>
    </w:p>
    <w:p w:rsidR="00000000" w:rsidDel="00000000" w:rsidP="00000000" w:rsidRDefault="00000000" w:rsidRPr="00000000" w14:paraId="000004D3">
      <w:pPr>
        <w:spacing w:after="0" w:line="360" w:lineRule="auto"/>
        <w:ind w:left="1440" w:hanging="14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Entwistle  I.R  (1983).  Adventures in industries and aviation, British Medical Journal. London. </w:t>
      </w:r>
    </w:p>
    <w:p w:rsidR="00000000" w:rsidDel="00000000" w:rsidP="00000000" w:rsidRDefault="00000000" w:rsidRPr="00000000" w14:paraId="000004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Erinne A.U. (2002)</w:t>
        <w:tab/>
        <w:t xml:space="preserve">‘A Study of the Hea</w:t>
      </w:r>
    </w:p>
    <w:sectPr>
      <w:type w:val="nextPage"/>
      <w:pgSz w:h="1440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rFonts w:ascii="Times New Roman" w:cs="Times New Roman" w:eastAsia="Times New Roman" w:hAnsi="Times New Roman"/>
        <w:b w:val="0"/>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decimal"/>
      <w:lvlText w:val="%1"/>
      <w:lvlJc w:val="left"/>
      <w:pPr>
        <w:ind w:left="360" w:hanging="360"/>
      </w:pPr>
      <w:rPr/>
    </w:lvl>
    <w:lvl w:ilvl="1">
      <w:start w:val="1"/>
      <w:numFmt w:val="decimal"/>
      <w:lvlText w:val="%1.%2"/>
      <w:lvlJc w:val="left"/>
      <w:pPr>
        <w:ind w:left="1080" w:hanging="360"/>
      </w:pPr>
      <w:rPr>
        <w:b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7">
    <w:lvl w:ilvl="0">
      <w:start w:val="1"/>
      <w:numFmt w:val="decimal"/>
      <w:lvlText w:val="%1"/>
      <w:lvlJc w:val="left"/>
      <w:pPr>
        <w:ind w:left="360" w:hanging="360"/>
      </w:pPr>
      <w:rPr>
        <w:b w:val="1"/>
      </w:rPr>
    </w:lvl>
    <w:lvl w:ilvl="1">
      <w:start w:val="3"/>
      <w:numFmt w:val="decimal"/>
      <w:lvlText w:val="%1.%2"/>
      <w:lvlJc w:val="left"/>
      <w:pPr>
        <w:ind w:left="1080" w:hanging="360"/>
      </w:pPr>
      <w:rPr>
        <w:b w:val="1"/>
      </w:rPr>
    </w:lvl>
    <w:lvl w:ilvl="2">
      <w:start w:val="1"/>
      <w:numFmt w:val="decimal"/>
      <w:lvlText w:val="%1.%2.%3"/>
      <w:lvlJc w:val="left"/>
      <w:pPr>
        <w:ind w:left="2160" w:hanging="720"/>
      </w:pPr>
      <w:rPr>
        <w:b w:val="1"/>
      </w:rPr>
    </w:lvl>
    <w:lvl w:ilvl="3">
      <w:start w:val="1"/>
      <w:numFmt w:val="decimal"/>
      <w:lvlText w:val="%1.%2.%3.%4"/>
      <w:lvlJc w:val="left"/>
      <w:pPr>
        <w:ind w:left="2880" w:hanging="720"/>
      </w:pPr>
      <w:rPr>
        <w:b w:val="1"/>
      </w:rPr>
    </w:lvl>
    <w:lvl w:ilvl="4">
      <w:start w:val="1"/>
      <w:numFmt w:val="decimal"/>
      <w:lvlText w:val="%1.%2.%3.%4.%5"/>
      <w:lvlJc w:val="left"/>
      <w:pPr>
        <w:ind w:left="3960" w:hanging="1080"/>
      </w:pPr>
      <w:rPr>
        <w:b w:val="1"/>
      </w:rPr>
    </w:lvl>
    <w:lvl w:ilvl="5">
      <w:start w:val="1"/>
      <w:numFmt w:val="decimal"/>
      <w:lvlText w:val="%1.%2.%3.%4.%5.%6"/>
      <w:lvlJc w:val="left"/>
      <w:pPr>
        <w:ind w:left="4680" w:hanging="1080"/>
      </w:pPr>
      <w:rPr>
        <w:b w:val="1"/>
      </w:rPr>
    </w:lvl>
    <w:lvl w:ilvl="6">
      <w:start w:val="1"/>
      <w:numFmt w:val="decimal"/>
      <w:lvlText w:val="%1.%2.%3.%4.%5.%6.%7"/>
      <w:lvlJc w:val="left"/>
      <w:pPr>
        <w:ind w:left="5760" w:hanging="1440"/>
      </w:pPr>
      <w:rPr>
        <w:b w:val="1"/>
      </w:rPr>
    </w:lvl>
    <w:lvl w:ilvl="7">
      <w:start w:val="1"/>
      <w:numFmt w:val="decimal"/>
      <w:lvlText w:val="%1.%2.%3.%4.%5.%6.%7.%8"/>
      <w:lvlJc w:val="left"/>
      <w:pPr>
        <w:ind w:left="6480" w:hanging="1440"/>
      </w:pPr>
      <w:rPr>
        <w:b w:val="1"/>
      </w:rPr>
    </w:lvl>
    <w:lvl w:ilvl="8">
      <w:start w:val="1"/>
      <w:numFmt w:val="decimal"/>
      <w:lvlText w:val="%1.%2.%3.%4.%5.%6.%7.%8.%9"/>
      <w:lvlJc w:val="left"/>
      <w:pPr>
        <w:ind w:left="7560" w:hanging="1800"/>
      </w:pPr>
      <w:rPr>
        <w:b w:val="1"/>
      </w:rPr>
    </w:lvl>
  </w:abstractNum>
  <w:abstractNum w:abstractNumId="8">
    <w:lvl w:ilvl="0">
      <w:start w:val="1"/>
      <w:numFmt w:val="lowerRoman"/>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left"/>
      <w:pPr>
        <w:ind w:left="1620" w:hanging="500"/>
      </w:pPr>
      <w:rPr>
        <w:rFonts w:ascii="Times New Roman" w:cs="Times New Roman" w:eastAsia="Times New Roman" w:hAnsi="Times New Roman"/>
        <w:sz w:val="24"/>
        <w:szCs w:val="24"/>
      </w:rPr>
    </w:lvl>
    <w:lvl w:ilvl="1">
      <w:start w:val="0"/>
      <w:numFmt w:val="bullet"/>
      <w:lvlText w:val="•"/>
      <w:lvlJc w:val="left"/>
      <w:pPr>
        <w:ind w:left="2576" w:hanging="500"/>
      </w:pPr>
      <w:rPr/>
    </w:lvl>
    <w:lvl w:ilvl="2">
      <w:start w:val="0"/>
      <w:numFmt w:val="bullet"/>
      <w:lvlText w:val="•"/>
      <w:lvlJc w:val="left"/>
      <w:pPr>
        <w:ind w:left="3532" w:hanging="500"/>
      </w:pPr>
      <w:rPr/>
    </w:lvl>
    <w:lvl w:ilvl="3">
      <w:start w:val="0"/>
      <w:numFmt w:val="bullet"/>
      <w:lvlText w:val="•"/>
      <w:lvlJc w:val="left"/>
      <w:pPr>
        <w:ind w:left="4488" w:hanging="500"/>
      </w:pPr>
      <w:rPr/>
    </w:lvl>
    <w:lvl w:ilvl="4">
      <w:start w:val="0"/>
      <w:numFmt w:val="bullet"/>
      <w:lvlText w:val="•"/>
      <w:lvlJc w:val="left"/>
      <w:pPr>
        <w:ind w:left="5444" w:hanging="500"/>
      </w:pPr>
      <w:rPr/>
    </w:lvl>
    <w:lvl w:ilvl="5">
      <w:start w:val="0"/>
      <w:numFmt w:val="bullet"/>
      <w:lvlText w:val="•"/>
      <w:lvlJc w:val="left"/>
      <w:pPr>
        <w:ind w:left="6400" w:hanging="500"/>
      </w:pPr>
      <w:rPr/>
    </w:lvl>
    <w:lvl w:ilvl="6">
      <w:start w:val="0"/>
      <w:numFmt w:val="bullet"/>
      <w:lvlText w:val="•"/>
      <w:lvlJc w:val="left"/>
      <w:pPr>
        <w:ind w:left="7356" w:hanging="500"/>
      </w:pPr>
      <w:rPr/>
    </w:lvl>
    <w:lvl w:ilvl="7">
      <w:start w:val="0"/>
      <w:numFmt w:val="bullet"/>
      <w:lvlText w:val="•"/>
      <w:lvlJc w:val="left"/>
      <w:pPr>
        <w:ind w:left="8312" w:hanging="500"/>
      </w:pPr>
      <w:rPr/>
    </w:lvl>
    <w:lvl w:ilvl="8">
      <w:start w:val="0"/>
      <w:numFmt w:val="bullet"/>
      <w:lvlText w:val="•"/>
      <w:lvlJc w:val="left"/>
      <w:pPr>
        <w:ind w:left="9268" w:hanging="500"/>
      </w:pPr>
      <w:rPr/>
    </w:lvl>
  </w:abstractNum>
  <w:abstractNum w:abstractNumId="10">
    <w:lvl w:ilvl="0">
      <w:start w:val="1"/>
      <w:numFmt w:val="decimal"/>
      <w:lvlText w:val="%1)"/>
      <w:lvlJc w:val="left"/>
      <w:pPr>
        <w:ind w:left="900" w:hanging="269"/>
      </w:pPr>
      <w:rPr>
        <w:rFonts w:ascii="Times New Roman" w:cs="Times New Roman" w:eastAsia="Times New Roman" w:hAnsi="Times New Roman"/>
        <w:sz w:val="24"/>
        <w:szCs w:val="24"/>
      </w:rPr>
    </w:lvl>
    <w:lvl w:ilvl="1">
      <w:start w:val="1"/>
      <w:numFmt w:val="lowerLetter"/>
      <w:lvlText w:val="%2)"/>
      <w:lvlJc w:val="left"/>
      <w:pPr>
        <w:ind w:left="900" w:hanging="267"/>
      </w:pPr>
      <w:rPr>
        <w:rFonts w:ascii="Times New Roman" w:cs="Times New Roman" w:eastAsia="Times New Roman" w:hAnsi="Times New Roman"/>
        <w:sz w:val="24"/>
        <w:szCs w:val="24"/>
      </w:rPr>
    </w:lvl>
    <w:lvl w:ilvl="2">
      <w:start w:val="0"/>
      <w:numFmt w:val="bullet"/>
      <w:lvlText w:val="•"/>
      <w:lvlJc w:val="left"/>
      <w:pPr>
        <w:ind w:left="2956" w:hanging="266.99999999999955"/>
      </w:pPr>
      <w:rPr/>
    </w:lvl>
    <w:lvl w:ilvl="3">
      <w:start w:val="0"/>
      <w:numFmt w:val="bullet"/>
      <w:lvlText w:val="•"/>
      <w:lvlJc w:val="left"/>
      <w:pPr>
        <w:ind w:left="3984" w:hanging="267"/>
      </w:pPr>
      <w:rPr/>
    </w:lvl>
    <w:lvl w:ilvl="4">
      <w:start w:val="0"/>
      <w:numFmt w:val="bullet"/>
      <w:lvlText w:val="•"/>
      <w:lvlJc w:val="left"/>
      <w:pPr>
        <w:ind w:left="5012" w:hanging="267"/>
      </w:pPr>
      <w:rPr/>
    </w:lvl>
    <w:lvl w:ilvl="5">
      <w:start w:val="0"/>
      <w:numFmt w:val="bullet"/>
      <w:lvlText w:val="•"/>
      <w:lvlJc w:val="left"/>
      <w:pPr>
        <w:ind w:left="6040" w:hanging="267"/>
      </w:pPr>
      <w:rPr/>
    </w:lvl>
    <w:lvl w:ilvl="6">
      <w:start w:val="0"/>
      <w:numFmt w:val="bullet"/>
      <w:lvlText w:val="•"/>
      <w:lvlJc w:val="left"/>
      <w:pPr>
        <w:ind w:left="7068" w:hanging="267.0000000000009"/>
      </w:pPr>
      <w:rPr/>
    </w:lvl>
    <w:lvl w:ilvl="7">
      <w:start w:val="0"/>
      <w:numFmt w:val="bullet"/>
      <w:lvlText w:val="•"/>
      <w:lvlJc w:val="left"/>
      <w:pPr>
        <w:ind w:left="8096" w:hanging="267"/>
      </w:pPr>
      <w:rPr/>
    </w:lvl>
    <w:lvl w:ilvl="8">
      <w:start w:val="0"/>
      <w:numFmt w:val="bullet"/>
      <w:lvlText w:val="•"/>
      <w:lvlJc w:val="left"/>
      <w:pPr>
        <w:ind w:left="9124" w:hanging="267"/>
      </w:pPr>
      <w:rPr/>
    </w:lvl>
  </w:abstractNum>
  <w:abstractNum w:abstractNumId="11">
    <w:lvl w:ilvl="0">
      <w:start w:val="1"/>
      <w:numFmt w:val="lowerLetter"/>
      <w:lvlText w:val="(%1)"/>
      <w:lvlJc w:val="left"/>
      <w:pPr>
        <w:ind w:left="1225" w:hanging="325"/>
      </w:pPr>
      <w:rPr>
        <w:rFonts w:ascii="Times New Roman" w:cs="Times New Roman" w:eastAsia="Times New Roman" w:hAnsi="Times New Roman"/>
        <w:sz w:val="24"/>
        <w:szCs w:val="24"/>
      </w:rPr>
    </w:lvl>
    <w:lvl w:ilvl="1">
      <w:start w:val="0"/>
      <w:numFmt w:val="bullet"/>
      <w:lvlText w:val="•"/>
      <w:lvlJc w:val="left"/>
      <w:pPr>
        <w:ind w:left="2216" w:hanging="325"/>
      </w:pPr>
      <w:rPr/>
    </w:lvl>
    <w:lvl w:ilvl="2">
      <w:start w:val="0"/>
      <w:numFmt w:val="bullet"/>
      <w:lvlText w:val="•"/>
      <w:lvlJc w:val="left"/>
      <w:pPr>
        <w:ind w:left="3212" w:hanging="325"/>
      </w:pPr>
      <w:rPr/>
    </w:lvl>
    <w:lvl w:ilvl="3">
      <w:start w:val="0"/>
      <w:numFmt w:val="bullet"/>
      <w:lvlText w:val="•"/>
      <w:lvlJc w:val="left"/>
      <w:pPr>
        <w:ind w:left="4208" w:hanging="325"/>
      </w:pPr>
      <w:rPr/>
    </w:lvl>
    <w:lvl w:ilvl="4">
      <w:start w:val="0"/>
      <w:numFmt w:val="bullet"/>
      <w:lvlText w:val="•"/>
      <w:lvlJc w:val="left"/>
      <w:pPr>
        <w:ind w:left="5204" w:hanging="325"/>
      </w:pPr>
      <w:rPr/>
    </w:lvl>
    <w:lvl w:ilvl="5">
      <w:start w:val="0"/>
      <w:numFmt w:val="bullet"/>
      <w:lvlText w:val="•"/>
      <w:lvlJc w:val="left"/>
      <w:pPr>
        <w:ind w:left="6200" w:hanging="325"/>
      </w:pPr>
      <w:rPr/>
    </w:lvl>
    <w:lvl w:ilvl="6">
      <w:start w:val="0"/>
      <w:numFmt w:val="bullet"/>
      <w:lvlText w:val="•"/>
      <w:lvlJc w:val="left"/>
      <w:pPr>
        <w:ind w:left="7196" w:hanging="325"/>
      </w:pPr>
      <w:rPr/>
    </w:lvl>
    <w:lvl w:ilvl="7">
      <w:start w:val="0"/>
      <w:numFmt w:val="bullet"/>
      <w:lvlText w:val="•"/>
      <w:lvlJc w:val="left"/>
      <w:pPr>
        <w:ind w:left="8192" w:hanging="325"/>
      </w:pPr>
      <w:rPr/>
    </w:lvl>
    <w:lvl w:ilvl="8">
      <w:start w:val="0"/>
      <w:numFmt w:val="bullet"/>
      <w:lvlText w:val="•"/>
      <w:lvlJc w:val="left"/>
      <w:pPr>
        <w:ind w:left="9188" w:hanging="325"/>
      </w:pPr>
      <w:rPr/>
    </w:lvl>
  </w:abstractNum>
  <w:abstractNum w:abstractNumId="12">
    <w:lvl w:ilvl="0">
      <w:start w:val="1"/>
      <w:numFmt w:val="lowerLetter"/>
      <w:lvlText w:val="(%1)"/>
      <w:lvlJc w:val="left"/>
      <w:pPr>
        <w:ind w:left="1225" w:hanging="325"/>
      </w:pPr>
      <w:rPr>
        <w:rFonts w:ascii="Times New Roman" w:cs="Times New Roman" w:eastAsia="Times New Roman" w:hAnsi="Times New Roman"/>
        <w:sz w:val="24"/>
        <w:szCs w:val="24"/>
      </w:rPr>
    </w:lvl>
    <w:lvl w:ilvl="1">
      <w:start w:val="1"/>
      <w:numFmt w:val="lowerRoman"/>
      <w:lvlText w:val="(%2)"/>
      <w:lvlJc w:val="left"/>
      <w:pPr>
        <w:ind w:left="1905" w:hanging="286"/>
      </w:pPr>
      <w:rPr>
        <w:rFonts w:ascii="Times New Roman" w:cs="Times New Roman" w:eastAsia="Times New Roman" w:hAnsi="Times New Roman"/>
        <w:sz w:val="24"/>
        <w:szCs w:val="24"/>
      </w:rPr>
    </w:lvl>
    <w:lvl w:ilvl="2">
      <w:start w:val="0"/>
      <w:numFmt w:val="bullet"/>
      <w:lvlText w:val="•"/>
      <w:lvlJc w:val="left"/>
      <w:pPr>
        <w:ind w:left="2931" w:hanging="286"/>
      </w:pPr>
      <w:rPr/>
    </w:lvl>
    <w:lvl w:ilvl="3">
      <w:start w:val="0"/>
      <w:numFmt w:val="bullet"/>
      <w:lvlText w:val="•"/>
      <w:lvlJc w:val="left"/>
      <w:pPr>
        <w:ind w:left="3962" w:hanging="286.00000000000045"/>
      </w:pPr>
      <w:rPr/>
    </w:lvl>
    <w:lvl w:ilvl="4">
      <w:start w:val="0"/>
      <w:numFmt w:val="bullet"/>
      <w:lvlText w:val="•"/>
      <w:lvlJc w:val="left"/>
      <w:pPr>
        <w:ind w:left="4993" w:hanging="286"/>
      </w:pPr>
      <w:rPr/>
    </w:lvl>
    <w:lvl w:ilvl="5">
      <w:start w:val="0"/>
      <w:numFmt w:val="bullet"/>
      <w:lvlText w:val="•"/>
      <w:lvlJc w:val="left"/>
      <w:pPr>
        <w:ind w:left="6024" w:hanging="286"/>
      </w:pPr>
      <w:rPr/>
    </w:lvl>
    <w:lvl w:ilvl="6">
      <w:start w:val="0"/>
      <w:numFmt w:val="bullet"/>
      <w:lvlText w:val="•"/>
      <w:lvlJc w:val="left"/>
      <w:pPr>
        <w:ind w:left="7055" w:hanging="286"/>
      </w:pPr>
      <w:rPr/>
    </w:lvl>
    <w:lvl w:ilvl="7">
      <w:start w:val="0"/>
      <w:numFmt w:val="bullet"/>
      <w:lvlText w:val="•"/>
      <w:lvlJc w:val="left"/>
      <w:pPr>
        <w:ind w:left="8086" w:hanging="286"/>
      </w:pPr>
      <w:rPr/>
    </w:lvl>
    <w:lvl w:ilvl="8">
      <w:start w:val="0"/>
      <w:numFmt w:val="bullet"/>
      <w:lvlText w:val="•"/>
      <w:lvlJc w:val="left"/>
      <w:pPr>
        <w:ind w:left="9117" w:hanging="286"/>
      </w:pPr>
      <w:rPr/>
    </w:lvl>
  </w:abstractNum>
  <w:abstractNum w:abstractNumId="13">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decimal"/>
      <w:lvlText w:val="%1"/>
      <w:lvlJc w:val="left"/>
      <w:pPr>
        <w:ind w:left="480" w:hanging="480"/>
      </w:pPr>
      <w:rPr/>
    </w:lvl>
    <w:lvl w:ilvl="1">
      <w:start w:val="2"/>
      <w:numFmt w:val="decimal"/>
      <w:lvlText w:val="%1.%2"/>
      <w:lvlJc w:val="left"/>
      <w:pPr>
        <w:ind w:left="480" w:hanging="480"/>
      </w:pPr>
      <w:rPr/>
    </w:lvl>
    <w:lvl w:ilvl="2">
      <w:start w:val="8"/>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0" w:line="240" w:lineRule="auto"/>
      <w:ind w:left="1620" w:hanging="720"/>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0113"/>
    <w:rPr>
      <w:rFonts w:ascii="Calibri" w:cs="Times New Roman" w:eastAsia="Calibri" w:hAnsi="Calibri"/>
    </w:rPr>
  </w:style>
  <w:style w:type="paragraph" w:styleId="Heading1">
    <w:name w:val="heading 1"/>
    <w:basedOn w:val="Normal"/>
    <w:link w:val="Heading1Char"/>
    <w:uiPriority w:val="1"/>
    <w:qFormat w:val="1"/>
    <w:rsid w:val="00B00113"/>
    <w:pPr>
      <w:widowControl w:val="0"/>
      <w:autoSpaceDE w:val="0"/>
      <w:autoSpaceDN w:val="0"/>
      <w:spacing w:after="0" w:before="90" w:line="240" w:lineRule="auto"/>
      <w:ind w:left="1620" w:hanging="720"/>
      <w:outlineLvl w:val="0"/>
    </w:pPr>
    <w:rPr>
      <w:rFonts w:ascii="Times New Roman" w:eastAsia="Times New Roman" w:hAnsi="Times New Roman"/>
      <w:b w:val="1"/>
      <w:bCs w:val="1"/>
      <w:sz w:val="24"/>
      <w:szCs w:val="24"/>
      <w:lang w:bidi="en-US"/>
    </w:rPr>
  </w:style>
  <w:style w:type="paragraph" w:styleId="Heading2">
    <w:name w:val="heading 2"/>
    <w:basedOn w:val="Normal"/>
    <w:next w:val="Normal"/>
    <w:link w:val="Heading2Char"/>
    <w:uiPriority w:val="9"/>
    <w:semiHidden w:val="1"/>
    <w:unhideWhenUsed w:val="1"/>
    <w:qFormat w:val="1"/>
    <w:rsid w:val="00B00113"/>
    <w:pPr>
      <w:keepNext w:val="1"/>
      <w:spacing w:after="60" w:before="240"/>
      <w:outlineLvl w:val="1"/>
    </w:pPr>
    <w:rPr>
      <w:rFonts w:ascii="Cambria" w:eastAsia="Times New Roman" w:hAnsi="Cambria"/>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B00113"/>
    <w:pPr>
      <w:keepNext w:val="1"/>
      <w:spacing w:after="60" w:before="240"/>
      <w:outlineLvl w:val="2"/>
    </w:pPr>
    <w:rPr>
      <w:rFonts w:ascii="Cambria"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00113"/>
    <w:rPr>
      <w:rFonts w:ascii="Times New Roman" w:cs="Times New Roman" w:eastAsia="Times New Roman" w:hAnsi="Times New Roman"/>
      <w:b w:val="1"/>
      <w:bCs w:val="1"/>
      <w:sz w:val="24"/>
      <w:szCs w:val="24"/>
      <w:lang w:bidi="en-US"/>
    </w:rPr>
  </w:style>
  <w:style w:type="character" w:styleId="Heading2Char" w:customStyle="1">
    <w:name w:val="Heading 2 Char"/>
    <w:basedOn w:val="DefaultParagraphFont"/>
    <w:link w:val="Heading2"/>
    <w:uiPriority w:val="9"/>
    <w:semiHidden w:val="1"/>
    <w:rsid w:val="00B00113"/>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uiPriority w:val="9"/>
    <w:semiHidden w:val="1"/>
    <w:rsid w:val="00B00113"/>
    <w:rPr>
      <w:rFonts w:ascii="Cambria" w:cs="Times New Roman" w:eastAsia="Times New Roman" w:hAnsi="Cambria"/>
      <w:b w:val="1"/>
      <w:bCs w:val="1"/>
      <w:sz w:val="26"/>
      <w:szCs w:val="26"/>
    </w:rPr>
  </w:style>
  <w:style w:type="paragraph" w:styleId="BalloonText">
    <w:name w:val="Balloon Text"/>
    <w:basedOn w:val="Normal"/>
    <w:link w:val="BalloonTextChar"/>
    <w:uiPriority w:val="99"/>
    <w:semiHidden w:val="1"/>
    <w:unhideWhenUsed w:val="1"/>
    <w:rsid w:val="00B0011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00113"/>
    <w:rPr>
      <w:rFonts w:ascii="Tahoma" w:cs="Tahoma" w:eastAsia="Calibri" w:hAnsi="Tahoma"/>
      <w:sz w:val="16"/>
      <w:szCs w:val="16"/>
    </w:rPr>
  </w:style>
  <w:style w:type="paragraph" w:styleId="Header">
    <w:name w:val="header"/>
    <w:basedOn w:val="Normal"/>
    <w:link w:val="HeaderChar"/>
    <w:uiPriority w:val="99"/>
    <w:semiHidden w:val="1"/>
    <w:unhideWhenUsed w:val="1"/>
    <w:rsid w:val="00B0011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00113"/>
    <w:rPr>
      <w:rFonts w:ascii="Calibri" w:cs="Times New Roman" w:eastAsia="Calibri" w:hAnsi="Calibri"/>
    </w:rPr>
  </w:style>
  <w:style w:type="paragraph" w:styleId="Footer">
    <w:name w:val="footer"/>
    <w:basedOn w:val="Normal"/>
    <w:link w:val="FooterChar"/>
    <w:uiPriority w:val="99"/>
    <w:unhideWhenUsed w:val="1"/>
    <w:rsid w:val="00B001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0113"/>
    <w:rPr>
      <w:rFonts w:ascii="Calibri" w:cs="Times New Roman" w:eastAsia="Calibri" w:hAnsi="Calibri"/>
    </w:rPr>
  </w:style>
  <w:style w:type="paragraph" w:styleId="ListParagraph">
    <w:name w:val="List Paragraph"/>
    <w:basedOn w:val="Normal"/>
    <w:uiPriority w:val="1"/>
    <w:qFormat w:val="1"/>
    <w:rsid w:val="00B00113"/>
    <w:pPr>
      <w:ind w:left="720"/>
      <w:contextualSpacing w:val="1"/>
    </w:pPr>
  </w:style>
  <w:style w:type="character" w:styleId="Hyperlink">
    <w:name w:val="Hyperlink"/>
    <w:uiPriority w:val="99"/>
    <w:unhideWhenUsed w:val="1"/>
    <w:rsid w:val="00B00113"/>
    <w:rPr>
      <w:color w:val="0000ff"/>
      <w:u w:val="single"/>
    </w:rPr>
  </w:style>
  <w:style w:type="character" w:styleId="PlaceholderText">
    <w:name w:val="Placeholder Text"/>
    <w:basedOn w:val="DefaultParagraphFont"/>
    <w:uiPriority w:val="99"/>
    <w:semiHidden w:val="1"/>
    <w:rsid w:val="00B00113"/>
    <w:rPr>
      <w:color w:val="808080"/>
    </w:rPr>
  </w:style>
  <w:style w:type="table" w:styleId="TableGrid">
    <w:name w:val="Table Grid"/>
    <w:basedOn w:val="TableNormal"/>
    <w:uiPriority w:val="59"/>
    <w:rsid w:val="00B00113"/>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Default" w:customStyle="1">
    <w:name w:val="Default"/>
    <w:rsid w:val="00B00113"/>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character" w:styleId="a" w:customStyle="1">
    <w:name w:val="a"/>
    <w:basedOn w:val="DefaultParagraphFont"/>
    <w:rsid w:val="00B00113"/>
  </w:style>
  <w:style w:type="paragraph" w:styleId="BodyText">
    <w:name w:val="Body Text"/>
    <w:basedOn w:val="Normal"/>
    <w:link w:val="BodyTextChar"/>
    <w:uiPriority w:val="1"/>
    <w:qFormat w:val="1"/>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uiPriority w:val="1"/>
    <w:rsid w:val="00B00113"/>
    <w:rPr>
      <w:rFonts w:ascii="Times New Roman" w:cs="Times New Roman" w:eastAsia="Times New Roman" w:hAnsi="Times New Roman"/>
      <w:sz w:val="24"/>
      <w:szCs w:val="24"/>
      <w:lang w:bidi="en-US"/>
    </w:rPr>
  </w:style>
  <w:style w:type="paragraph" w:styleId="NormalWeb">
    <w:name w:val="Normal (Web)"/>
    <w:basedOn w:val="Normal"/>
    <w:uiPriority w:val="99"/>
    <w:semiHidden w:val="1"/>
    <w:unhideWhenUsed w:val="1"/>
    <w:rsid w:val="00B00113"/>
    <w:pPr>
      <w:spacing w:after="100" w:afterAutospacing="1" w:before="100" w:beforeAutospacing="1" w:line="240" w:lineRule="auto"/>
    </w:pPr>
    <w:rPr>
      <w:rFonts w:ascii="Times New Roman" w:eastAsia="Times New Roman" w:hAnsi="Times New Roman"/>
      <w:sz w:val="24"/>
      <w:szCs w:val="24"/>
    </w:rPr>
  </w:style>
  <w:style w:type="paragraph" w:styleId="Style2" w:customStyle="1">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styleId="FontStyle12" w:customStyle="1">
    <w:name w:val="Font Style12"/>
    <w:basedOn w:val="DefaultParagraphFont"/>
    <w:uiPriority w:val="99"/>
    <w:rsid w:val="00B00113"/>
    <w:rPr>
      <w:rFonts w:ascii="Times New Roman" w:cs="Times New Roman" w:hAnsi="Times New Roman" w:hint="default"/>
      <w:b w:val="1"/>
      <w:bCs w:val="1"/>
      <w:sz w:val="22"/>
      <w:szCs w:val="22"/>
    </w:rPr>
  </w:style>
  <w:style w:type="character" w:styleId="Strong">
    <w:name w:val="Strong"/>
    <w:basedOn w:val="DefaultParagraphFont"/>
    <w:uiPriority w:val="22"/>
    <w:qFormat w:val="1"/>
    <w:rsid w:val="00B0011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businessdictionary.com/definition/harm.html" TargetMode="External"/><Relationship Id="rId42" Type="http://schemas.openxmlformats.org/officeDocument/2006/relationships/hyperlink" Target="http://www.businessdictionary.com/definition/personnel.html" TargetMode="External"/><Relationship Id="rId41" Type="http://schemas.openxmlformats.org/officeDocument/2006/relationships/hyperlink" Target="http://www.businessdictionary.com/definition/injury.html" TargetMode="External"/><Relationship Id="rId44" Type="http://schemas.openxmlformats.org/officeDocument/2006/relationships/hyperlink" Target="http://www.businessdictionary.com/definition/accident.html" TargetMode="External"/><Relationship Id="rId43" Type="http://schemas.openxmlformats.org/officeDocument/2006/relationships/hyperlink" Target="http://www.businessdictionary.com/definition/property.html" TargetMode="External"/><Relationship Id="rId46" Type="http://schemas.openxmlformats.org/officeDocument/2006/relationships/hyperlink" Target="https://en.wikipedia.org/wiki/Organizational_performance#cite_note-2" TargetMode="External"/><Relationship Id="rId45" Type="http://schemas.openxmlformats.org/officeDocument/2006/relationships/hyperlink" Target="https://en.wikipedia.org/wiki/Organizational_effective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Risk" TargetMode="External"/><Relationship Id="rId48" Type="http://schemas.openxmlformats.org/officeDocument/2006/relationships/hyperlink" Target="https://iedunote.com/culture" TargetMode="External"/><Relationship Id="rId47" Type="http://schemas.openxmlformats.org/officeDocument/2006/relationships/hyperlink" Target="https://en.wikipedia.org/wiki/Organizational_development" TargetMode="External"/><Relationship Id="rId49" Type="http://schemas.openxmlformats.org/officeDocument/2006/relationships/hyperlink" Target="https://iedunote.com/manag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en.wikipedia.org/wiki/Hazard" TargetMode="External"/><Relationship Id="rId31" Type="http://schemas.openxmlformats.org/officeDocument/2006/relationships/hyperlink" Target="http://www.businessdictionary.com/definition/guideline.html" TargetMode="External"/><Relationship Id="rId30" Type="http://schemas.openxmlformats.org/officeDocument/2006/relationships/hyperlink" Target="http://www.businessdictionary.com/definition/associated.html" TargetMode="External"/><Relationship Id="rId33" Type="http://schemas.openxmlformats.org/officeDocument/2006/relationships/hyperlink" Target="http://www.businessdictionary.com/definition/action.html" TargetMode="External"/><Relationship Id="rId32" Type="http://schemas.openxmlformats.org/officeDocument/2006/relationships/hyperlink" Target="http://www.businessdictionary.com/definition/organization.html" TargetMode="External"/><Relationship Id="rId35" Type="http://schemas.openxmlformats.org/officeDocument/2006/relationships/hyperlink" Target="http://www.businessdictionary.com/definition/goal.html" TargetMode="External"/><Relationship Id="rId34" Type="http://schemas.openxmlformats.org/officeDocument/2006/relationships/hyperlink" Target="http://www.businessdictionary.com/definition/long-term.html" TargetMode="External"/><Relationship Id="rId37" Type="http://schemas.openxmlformats.org/officeDocument/2006/relationships/hyperlink" Target="http://www.businessdictionary.com/definition/danger.html" TargetMode="External"/><Relationship Id="rId36" Type="http://schemas.openxmlformats.org/officeDocument/2006/relationships/hyperlink" Target="http://www.businessdictionary.com/definition/freedom.html" TargetMode="External"/><Relationship Id="rId39" Type="http://schemas.openxmlformats.org/officeDocument/2006/relationships/hyperlink" Target="http://www.businessdictionary.com/definition/threat.html" TargetMode="External"/><Relationship Id="rId38" Type="http://schemas.openxmlformats.org/officeDocument/2006/relationships/hyperlink" Target="http://www.businessdictionary.com/definition/risk.html" TargetMode="External"/><Relationship Id="rId20" Type="http://schemas.openxmlformats.org/officeDocument/2006/relationships/hyperlink" Target="http://www.businessdictionary.com/definition/continuing.html" TargetMode="External"/><Relationship Id="rId22" Type="http://schemas.openxmlformats.org/officeDocument/2006/relationships/hyperlink" Target="http://www.businessdictionary.com/definition/accuracy.html" TargetMode="External"/><Relationship Id="rId21" Type="http://schemas.openxmlformats.org/officeDocument/2006/relationships/hyperlink" Target="http://www.businessdictionary.com/definition/task.html" TargetMode="External"/><Relationship Id="rId24" Type="http://schemas.openxmlformats.org/officeDocument/2006/relationships/hyperlink" Target="http://www.businessdictionary.com/definition/contract.html" TargetMode="External"/><Relationship Id="rId23" Type="http://schemas.openxmlformats.org/officeDocument/2006/relationships/hyperlink" Target="http://www.businessdictionary.com/definition/cost.html" TargetMode="External"/><Relationship Id="rId26" Type="http://schemas.openxmlformats.org/officeDocument/2006/relationships/hyperlink" Target="http://www.businessdictionary.com/definition/fulfillment.html" TargetMode="External"/><Relationship Id="rId25" Type="http://schemas.openxmlformats.org/officeDocument/2006/relationships/hyperlink" Target="http://www.businessdictionary.com/definition/deemed.html" TargetMode="External"/><Relationship Id="rId28" Type="http://schemas.openxmlformats.org/officeDocument/2006/relationships/hyperlink" Target="http://www.businessdictionary.com/definition/release.html" TargetMode="External"/><Relationship Id="rId27" Type="http://schemas.openxmlformats.org/officeDocument/2006/relationships/hyperlink" Target="http://www.businessdictionary.com/definition/obligation.html" TargetMode="External"/><Relationship Id="rId29" Type="http://schemas.openxmlformats.org/officeDocument/2006/relationships/hyperlink" Target="http://www.businessdictionary.com/definition/liability.html" TargetMode="External"/><Relationship Id="rId51" Type="http://schemas.openxmlformats.org/officeDocument/2006/relationships/hyperlink" Target="https://iedunote.com/organizational-structure-elements" TargetMode="External"/><Relationship Id="rId50" Type="http://schemas.openxmlformats.org/officeDocument/2006/relationships/hyperlink" Target="https://iedunote.com/organizational-culture" TargetMode="External"/><Relationship Id="rId53" Type="http://schemas.openxmlformats.org/officeDocument/2006/relationships/hyperlink" Target="http://www.eanpc.eu/p/754A85126B4C1450C125758C00300F66" TargetMode="External"/><Relationship Id="rId52" Type="http://schemas.openxmlformats.org/officeDocument/2006/relationships/image" Target="media/image1.png"/><Relationship Id="rId11" Type="http://schemas.openxmlformats.org/officeDocument/2006/relationships/hyperlink" Target="http://www.investorwords.com/6664/service.html" TargetMode="External"/><Relationship Id="rId10" Type="http://schemas.openxmlformats.org/officeDocument/2006/relationships/hyperlink" Target="http://www.investorwords.com/14646/person.html" TargetMode="External"/><Relationship Id="rId13" Type="http://schemas.openxmlformats.org/officeDocument/2006/relationships/hyperlink" Target="http://www.investorwords.com/10859/regular.html" TargetMode="External"/><Relationship Id="rId12" Type="http://schemas.openxmlformats.org/officeDocument/2006/relationships/hyperlink" Target="http://www.investorwords.com/992/company.html" TargetMode="External"/><Relationship Id="rId15" Type="http://schemas.openxmlformats.org/officeDocument/2006/relationships/hyperlink" Target="http://www.investorwords.com/623/business.html" TargetMode="External"/><Relationship Id="rId14" Type="http://schemas.openxmlformats.org/officeDocument/2006/relationships/hyperlink" Target="http://www.investorwords.com/1797/exchange.html" TargetMode="External"/><Relationship Id="rId17" Type="http://schemas.openxmlformats.org/officeDocument/2006/relationships/hyperlink" Target="http://www.businessdictionary.com/definition/structured.html" TargetMode="External"/><Relationship Id="rId16" Type="http://schemas.openxmlformats.org/officeDocument/2006/relationships/hyperlink" Target="http://www.businessdictionary.com/definition/unit.html" TargetMode="External"/><Relationship Id="rId19" Type="http://schemas.openxmlformats.org/officeDocument/2006/relationships/hyperlink" Target="http://www.businessdictionary.com/definition/goal.html" TargetMode="External"/><Relationship Id="rId18" Type="http://schemas.openxmlformats.org/officeDocument/2006/relationships/hyperlink" Target="http://www.businessdictionary.com/definition/need.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9Dmtu8tvVYP+/1UtBmsQfaoaJw==">CgMxLjAyDmgudGFxNXBxeTFla2Z6Mg5oLncxbXR4ejd0MnFidDgAciExUWM4eFh0WjBzZS1SZ0lTN3dnVndDVThUdzZjM1MwQ0k=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2024-05-09T20:47:00Z</dcterms:created>
  <dc:creator>IBN HASSAN</dc:creator>
</cp:coreProperties>
</file>