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E-</w:t>
      </w:r>
      <w:r w:rsidR="00E31F52">
        <w:rPr>
          <w:rFonts w:ascii="Arial Black" w:hAnsi="Arial Black"/>
          <w:b/>
          <w:sz w:val="36"/>
          <w:szCs w:val="28"/>
        </w:rPr>
        <w:t xml:space="preserve"> INTEGRATED </w:t>
      </w:r>
      <w:r w:rsidRPr="007A4A58">
        <w:rPr>
          <w:rFonts w:ascii="Arial Black" w:hAnsi="Arial Black"/>
          <w:b/>
          <w:sz w:val="36"/>
          <w:szCs w:val="28"/>
        </w:rPr>
        <w:t xml:space="preserve">MRKETING </w:t>
      </w:r>
      <w:r w:rsidR="00E31F52">
        <w:rPr>
          <w:rFonts w:ascii="Arial Black" w:hAnsi="Arial Black"/>
          <w:b/>
          <w:sz w:val="36"/>
          <w:szCs w:val="28"/>
        </w:rPr>
        <w:t xml:space="preserve">COMMUNICATON </w:t>
      </w:r>
      <w:r w:rsidRPr="007A4A58">
        <w:rPr>
          <w:rFonts w:ascii="Arial Black" w:hAnsi="Arial Black"/>
          <w:b/>
          <w:sz w:val="36"/>
          <w:szCs w:val="28"/>
        </w:rPr>
        <w:t xml:space="preserve">AND CUSTOMER </w:t>
      </w:r>
      <w:r w:rsidR="00E31F52">
        <w:rPr>
          <w:rFonts w:ascii="Arial Black" w:hAnsi="Arial Black"/>
          <w:b/>
          <w:sz w:val="36"/>
          <w:szCs w:val="28"/>
        </w:rPr>
        <w:t xml:space="preserve">ATTITUDE </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E31F52" w:rsidP="00496B4D">
      <w:pPr>
        <w:jc w:val="center"/>
        <w:rPr>
          <w:rFonts w:ascii="Arial Black" w:hAnsi="Arial Black"/>
          <w:b/>
          <w:sz w:val="32"/>
          <w:szCs w:val="28"/>
        </w:rPr>
      </w:pPr>
      <w:r>
        <w:rPr>
          <w:rFonts w:ascii="Arial Black" w:hAnsi="Arial Black"/>
          <w:b/>
          <w:sz w:val="36"/>
          <w:szCs w:val="28"/>
        </w:rPr>
        <w:t>ABOLAJI KHADIJAT DMILOLA</w:t>
      </w:r>
    </w:p>
    <w:p w:rsidR="00496B4D" w:rsidRDefault="00083285" w:rsidP="00496B4D">
      <w:pPr>
        <w:jc w:val="center"/>
        <w:rPr>
          <w:rFonts w:ascii="Arial Black" w:hAnsi="Arial Black"/>
          <w:b/>
          <w:sz w:val="36"/>
          <w:szCs w:val="28"/>
        </w:rPr>
      </w:pPr>
      <w:r>
        <w:rPr>
          <w:rFonts w:ascii="Arial Black" w:hAnsi="Arial Black"/>
          <w:b/>
          <w:sz w:val="36"/>
          <w:szCs w:val="28"/>
        </w:rPr>
        <w:t>HND/23</w:t>
      </w:r>
      <w:r w:rsidR="00014DE3">
        <w:rPr>
          <w:rFonts w:ascii="Arial Black" w:hAnsi="Arial Black"/>
          <w:b/>
          <w:sz w:val="36"/>
          <w:szCs w:val="28"/>
        </w:rPr>
        <w:t>/MKT/FT/</w:t>
      </w:r>
      <w:r w:rsidR="00E31F52">
        <w:rPr>
          <w:rFonts w:ascii="Arial Black" w:hAnsi="Arial Black"/>
          <w:b/>
          <w:sz w:val="36"/>
          <w:szCs w:val="28"/>
        </w:rPr>
        <w:t>0378</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83285">
        <w:rPr>
          <w:rFonts w:ascii="Bookman Old Style" w:hAnsi="Bookman Old Style"/>
          <w:b/>
          <w:sz w:val="28"/>
          <w:szCs w:val="28"/>
        </w:rPr>
        <w:t xml:space="preserve">HIGHER </w:t>
      </w:r>
      <w:r w:rsidRPr="00682372">
        <w:rPr>
          <w:rFonts w:ascii="Bookman Old Style" w:hAnsi="Bookman Old Style"/>
          <w:b/>
          <w:sz w:val="28"/>
          <w:szCs w:val="28"/>
        </w:rPr>
        <w:t>NATIONAL DIPLOMA (</w:t>
      </w:r>
      <w:r w:rsidR="00083285">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7001C2" w:rsidP="005110F6">
      <w:pPr>
        <w:spacing w:line="360" w:lineRule="auto"/>
        <w:jc w:val="both"/>
        <w:rPr>
          <w:rFonts w:ascii="Times New Roman" w:hAnsi="Times New Roman" w:cs="Times New Roman"/>
          <w:i/>
          <w:color w:val="000000"/>
          <w:sz w:val="26"/>
          <w:szCs w:val="26"/>
        </w:rPr>
      </w:pPr>
      <w:r w:rsidRPr="007001C2">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7001C2" w:rsidP="005110F6">
      <w:pPr>
        <w:spacing w:line="360" w:lineRule="auto"/>
        <w:jc w:val="both"/>
        <w:rPr>
          <w:rFonts w:ascii="Times New Roman" w:hAnsi="Times New Roman" w:cs="Times New Roman"/>
          <w:color w:val="000000"/>
          <w:sz w:val="26"/>
          <w:szCs w:val="26"/>
        </w:rPr>
      </w:pPr>
      <w:r w:rsidRPr="007001C2">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7001C2" w:rsidP="005110F6">
      <w:pPr>
        <w:spacing w:line="360" w:lineRule="auto"/>
        <w:jc w:val="both"/>
        <w:rPr>
          <w:rFonts w:ascii="Times New Roman" w:hAnsi="Times New Roman" w:cs="Times New Roman"/>
          <w:color w:val="000000"/>
          <w:sz w:val="26"/>
          <w:szCs w:val="26"/>
        </w:rPr>
      </w:pPr>
      <w:r w:rsidRPr="007001C2">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7001C2"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7001C2"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 xml:space="preserve">Internet banking promotes fast banking </w:t>
      </w:r>
      <w:r w:rsidRPr="005110F6">
        <w:rPr>
          <w:rFonts w:ascii="Times New Roman" w:hAnsi="Times New Roman" w:cs="Times New Roman"/>
          <w:bCs/>
          <w:color w:val="000000"/>
          <w:sz w:val="26"/>
          <w:szCs w:val="26"/>
        </w:rPr>
        <w:lastRenderedPageBreak/>
        <w:t>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lastRenderedPageBreak/>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lastRenderedPageBreak/>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4.3.1a presents the model summary. It shows that the significant coefficient r is 0.900 (i.e. r = 0.900) which indicates that there exists a very strong linear relationship between internet banking and mobile banking </w:t>
      </w:r>
      <w:r w:rsidRPr="005110F6">
        <w:rPr>
          <w:rFonts w:ascii="Times New Roman" w:hAnsi="Times New Roman" w:cs="Times New Roman"/>
          <w:sz w:val="26"/>
          <w:szCs w:val="26"/>
        </w:rPr>
        <w:lastRenderedPageBreak/>
        <w:t>(predictors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w:t>
      </w:r>
      <w:r w:rsidRPr="005110F6">
        <w:rPr>
          <w:rFonts w:ascii="Times New Roman" w:hAnsi="Times New Roman" w:cs="Times New Roman"/>
          <w:sz w:val="26"/>
          <w:szCs w:val="26"/>
        </w:rPr>
        <w:lastRenderedPageBreak/>
        <w:t xml:space="preserve">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w:t>
      </w:r>
      <w:r w:rsidRPr="005110F6">
        <w:rPr>
          <w:rFonts w:ascii="Times New Roman" w:hAnsi="Times New Roman" w:cs="Times New Roman"/>
          <w:sz w:val="26"/>
          <w:szCs w:val="26"/>
        </w:rPr>
        <w:lastRenderedPageBreak/>
        <w:t>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w:t>
      </w:r>
      <w:r w:rsidRPr="005110F6">
        <w:rPr>
          <w:rFonts w:ascii="Times New Roman" w:hAnsi="Times New Roman" w:cs="Times New Roman"/>
          <w:sz w:val="26"/>
          <w:szCs w:val="26"/>
        </w:rPr>
        <w:lastRenderedPageBreak/>
        <w:t xml:space="preserve">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 xml:space="preserve">Banks should invest in ATMs that are easy to use; guarantees privacy, affordable charges and one that allow customers to make deposits. Also, the study recommends that banking institutions </w:t>
      </w:r>
      <w:r w:rsidRPr="005110F6">
        <w:rPr>
          <w:rFonts w:ascii="Times New Roman" w:hAnsi="Times New Roman" w:cs="Times New Roman"/>
          <w:sz w:val="26"/>
          <w:szCs w:val="26"/>
        </w:rPr>
        <w:lastRenderedPageBreak/>
        <w:t>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lastRenderedPageBreak/>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4F2" w:rsidRDefault="008B14F2" w:rsidP="00634281">
      <w:r>
        <w:separator/>
      </w:r>
    </w:p>
  </w:endnote>
  <w:endnote w:type="continuationSeparator" w:id="1">
    <w:p w:rsidR="008B14F2" w:rsidRDefault="008B14F2"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7001C2">
    <w:pPr>
      <w:pStyle w:val="Footer"/>
      <w:jc w:val="center"/>
    </w:pPr>
    <w:sdt>
      <w:sdtPr>
        <w:id w:val="324674290"/>
        <w:docPartObj>
          <w:docPartGallery w:val="Page Numbers (Bottom of Page)"/>
          <w:docPartUnique/>
        </w:docPartObj>
      </w:sdtPr>
      <w:sdtContent>
        <w:fldSimple w:instr=" PAGE   \* MERGEFORMAT ">
          <w:r w:rsidR="0003778F">
            <w:rPr>
              <w:noProof/>
            </w:rPr>
            <w:t>1</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4F2" w:rsidRDefault="008B14F2" w:rsidP="00634281">
      <w:r>
        <w:separator/>
      </w:r>
    </w:p>
  </w:footnote>
  <w:footnote w:type="continuationSeparator" w:id="1">
    <w:p w:rsidR="008B14F2" w:rsidRDefault="008B14F2"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3778F"/>
    <w:rsid w:val="00083285"/>
    <w:rsid w:val="000A187C"/>
    <w:rsid w:val="000E1351"/>
    <w:rsid w:val="000E7F61"/>
    <w:rsid w:val="00135591"/>
    <w:rsid w:val="001C687A"/>
    <w:rsid w:val="001D6D97"/>
    <w:rsid w:val="001D7E9E"/>
    <w:rsid w:val="00236A8B"/>
    <w:rsid w:val="0037563F"/>
    <w:rsid w:val="0039263A"/>
    <w:rsid w:val="00496B4D"/>
    <w:rsid w:val="004C02A7"/>
    <w:rsid w:val="004D1174"/>
    <w:rsid w:val="005110F6"/>
    <w:rsid w:val="00582CC7"/>
    <w:rsid w:val="005A4801"/>
    <w:rsid w:val="005B1A38"/>
    <w:rsid w:val="005C63FB"/>
    <w:rsid w:val="00634281"/>
    <w:rsid w:val="00642A82"/>
    <w:rsid w:val="00652A82"/>
    <w:rsid w:val="00673417"/>
    <w:rsid w:val="006A0E6D"/>
    <w:rsid w:val="007001C2"/>
    <w:rsid w:val="007A4A58"/>
    <w:rsid w:val="007A7A4C"/>
    <w:rsid w:val="007C612A"/>
    <w:rsid w:val="007F63D4"/>
    <w:rsid w:val="00806385"/>
    <w:rsid w:val="00816A4F"/>
    <w:rsid w:val="00867541"/>
    <w:rsid w:val="008B14F2"/>
    <w:rsid w:val="00914F30"/>
    <w:rsid w:val="0095228A"/>
    <w:rsid w:val="00957A9C"/>
    <w:rsid w:val="009B5D27"/>
    <w:rsid w:val="00A41092"/>
    <w:rsid w:val="00A41380"/>
    <w:rsid w:val="00A45C97"/>
    <w:rsid w:val="00AA7070"/>
    <w:rsid w:val="00AC1750"/>
    <w:rsid w:val="00AE3CF0"/>
    <w:rsid w:val="00AF5110"/>
    <w:rsid w:val="00B027A7"/>
    <w:rsid w:val="00B469B3"/>
    <w:rsid w:val="00B530DC"/>
    <w:rsid w:val="00B5406D"/>
    <w:rsid w:val="00B6683C"/>
    <w:rsid w:val="00C32037"/>
    <w:rsid w:val="00C35634"/>
    <w:rsid w:val="00C660EE"/>
    <w:rsid w:val="00D04962"/>
    <w:rsid w:val="00D65182"/>
    <w:rsid w:val="00DA55B6"/>
    <w:rsid w:val="00DD6FDE"/>
    <w:rsid w:val="00DD7B86"/>
    <w:rsid w:val="00E2793D"/>
    <w:rsid w:val="00E31F52"/>
    <w:rsid w:val="00E320A6"/>
    <w:rsid w:val="00E32EDE"/>
    <w:rsid w:val="00E9060F"/>
    <w:rsid w:val="00ED6363"/>
    <w:rsid w:val="00EF6600"/>
    <w:rsid w:val="00EF78BA"/>
    <w:rsid w:val="00F03AB2"/>
    <w:rsid w:val="00F1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8"/>
        <o:r id="V:Rule7" type="connector" idref="#_x0000_s1026"/>
        <o:r id="V:Rule8" type="connector" idref="#_x0000_s1030"/>
        <o:r id="V:Rule9" type="connector" idref="#_x0000_s1027"/>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48</Pages>
  <Words>9209</Words>
  <Characters>52492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2024-06-11T10:00:00Z</cp:lastPrinted>
  <dcterms:created xsi:type="dcterms:W3CDTF">2019-01-21T16:42:00Z</dcterms:created>
  <dcterms:modified xsi:type="dcterms:W3CDTF">2025-05-25T10:18:00Z</dcterms:modified>
</cp:coreProperties>
</file>