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CF" w:rsidRDefault="00C62A49" w:rsidP="00EB1BA8">
      <w:pPr>
        <w:spacing w:line="360" w:lineRule="auto"/>
        <w:jc w:val="center"/>
        <w:rPr>
          <w:rFonts w:asciiTheme="majorHAnsi" w:hAnsiTheme="majorHAnsi" w:cs="Times New Roman"/>
          <w:b/>
          <w:sz w:val="28"/>
          <w:szCs w:val="28"/>
        </w:rPr>
      </w:pPr>
      <w:r w:rsidRPr="00C62A49">
        <w:rPr>
          <w:rFonts w:asciiTheme="majorHAnsi" w:hAnsiTheme="majorHAnsi" w:cs="Times New Roman"/>
          <w:b/>
          <w:sz w:val="28"/>
          <w:szCs w:val="28"/>
        </w:rPr>
        <w:t xml:space="preserve">FLEXIBLE WORK SCHEDULES AND THEIR INFLUENCE ON STAFF PERFORMANCE IN THE HOSPITALITY INDUSTRY: </w:t>
      </w:r>
    </w:p>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 xml:space="preserve">EVIDENCE FROM </w:t>
      </w:r>
      <w:r w:rsidR="007F08CF">
        <w:rPr>
          <w:rFonts w:asciiTheme="majorHAnsi" w:hAnsiTheme="majorHAnsi" w:cs="Times New Roman"/>
          <w:b/>
          <w:sz w:val="28"/>
          <w:szCs w:val="28"/>
        </w:rPr>
        <w:t>G-PINNACLE SIGNATURE</w:t>
      </w:r>
      <w:r w:rsidRPr="00C62A49">
        <w:rPr>
          <w:rFonts w:asciiTheme="majorHAnsi" w:hAnsiTheme="majorHAnsi" w:cs="Times New Roman"/>
          <w:b/>
          <w:sz w:val="28"/>
          <w:szCs w:val="28"/>
        </w:rPr>
        <w:t>, ILORIN</w:t>
      </w:r>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EB1BA8" w:rsidRDefault="005F25B6" w:rsidP="00EB1BA8">
      <w:pPr>
        <w:spacing w:line="360" w:lineRule="auto"/>
        <w:jc w:val="center"/>
        <w:rPr>
          <w:rFonts w:ascii="Times New Roman" w:hAnsi="Times New Roman"/>
          <w:b/>
          <w:sz w:val="28"/>
          <w:szCs w:val="28"/>
        </w:rPr>
      </w:pPr>
      <w:r>
        <w:rPr>
          <w:rFonts w:ascii="Times New Roman" w:hAnsi="Times New Roman"/>
          <w:b/>
          <w:sz w:val="28"/>
          <w:szCs w:val="28"/>
        </w:rPr>
        <w:t>AKUJI BOLAJI MUIZ</w:t>
      </w:r>
    </w:p>
    <w:p w:rsidR="005F25B6" w:rsidRPr="005F25B6" w:rsidRDefault="005F25B6" w:rsidP="00EB1BA8">
      <w:pPr>
        <w:spacing w:line="360" w:lineRule="auto"/>
        <w:jc w:val="center"/>
        <w:rPr>
          <w:rFonts w:ascii="Times New Roman" w:hAnsi="Times New Roman"/>
          <w:b/>
          <w:sz w:val="28"/>
          <w:szCs w:val="28"/>
        </w:rPr>
      </w:pPr>
      <w:r>
        <w:rPr>
          <w:rFonts w:ascii="Times New Roman" w:hAnsi="Times New Roman"/>
          <w:b/>
          <w:sz w:val="28"/>
          <w:szCs w:val="28"/>
        </w:rPr>
        <w:t>HND/23/BAM/FT/0358</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BEING A RESEARCH PROJECT SUBMITTED TO DEPARTMENT OF BUSINESS ADMINISTRATION AND MANAGEMENT STUDIES, INSTITUTE OF FINANCE AND MANAGEMENT STUDIES, KWARA STATE POLYTECHNIC, ILORIN.</w:t>
      </w:r>
    </w:p>
    <w:p w:rsidR="00EB1BA8" w:rsidRPr="00B841DD" w:rsidRDefault="00EB1BA8" w:rsidP="00EB1BA8">
      <w:pPr>
        <w:spacing w:line="360" w:lineRule="auto"/>
        <w:jc w:val="center"/>
        <w:rPr>
          <w:rFonts w:ascii="Times New Roman" w:hAnsi="Times New Roman"/>
          <w:b/>
          <w:sz w:val="24"/>
          <w:szCs w:val="24"/>
        </w:rPr>
      </w:pP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IN PARTIAL FULFILLMENT OF THE REQUIREMENT FOR THE AWARD OF HIGHER NATIONAL DIPLOMA (HND)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This is to certify that this research project work has been read and approved as meeting the requirement for the award of Higher National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C62A49" w:rsidRPr="00356EFA">
        <w:rPr>
          <w:rFonts w:ascii="Times New Roman" w:hAnsi="Times New Roman"/>
          <w:b/>
          <w:sz w:val="25"/>
          <w:szCs w:val="25"/>
        </w:rPr>
        <w:t>BOLOGI UMAR</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5F25B6">
      <w:pPr>
        <w:spacing w:after="0" w:line="36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7F08CF" w:rsidP="005F25B6">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EB1BA8" w:rsidRPr="00356EFA">
        <w:rPr>
          <w:rFonts w:ascii="Times New Roman" w:hAnsi="Times New Roman" w:cs="Times New Roman"/>
          <w:bCs/>
          <w:sz w:val="26"/>
          <w:szCs w:val="26"/>
        </w:rPr>
        <w:t>i</w:t>
      </w:r>
      <w:r w:rsidR="00EB1BA8" w:rsidRPr="00356EFA">
        <w:rPr>
          <w:rFonts w:ascii="Times New Roman" w:hAnsi="Times New Roman" w:cs="Times New Roman"/>
          <w:bCs/>
          <w:sz w:val="26"/>
          <w:szCs w:val="26"/>
        </w:rPr>
        <w:tab/>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5F25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 xml:space="preserve">CHAPTER THREE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5F25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5F25B6">
      <w:pPr>
        <w:spacing w:line="36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5F25B6">
      <w:pPr>
        <w:spacing w:line="360" w:lineRule="auto"/>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w:t>
      </w:r>
      <w:r w:rsidR="007F08CF">
        <w:rPr>
          <w:rFonts w:ascii="Times New Roman" w:hAnsi="Times New Roman" w:cs="Times New Roman"/>
          <w:sz w:val="26"/>
          <w:szCs w:val="26"/>
        </w:rPr>
        <w:t>.1</w:t>
      </w:r>
      <w:r w:rsidR="007F08CF">
        <w:rPr>
          <w:rFonts w:ascii="Times New Roman" w:hAnsi="Times New Roman" w:cs="Times New Roman"/>
          <w:sz w:val="26"/>
          <w:szCs w:val="26"/>
        </w:rPr>
        <w:tab/>
        <w:t xml:space="preserve">SUMMARY OF THE FINDINGS </w:t>
      </w:r>
      <w:r w:rsidR="007F08CF">
        <w:rPr>
          <w:rFonts w:ascii="Times New Roman" w:hAnsi="Times New Roman" w:cs="Times New Roman"/>
          <w:sz w:val="26"/>
          <w:szCs w:val="26"/>
        </w:rPr>
        <w:tab/>
      </w:r>
      <w:r w:rsidR="007F08CF">
        <w:rPr>
          <w:rFonts w:ascii="Times New Roman" w:hAnsi="Times New Roman" w:cs="Times New Roman"/>
          <w:sz w:val="26"/>
          <w:szCs w:val="26"/>
        </w:rPr>
        <w:tab/>
      </w:r>
      <w:r w:rsidR="007F08CF">
        <w:rPr>
          <w:rFonts w:ascii="Times New Roman" w:hAnsi="Times New Roman" w:cs="Times New Roman"/>
          <w:sz w:val="26"/>
          <w:szCs w:val="26"/>
        </w:rPr>
        <w:tab/>
      </w:r>
      <w:r w:rsidR="007F08CF">
        <w:rPr>
          <w:rFonts w:ascii="Times New Roman" w:hAnsi="Times New Roman" w:cs="Times New Roman"/>
          <w:sz w:val="26"/>
          <w:szCs w:val="26"/>
        </w:rPr>
        <w:tab/>
      </w:r>
      <w:r w:rsidRPr="00356EFA">
        <w:rPr>
          <w:rFonts w:ascii="Times New Roman" w:hAnsi="Times New Roman" w:cs="Times New Roman"/>
          <w:sz w:val="26"/>
          <w:szCs w:val="26"/>
        </w:rPr>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w:t>
      </w:r>
      <w:r w:rsidRPr="00D200AC">
        <w:rPr>
          <w:rFonts w:ascii="Times New Roman" w:hAnsi="Times New Roman" w:cs="Times New Roman"/>
          <w:sz w:val="25"/>
          <w:szCs w:val="25"/>
        </w:rPr>
        <w:lastRenderedPageBreak/>
        <w:t>Nigeria, although flexible work is less institutionalized, especially in the hospitality 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Hospitality businesses like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xml:space="preserve">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investigates how flexible working arrangements influence staff performance in the hospitality sector, using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Previous studies have shown that without a balance between work and personal life, employees experience stress, burnout, and reduced productivity. In the hospitality </w:t>
      </w:r>
      <w:r w:rsidRPr="00D200AC">
        <w:rPr>
          <w:rFonts w:ascii="Times New Roman" w:hAnsi="Times New Roman" w:cs="Times New Roman"/>
          <w:sz w:val="25"/>
          <w:szCs w:val="25"/>
        </w:rPr>
        <w:lastRenderedPageBreak/>
        <w:t>sector—where customer satisfaction depends heavily on employee performance—such challenges can have adverse effects on business outcomes.</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aims to assess whether implementing flexible work arrangements—such as part-time work and job sharing—can significantly influence staff productivity and job satisfaction at </w:t>
      </w:r>
      <w:r w:rsidR="007F08CF">
        <w:rPr>
          <w:rFonts w:ascii="Times New Roman" w:hAnsi="Times New Roman" w:cs="Times New Roman"/>
          <w:sz w:val="25"/>
          <w:szCs w:val="25"/>
        </w:rPr>
        <w:t>G-Pinnacle Signature</w:t>
      </w:r>
      <w:r w:rsidR="00D200AC" w:rsidRPr="00D200AC">
        <w:rPr>
          <w:rFonts w:ascii="Times New Roman" w:hAnsi="Times New Roman" w:cs="Times New Roman"/>
          <w:sz w:val="25"/>
          <w:szCs w:val="25"/>
        </w:rPr>
        <w:t>, Ilorin.</w:t>
      </w:r>
    </w:p>
    <w:p w:rsidR="00C62A49" w:rsidRPr="00D200AC" w:rsidRDefault="00C62A49" w:rsidP="005F25B6">
      <w:pPr>
        <w:tabs>
          <w:tab w:val="center" w:pos="4320"/>
        </w:tabs>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r w:rsidR="005F25B6">
        <w:rPr>
          <w:rFonts w:ascii="Times New Roman" w:hAnsi="Times New Roman" w:cs="Times New Roman"/>
          <w:b/>
          <w:sz w:val="25"/>
          <w:szCs w:val="25"/>
        </w:rPr>
        <w:tab/>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F33FB5" w:rsidRPr="005F25B6"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focuses on evaluating the impact of flexible working arrangements—specifically part-time work and job sharing—on employee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 xml:space="preserve">l </w:t>
      </w:r>
      <w:r w:rsidR="005F25B6">
        <w:rPr>
          <w:rFonts w:ascii="Times New Roman" w:hAnsi="Times New Roman" w:cs="Times New Roman"/>
          <w:sz w:val="25"/>
          <w:szCs w:val="25"/>
        </w:rPr>
        <w:t>be used to support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t>
      </w:r>
      <w:r w:rsidRPr="00D200AC">
        <w:rPr>
          <w:rFonts w:ascii="Times New Roman" w:hAnsi="Times New Roman" w:cs="Times New Roman"/>
          <w:sz w:val="25"/>
          <w:szCs w:val="25"/>
        </w:rPr>
        <w:lastRenderedPageBreak/>
        <w:t xml:space="preserve">work 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 focuses on aligning wage structures with labor demand. Compensation may vary based on labor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xml:space="preserve">,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outlines the research methodology adopted for the study titled "Flexible Work Schedules and Their Influence on Staff Performance in the Hospitality Industry: Evidence from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target population of this study comprises all employees of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 xml:space="preserve">The study employed primary data as its main source. Data were collected directly from the employees of </w:t>
      </w:r>
      <w:r w:rsidR="007F08CF">
        <w:rPr>
          <w:rFonts w:ascii="Times New Roman" w:eastAsiaTheme="minorHAnsi" w:hAnsi="Times New Roman" w:cs="Times New Roman"/>
          <w:bCs/>
          <w:color w:val="000000"/>
          <w:sz w:val="25"/>
          <w:szCs w:val="25"/>
          <w:lang w:val="en-US" w:eastAsia="en-US"/>
        </w:rPr>
        <w:t>G-Pinnacle Signature</w:t>
      </w:r>
      <w:r w:rsidRPr="00356EFA">
        <w:rPr>
          <w:rFonts w:ascii="Times New Roman" w:eastAsiaTheme="minorHAnsi" w:hAnsi="Times New Roman" w:cs="Times New Roman"/>
          <w:bCs/>
          <w:color w:val="000000"/>
          <w:sz w:val="25"/>
          <w:szCs w:val="25"/>
          <w:lang w:val="en-US" w:eastAsia="en-US"/>
        </w:rPr>
        <w:t xml:space="preserve">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G-Pinnacle Signature is a luxury hotel located at 15b Pipeline Road, Ilorin, Kwara State, Nigeria. It officially opened its doors in September 2024 and has since become a prominent feature in the hospitality industry of Ilorin. Founded by Adenike Odewunmi, who also serves as the CEO, the hotel was established with a vision to blend elegance and modern amenities to cater to both business and leisure travelers. From its inception, the aim was to deliver an opulent and world-class experience characterized by top-tier se</w:t>
      </w:r>
      <w:r>
        <w:rPr>
          <w:rFonts w:ascii="Times New Roman" w:hAnsi="Times New Roman" w:cs="Times New Roman"/>
          <w:sz w:val="25"/>
          <w:szCs w:val="25"/>
        </w:rPr>
        <w:t>rvice and sophisticated design.</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The hotel comprises 44 tastefully furnished rooms, including Superior Standard Rooms, Classic Rooms, Studio Retreats, Classic Double Rooms, Exclusive Terrace Rooms, Exclusive Rooms, Business Suites, and Presidential Suites. Each room is equipped with modern comforts such as air conditioning, flat-screen TVs, free Wi-Fi, and</w:t>
      </w:r>
      <w:r>
        <w:rPr>
          <w:rFonts w:ascii="Times New Roman" w:hAnsi="Times New Roman" w:cs="Times New Roman"/>
          <w:sz w:val="25"/>
          <w:szCs w:val="25"/>
        </w:rPr>
        <w:t xml:space="preserve"> private bathrooms with bidets.</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G-Pinnacle Signature offers a wide array of facilities designed to provide guests with luxury and relaxation. These include a state-of-the-art fitness center, a luxurious spa, an outdoor swimming pool, Jacuzzi and sauna, a stylish lounge and bar, and event halls suitable for meetings, conferences, and social gatherings. The hotel’s restaurant serves a mix of African, Brazilian, and Caribbean cuisines, with options for vegetaria</w:t>
      </w:r>
      <w:r>
        <w:rPr>
          <w:rFonts w:ascii="Times New Roman" w:hAnsi="Times New Roman" w:cs="Times New Roman"/>
          <w:sz w:val="25"/>
          <w:szCs w:val="25"/>
        </w:rPr>
        <w:t>n, dairy-free, and halal diets.</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 xml:space="preserve">Additional services include 24-hour front desk support, room service, concierge services, and currency exchange. The hotel has received widespread praise for its exceptional customer service, cleanliness, and overall ambiance. Guests have </w:t>
      </w:r>
      <w:r w:rsidRPr="007F08CF">
        <w:rPr>
          <w:rFonts w:ascii="Times New Roman" w:hAnsi="Times New Roman" w:cs="Times New Roman"/>
          <w:sz w:val="25"/>
          <w:szCs w:val="25"/>
        </w:rPr>
        <w:lastRenderedPageBreak/>
        <w:t>consistently highlighted the attentiveness of the staff and the high s</w:t>
      </w:r>
      <w:r>
        <w:rPr>
          <w:rFonts w:ascii="Times New Roman" w:hAnsi="Times New Roman" w:cs="Times New Roman"/>
          <w:sz w:val="25"/>
          <w:szCs w:val="25"/>
        </w:rPr>
        <w:t>tandard of facilities provided.</w:t>
      </w:r>
    </w:p>
    <w:p w:rsidR="00EB1BA8" w:rsidRPr="00356EFA"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Since its establishment, G-Pinnacle Signature has played a significant role in raising the hospitality standard in Ilorin. It has also contributed to the local economy by creating jobs and attracting both domestic and international visitors. The hotel remains committed to delivering a premium experience to all its guests. For bookings and more details, visit www.gpinnaclesignature.com.</w:t>
      </w: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 xml:space="preserve">at </w:t>
      </w:r>
      <w:r w:rsidR="007F08CF">
        <w:rPr>
          <w:rFonts w:ascii="Times New Roman" w:hAnsi="Times New Roman" w:cs="Times New Roman"/>
          <w:sz w:val="25"/>
          <w:szCs w:val="25"/>
        </w:rPr>
        <w:t>G-Pinnacle Signature</w:t>
      </w:r>
      <w:r w:rsidR="00356EFA" w:rsidRPr="00356EFA">
        <w:rPr>
          <w:rFonts w:ascii="Times New Roman" w:hAnsi="Times New Roman" w:cs="Times New Roman"/>
          <w:sz w:val="25"/>
          <w:szCs w:val="25"/>
        </w:rPr>
        <w:t>.</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5F25B6">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sz w:val="25"/>
          <w:szCs w:val="25"/>
        </w:rPr>
        <w:t xml:space="preserve">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study explores the impact of flexible work schedules on employee performance, with a case study of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objective of this study is to determine how the flexible work policies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 xml:space="preserve">at </w:t>
      </w:r>
      <w:r w:rsidR="007F08CF">
        <w:rPr>
          <w:rFonts w:ascii="Times New Roman" w:hAnsi="Times New Roman" w:cs="Times New Roman"/>
          <w:sz w:val="25"/>
          <w:szCs w:val="25"/>
        </w:rPr>
        <w:t>G-Pinnacle Signature</w:t>
      </w:r>
      <w:r w:rsidR="00356EFA">
        <w:rPr>
          <w:rFonts w:ascii="Times New Roman" w:hAnsi="Times New Roman" w:cs="Times New Roman"/>
          <w:sz w:val="25"/>
          <w:szCs w:val="25"/>
        </w:rPr>
        <w:t>.</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xml:space="preserve"> have a substantial positive effect on employee performance, </w:t>
      </w:r>
      <w:r w:rsidRPr="00356EFA">
        <w:rPr>
          <w:rFonts w:ascii="Times New Roman" w:hAnsi="Times New Roman" w:cs="Times New Roman"/>
          <w:sz w:val="25"/>
          <w:szCs w:val="25"/>
        </w:rPr>
        <w:lastRenderedPageBreak/>
        <w:t>fostering a productive and satisfied workforce. These findings align with 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t>
      </w:r>
      <w:r w:rsidRPr="00356EFA">
        <w:rPr>
          <w:rFonts w:ascii="Times New Roman" w:hAnsi="Times New Roman" w:cs="Times New Roman"/>
          <w:sz w:val="25"/>
          <w:szCs w:val="25"/>
        </w:rPr>
        <w:lastRenderedPageBreak/>
        <w:t>working 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A13EC6">
      <w:pPr>
        <w:tabs>
          <w:tab w:val="left" w:pos="6280"/>
        </w:tabs>
        <w:rPr>
          <w:rFonts w:ascii="Times New Roman" w:hAnsi="Times New Roman" w:cs="Times New Roman"/>
          <w:b/>
          <w:sz w:val="25"/>
          <w:szCs w:val="25"/>
        </w:rPr>
      </w:pPr>
      <w:r w:rsidRPr="00356EFA">
        <w:rPr>
          <w:rFonts w:ascii="Times New Roman" w:hAnsi="Times New Roman" w:cs="Times New Roman"/>
          <w:b/>
          <w:sz w:val="25"/>
          <w:szCs w:val="25"/>
        </w:rPr>
        <w:t>5.3 Recommendations</w:t>
      </w:r>
      <w:r w:rsidR="00A13EC6">
        <w:rPr>
          <w:rFonts w:ascii="Times New Roman" w:hAnsi="Times New Roman" w:cs="Times New Roman"/>
          <w:b/>
          <w:sz w:val="25"/>
          <w:szCs w:val="25"/>
        </w:rPr>
        <w:tab/>
      </w:r>
    </w:p>
    <w:p w:rsidR="00D200AC" w:rsidRPr="00356EFA" w:rsidRDefault="00D200AC" w:rsidP="00A13EC6">
      <w:pPr>
        <w:spacing w:after="0" w:line="360" w:lineRule="auto"/>
        <w:ind w:firstLine="720"/>
        <w:jc w:val="both"/>
        <w:rPr>
          <w:rFonts w:ascii="Times New Roman" w:hAnsi="Times New Roman" w:cs="Times New Roman"/>
          <w:sz w:val="25"/>
          <w:szCs w:val="25"/>
        </w:rPr>
      </w:pPr>
      <w:bookmarkStart w:id="0" w:name="_GoBack"/>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bookmarkEnd w:id="0"/>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56A" w:rsidRDefault="00B9556A">
      <w:pPr>
        <w:spacing w:after="0" w:line="240" w:lineRule="auto"/>
      </w:pPr>
      <w:r>
        <w:separator/>
      </w:r>
    </w:p>
  </w:endnote>
  <w:endnote w:type="continuationSeparator" w:id="0">
    <w:p w:rsidR="00B9556A" w:rsidRDefault="00B9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5F25B6" w:rsidRDefault="005F25B6">
        <w:pPr>
          <w:pStyle w:val="Footer"/>
          <w:jc w:val="center"/>
        </w:pPr>
        <w:r>
          <w:fldChar w:fldCharType="begin"/>
        </w:r>
        <w:r>
          <w:instrText xml:space="preserve"> PAGE   \* MERGEFORMAT </w:instrText>
        </w:r>
        <w:r>
          <w:fldChar w:fldCharType="separate"/>
        </w:r>
        <w:r w:rsidR="00A13EC6">
          <w:rPr>
            <w:noProof/>
          </w:rPr>
          <w:t>3</w:t>
        </w:r>
        <w:r>
          <w:rPr>
            <w:noProof/>
          </w:rPr>
          <w:fldChar w:fldCharType="end"/>
        </w:r>
      </w:p>
    </w:sdtContent>
  </w:sdt>
  <w:p w:rsidR="005F25B6" w:rsidRDefault="005F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56A" w:rsidRDefault="00B9556A">
      <w:pPr>
        <w:spacing w:after="0" w:line="240" w:lineRule="auto"/>
      </w:pPr>
      <w:r>
        <w:separator/>
      </w:r>
    </w:p>
  </w:footnote>
  <w:footnote w:type="continuationSeparator" w:id="0">
    <w:p w:rsidR="00B9556A" w:rsidRDefault="00B95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29575D"/>
    <w:rsid w:val="00356EFA"/>
    <w:rsid w:val="00567CBF"/>
    <w:rsid w:val="005F25B6"/>
    <w:rsid w:val="006605B6"/>
    <w:rsid w:val="007F08CF"/>
    <w:rsid w:val="00993E2C"/>
    <w:rsid w:val="00A13331"/>
    <w:rsid w:val="00A13EC6"/>
    <w:rsid w:val="00B9556A"/>
    <w:rsid w:val="00C019CE"/>
    <w:rsid w:val="00C132DA"/>
    <w:rsid w:val="00C62732"/>
    <w:rsid w:val="00C62A49"/>
    <w:rsid w:val="00C91947"/>
    <w:rsid w:val="00CA6012"/>
    <w:rsid w:val="00CC10AF"/>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8559</Words>
  <Characters>48792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dcterms:created xsi:type="dcterms:W3CDTF">2025-05-22T11:58:00Z</dcterms:created>
  <dcterms:modified xsi:type="dcterms:W3CDTF">2025-05-22T11:58:00Z</dcterms:modified>
</cp:coreProperties>
</file>