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lineRule="auto" w:line="360"/>
        <w:jc w:val="center"/>
        <w:rPr/>
      </w:pPr>
      <w:bookmarkStart w:id="0" w:name="_GoBack"/>
      <w:bookmarkEnd w:id="0"/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</w:t>
      </w:r>
    </w:p>
    <w:p>
      <w:pPr>
        <w:spacing w:lineRule="auto" w:line="336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1.1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society.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touching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everydaylife.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began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attempt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stabilizeand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rationalize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reforms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taken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Ibraheem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Babangida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grouting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great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glaring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detect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reforms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ethic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lungs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sackseverancefrom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implication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desirable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degree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autonym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believe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proposal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intended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stimulategovernment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stimulate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encourage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initiative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leadership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populace.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until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rightly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desires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1.2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course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cutiesto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obviously,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outside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inevitable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ignore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facing.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attract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competent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jurisdiction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resources,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hirespecialist,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naturally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efficiency.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militating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operation.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classified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constraints;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constraints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progress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coveted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citizen,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negligible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incidence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defaulters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rampant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failure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deliver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taste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1.3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militating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growth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forward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eradicate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stop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future.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stopped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smooth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1.4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duty,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Furthermore,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reasonable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hosen,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Kwarasate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feature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students.</w:t>
      </w:r>
    </w:p>
    <w:p>
      <w:pPr>
        <w:spacing w:lineRule="auto" w:line="336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1.5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HYPOTHESIS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(5)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hypotheses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gestated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guide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follows:</w:t>
      </w:r>
    </w:p>
    <w:p>
      <w:pPr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salary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candlings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style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supervision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promotion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36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1.6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covered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month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funds.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ethical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religion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affinity.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recently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equal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encumbered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times.</w:t>
      </w:r>
    </w:p>
    <w:p>
      <w:pPr>
        <w:spacing w:lineRule="auto" w:line="348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1.7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arranged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paragraph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covers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literature,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subjects.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covered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brief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ground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Finally,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bibliography.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1.8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TERMS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Government: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jurisdiction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village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provision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amenities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John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Clarke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maintains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appears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inhabitant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place.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specifiedlocally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speaking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language,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(village,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town,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city).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Autonym: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sufficient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it’s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adequately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levels.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situation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difficulties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understand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things.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happen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forward.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something.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Ibraheem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(2007):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John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Clarke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(1984):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Kingdom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Omotosho,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O.F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(2009);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Contemporary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Lagos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Balabay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publication.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Oladosu,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(2001);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Orewa,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.G.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Adewumi,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AnIntroduction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Ibadan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center"/>
        <w:rPr/>
      </w:pP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2.0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REVIEW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2.1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discuss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meaningoflocal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description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globe.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scholars.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ordinary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institution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promote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divides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Obviously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backed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inevitable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democracy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triumph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dividends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democracy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grass-root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(200:60)“which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vested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affairs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aims”A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democratic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society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coordination,development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programmed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years,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restructuring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Famakinwa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(2001)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democratic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setting)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benefit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(taxes,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rates,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donations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e.t.c)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citizens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jurisdiction.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Gokhales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(1964)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loyalty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them.Similarly,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Venkatarangaija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faltaburan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(1972:28)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village,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fairly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least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regarded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services”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Marshau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(1982)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characteristic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are: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restricted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geographical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spacing w:lineRule="auto" w:line="360"/>
        <w:ind w:firstLine="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selection.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taxation.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equally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locality.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don’t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theircountrymen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joint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interpret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themselves.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()1996,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breaking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ofadministration,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inhabitant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played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points,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underrates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Nevertheless,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1960-1966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witness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changes.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(1970)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Marital/Obasanjo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military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promulgating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decree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unification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length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breadth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addition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uniformity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grass-roots.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suffer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penetration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estranged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citizen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interference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orientation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citizen.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segmented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embarking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military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essentially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motivated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stabilized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nationalize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grass-root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entail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decentralize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audity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again,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2.2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FRAMEWORK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spite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saddled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attachment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illustration.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foremost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convenience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commission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board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decision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01.0.14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delay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smooth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andmatters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attended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promptly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alone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blessing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principle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justice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unfair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equitable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amenities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amenities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concerned.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formulated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unlike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disorganized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degree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mentioned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accessibility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members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council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officials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accessibility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request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fundamental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privileged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exact,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freedom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(3)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legislative,executive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judiciary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headquarters.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easily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smoothly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matters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pertaining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welfare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appointmentcommittee.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prompt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promotion,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salaries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condition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Alhaji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Aluko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“it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big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relief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unlike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government”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fulfill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tamper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plan”.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36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enable.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sub-unit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controlled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council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ordinance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application,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labour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sub-division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sustained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affairs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owner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exhort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labour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prescribed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entity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otherwise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selected.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1976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document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council,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established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characteristic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standout.</w:t>
      </w:r>
    </w:p>
    <w:p>
      <w:pPr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subordinates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legal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legislative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administrative,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judicial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policies,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prepare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budget,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council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legal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i.e.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census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territory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plangue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numerous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inspired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efficacy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Omopariola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(1988)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argued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tackle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satisfactory,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proportion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otherwise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curtailed.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pointed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survival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depend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solely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independence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external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Nevertheless,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reasonability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independent/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befalling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scholars.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Adamolekun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(1989)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consistently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strength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capabilities.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instance,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1989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1990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evaluation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corresponding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executive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adequately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effectively.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juxtaposed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fluctuation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uncertainly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characterized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illuminate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conjunction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division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Furthermore,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forthcoming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10%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deficiencies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constitution.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10%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Omopariola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listed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resulted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as:</w:t>
      </w:r>
    </w:p>
    <w:p>
      <w:pPr>
        <w:spacing w:lineRule="auto" w:line="348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qualified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experienced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personnel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attracted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member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</w:p>
    <w:p>
      <w:pPr>
        <w:spacing w:lineRule="auto" w:line="348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Haphazard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manner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resulting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planning.</w:t>
      </w:r>
    </w:p>
    <w:p>
      <w:pPr>
        <w:spacing w:lineRule="auto" w:line="348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indifference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enforcement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Dedication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out-straight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convenience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collectors.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technical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manpower.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Inadequate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capacity.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complete,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autonomy/freedom/independence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(i.e.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executive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State/Central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Government).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2.3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CURRENTLY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TRENDS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THINKING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trends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concentration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attacked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concentration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pertaining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position?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Promotion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discipline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etc.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perceived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danger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committee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committee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committee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affair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members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Nigeriaunion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{NULGE}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justice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frustrate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belong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party.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reason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(NULGE)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continued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scrapping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board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until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today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welfare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excess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smoother.</w:t>
      </w:r>
    </w:p>
    <w:p>
      <w:pPr>
        <w:spacing w:lineRule="auto" w:line="360"/>
        <w:jc w:val="both"/>
        <w:rPr/>
      </w:pP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Hence,they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coordinating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supervising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bodies,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KwaraState.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2.4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review,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comprises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description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solutions.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consulted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(literature)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textbooks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description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reference.</w:t>
      </w: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Adam,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Adamolekun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Hermomann.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Gambo,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(2004):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Hinden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(1945):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Colonies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(2007):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John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Clarke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(1984):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University,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Kingdom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London.</w:t>
      </w: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ind w:left="720" w:hanging="72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3.1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primarily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solved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KwaraState.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combination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obtain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opinions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dada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observation,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brief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closed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type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consist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alternatives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tick,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underline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delete.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type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assumed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his/her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subject.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Open-Ended/Unstructured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Type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Consist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require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easy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test.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DOCUMENTARY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earning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mentioned.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hoped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document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available.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Opportunity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reason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priestly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owned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establishment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keep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published.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INTERVIEW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involvesclarity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verbal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interaction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skill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techniques.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verbal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subject.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guidelinefrom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conducting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include.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OBSERVATION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watching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events,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situation,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phenomenon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andobtaining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instance.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observation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description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appears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naturally.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situation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observation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appreciate.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3.2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officials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non-official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personnel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(i.e.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metropolis)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chosen.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size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(12)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size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population.</w:t>
      </w:r>
    </w:p>
    <w:p>
      <w:pPr>
        <w:spacing w:lineRule="auto" w:line="360"/>
        <w:jc w:val="both"/>
        <w:rPr/>
      </w:pP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3.3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DATA/DATA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INSTRUMENT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supported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Jimoh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(1985)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founding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opinions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disruptive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influential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appropriate.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encourages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attempted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elicit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(3)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sections.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qualification,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length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continue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3.4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study: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interview,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outside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Meanwhile,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administered,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(12)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(8)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copies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refund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copies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failure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wrong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filing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copies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complication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(8)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copies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ventured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drawn.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extracted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text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book,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magazine,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journals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document.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obtained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carefully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constructed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manner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3.5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constraint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course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though,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following: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expensive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(i.e.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discuss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accurate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needed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consumed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returned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administering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5.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constraint:This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okay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curative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6.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Constraint:The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detailed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engaged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7.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availability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data:The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availability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big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classifies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“secret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files”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document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library.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8.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Illiteracy:Majority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illiterate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communicate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Finally,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upon.</w:t>
      </w: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Adewumi,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(1996):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Account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Ibadan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(2007):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John,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(1984):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Kingdom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Mills,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(1999):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Reading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Lagos.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Oladosu,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(2001):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Sadama,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Nakal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India.</w:t>
      </w: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FOUR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4.1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Twelvequestionnaireswere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(8)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turned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(75%).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derived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collected.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together.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abbreviations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following: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=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%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=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=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Approximate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=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ways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</w:p>
    <w:p>
      <w:pPr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4.2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BRIEF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1967,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Sub-divided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Muritala/Obasanjo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Regime,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addition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governmentsmaking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1991,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Babangida,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amounting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bought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Obane,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Okeki,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Kogi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Borgu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merged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arrangement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establishment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bought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Furthermore,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completely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settlement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widely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believed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17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superscript"/>
          <w:em w:val="none"/>
          <w:lang w:val="en-US" w:eastAsia="en-US"/>
        </w:rPr>
        <w:t>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inherent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hunter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Gombe,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hunter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Ojo,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cagness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sheik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Omo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Ikokoro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wrote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easy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1911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Ojo’s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arrival,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Virgin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inherited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believed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contraction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derived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Ilu-Erin.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elephant.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killing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1982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elephant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outskirt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place,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henceforth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called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Oko-Erin.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stadium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complex.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Meanwhile,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farmer,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shares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boundary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headquarters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oja-oba.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105km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superscript"/>
          <w:em w:val="none"/>
          <w:lang w:val="en-US" w:eastAsia="en-US"/>
        </w:rPr>
        <w:t>2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366466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2006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census.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240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mina,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goup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Yoruba,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Fulani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Hausa,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tonication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view.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Nevertheless,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rootadministration,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districts.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occupation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wearing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trading.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religion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AfricaTraditionalculture.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life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judged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type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engaged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life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electricitygood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supply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roads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etc.</w:t>
      </w:r>
    </w:p>
    <w:p>
      <w:pPr>
        <w:spacing w:lineRule="auto" w:line="348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4.3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i.e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48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created?</w:t>
      </w:r>
    </w:p>
    <w:p>
      <w:pPr>
        <w:spacing w:lineRule="auto" w:line="348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Answer: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199.</w:t>
      </w:r>
    </w:p>
    <w:p>
      <w:pPr>
        <w:spacing w:lineRule="auto" w:line="348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4.3.1: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tbl>
      <w:tblPr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0"/>
        <w:gridCol w:w="3690"/>
      </w:tblGrid>
      <w:tr>
        <w:trPr>
          <w:cantSplit w:val="false"/>
          <w:trHeight w:val="386" w:hRule="atLeast"/>
          <w:tblHeader w:val="false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Sex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No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respondent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respondent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0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Male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96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61.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Female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8"/>
                <w:w w:val="9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96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38.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Total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12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89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100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</w:tbl>
    <w:p>
      <w:pPr>
        <w:spacing w:lineRule="auto" w:line="348"/>
        <w:jc w:val="center"/>
        <w:rPr/>
      </w:pP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2017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8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61.5%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5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38.5%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13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highest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represents.</w:t>
      </w:r>
    </w:p>
    <w:p>
      <w:pPr>
        <w:spacing w:lineRule="auto" w:line="348"/>
        <w:jc w:val="left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great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increment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ceremonies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convectors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monthly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tbl>
      <w:tblPr>
        <w:jc w:val="center"/>
        <w:tblInd w:w="-16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250"/>
        <w:gridCol w:w="1250"/>
        <w:gridCol w:w="1250"/>
        <w:gridCol w:w="1250"/>
        <w:gridCol w:w="1250"/>
        <w:gridCol w:w="1091"/>
      </w:tblGrid>
      <w:tr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DISTRICT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ARE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5"/>
                <w:w w:val="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3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JA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3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JA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MARC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5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H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4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APRI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L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0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Y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JUN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E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AJIKOB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150,00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200,00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230,00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84,00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56,00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tabs>
                <w:tab w:val="left" w:leader="none" w:pos="1120"/>
              </w:tabs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ALANAMU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27,00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125,00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86,00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tabs>
                <w:tab w:val="left" w:leader="none" w:pos="1120"/>
              </w:tabs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69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MAGAJI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69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69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NIGER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w w:val="69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86,00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49,00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tabs>
                <w:tab w:val="left" w:leader="none" w:pos="1120"/>
              </w:tabs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WARA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OS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79,00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11,00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tabs>
                <w:tab w:val="left" w:leader="none" w:pos="1120"/>
              </w:tabs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EGBEJIL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6,00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4,00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</w:tr>
    </w:tbl>
    <w:p>
      <w:pPr>
        <w:spacing w:lineRule="auto" w:line="360"/>
        <w:jc w:val="both"/>
        <w:rPr/>
      </w:pP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2008,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tremendous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month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2008,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external;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classified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attached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capital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etc.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occasions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salaries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approvals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tbl>
      <w:tblPr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2880"/>
        <w:gridCol w:w="3258"/>
      </w:tblGrid>
      <w:tr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1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MONT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H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FEDERAL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GRANT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RECEIVED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201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0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FEDERAL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GRANT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RECEIVED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201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7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6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0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Januar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1.5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2.6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3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February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2.9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1.8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7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Marc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h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3.8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2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April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4.6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4.9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88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5.8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5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Jun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6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6.2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8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Jul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7.2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7.3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1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August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7.5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9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September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8.5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3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3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3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1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Octobe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8.6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19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November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9.05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9.8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1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December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5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5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5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0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Total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51.8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42.8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</w:tbl>
    <w:p>
      <w:pPr>
        <w:spacing w:lineRule="auto" w:line="240"/>
        <w:ind w:firstLine="720"/>
        <w:jc w:val="both"/>
        <w:rPr/>
      </w:pP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2015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2016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received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million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received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account.</w:t>
      </w:r>
    </w:p>
    <w:p>
      <w:pPr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testing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hypothesis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hypothesis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evasion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district.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evade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themselves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suppose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hand,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sincerity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collector’s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4.4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researcher’s,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tookat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running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affairs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units.</w:t>
      </w: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Ademolekun,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,London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Itemomann.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Adedo,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Guide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Writing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superscript"/>
          <w:em w:val="none"/>
          <w:lang w:val="en-US" w:eastAsia="en-US"/>
        </w:rPr>
        <w:t>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Edition;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(2009)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Mills,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(1991):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Omopariola,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(1983):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Vol,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Ile-IfeUniversity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Ile-Ife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Ltd.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Sadma,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India</w:t>
      </w: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FIVE</w:t>
      </w:r>
    </w:p>
    <w:p>
      <w:pPr>
        <w:spacing w:lineRule="auto" w:line="360"/>
        <w:ind w:left="720" w:hanging="72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SUMMARY,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CONCLUSION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5.1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FINDING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examined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item,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roles,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state).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concentration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recognized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obstacle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addressed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paper.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encounteredused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Finally,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highlighted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greatest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autonym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remain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consistence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autonym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government).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ispossibility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inhabitant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participant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mobilization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affairs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5.2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RECOMMENDATIONS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council,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rapid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growth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outside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qualified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efficiency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effectiveness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indigenes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character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indigenes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character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participate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decision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making.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spirit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commitment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dedication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sustain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overemphasized.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qualified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skilled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effort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recognized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development.</w:t>
      </w:r>
    </w:p>
    <w:p>
      <w:pPr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5.3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CONCLUSION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advice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encourages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pursue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aggressive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participatory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democracy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endeavor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generously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denied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right.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indication,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areboldly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denied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1991,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growth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infrastructural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Ifelodun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mention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few.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indigene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indigene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opportunity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shares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programmes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(Nigeria).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Although,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obvious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assisted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actualizing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recognizing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helped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realized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closest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programme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expected.</w:t>
      </w:r>
    </w:p>
    <w:p>
      <w:pPr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Lastly,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realizing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additional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degree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dependence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greater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height.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Ademolekun,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Ifemomann.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Fatigun,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(2008):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Approach)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Adewumi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Sabo-Oke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Sadama,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India.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(2007):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Mills,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(1991):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Oganiya,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S.Y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Guide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Writing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Business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Junsam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Ltd.</w:t>
      </w:r>
    </w:p>
    <w:p>
      <w:pPr>
        <w:spacing w:lineRule="auto" w:line="360"/>
        <w:ind w:left="720" w:hanging="720"/>
        <w:jc w:val="both"/>
        <w:rPr/>
      </w:pPr>
    </w:p>
    <w:p>
      <w:pPr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BIBLIOGRAPHY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Adegile,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(1974):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Africa;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Lagos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Bello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Immam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(1990):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Ibadan,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vintage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Fatigun,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(2008):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Approach)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Adewumi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Sabo-Oke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40" w:lineRule="auto" w:line="240"/>
        <w:ind w:left="720" w:hanging="720"/>
        <w:jc w:val="left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Hinden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Rita,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(1945):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Colonies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(2007):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John,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(1984):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Kingdom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Mills,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(1991),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Mohammed,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(2008):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publishers.</w:t>
      </w:r>
    </w:p>
    <w:p>
      <w:pPr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Sadama,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India.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Bookman Old Style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Times New Roman" w:cs="Times New Roman" w:eastAsia="宋体" w:hAnsi="Times New Roman"/>
      <w:sz w:val="21"/>
    </w:rPr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7140</Words>
  <Characters>38574</Characters>
  <Application>WPS Office</Application>
  <Paragraphs>402</Paragraphs>
  <CharactersWithSpaces>45414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2024-05-09T22:57:35Z</dcterms:created>
  <dc:creator>SM-G965U1</dc:creator>
  <lastModifiedBy>SM-G965U1</lastModifiedBy>
  <dcterms:modified xsi:type="dcterms:W3CDTF">2024-05-09T22:57:35Z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dbf70e4459534b22ade214fc540f4d39</vt:lpwstr>
  </property>
</Properties>
</file>