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 w:hanging="4"/>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44"/>
          <w:szCs w:val="44"/>
          <w:rtl w:val="0"/>
        </w:rPr>
        <w:t xml:space="preserve">IMPACT</w:t>
      </w:r>
      <w:r w:rsidDel="00000000" w:rsidR="00000000" w:rsidRPr="00000000">
        <w:rPr>
          <w:rFonts w:ascii="Arial Black" w:cs="Arial Black" w:eastAsia="Arial Black" w:hAnsi="Arial Black"/>
          <w:b w:val="1"/>
          <w:sz w:val="44"/>
          <w:szCs w:val="44"/>
          <w:rtl w:val="0"/>
        </w:rPr>
        <w:t xml:space="preserve"> 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 </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left="5" w:hanging="5"/>
        <w:jc w:val="center"/>
        <w:rPr>
          <w:rFonts w:ascii="Arial Black" w:cs="Arial Black" w:eastAsia="Arial Black" w:hAnsi="Arial Black"/>
          <w:color w:val="000000"/>
          <w:sz w:val="46"/>
          <w:szCs w:val="46"/>
        </w:rPr>
      </w:pPr>
      <w:r w:rsidDel="00000000" w:rsidR="00000000" w:rsidRPr="00000000">
        <w:rPr>
          <w:rFonts w:ascii="Arial Black" w:cs="Arial Black" w:eastAsia="Arial Black" w:hAnsi="Arial Black"/>
          <w:sz w:val="46"/>
          <w:szCs w:val="46"/>
          <w:rtl w:val="0"/>
        </w:rPr>
        <w:t xml:space="preserve">SALAU ZAINAB AJOKE</w:t>
      </w:r>
      <w:r w:rsidDel="00000000" w:rsidR="00000000" w:rsidRPr="00000000">
        <w:rPr>
          <w:rtl w:val="0"/>
        </w:rPr>
      </w:r>
    </w:p>
    <w:p w:rsidR="00000000" w:rsidDel="00000000" w:rsidP="00000000" w:rsidRDefault="00000000" w:rsidRPr="00000000" w14:paraId="00000007">
      <w:pPr>
        <w:spacing w:line="240" w:lineRule="auto"/>
        <w:ind w:left="2" w:hanging="2"/>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ND/23/BAM/PT/0680</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NATIONAL DIPLOMA (ND)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National Diploma (ND)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OLAGUNJU S. A.</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 </w:t>
      </w:r>
      <w:r w:rsidDel="00000000" w:rsidR="00000000" w:rsidRPr="00000000">
        <w:rPr>
          <w:rFonts w:ascii="Times New Roman" w:cs="Times New Roman" w:eastAsia="Times New Roman" w:hAnsi="Times New Roman"/>
          <w:b w:val="1"/>
          <w:sz w:val="28"/>
          <w:szCs w:val="28"/>
          <w:rtl w:val="0"/>
        </w:rPr>
        <w:t xml:space="preserve">KUDABO I. M. </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MR. ALAKOSO I. K. </w:t>
      </w:r>
      <w:r w:rsidDel="00000000" w:rsidR="00000000" w:rsidRPr="00000000">
        <w:rPr>
          <w:rFonts w:ascii="Times New Roman" w:cs="Times New Roman" w:eastAsia="Times New Roman" w:hAnsi="Times New Roman"/>
          <w:b w:val="1"/>
          <w:color w:val="000000"/>
          <w:sz w:val="28"/>
          <w:szCs w:val="28"/>
          <w:rtl w:val="0"/>
        </w:rPr>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sz w:val="30"/>
          <w:szCs w:val="30"/>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Fonts w:ascii="Times New Roman" w:cs="Times New Roman" w:eastAsia="Times New Roman" w:hAnsi="Times New Roman"/>
          <w:sz w:val="30"/>
          <w:szCs w:val="30"/>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5">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Am very grateful to my wonderful supervisor  </w:t>
      </w:r>
      <w:r w:rsidDel="00000000" w:rsidR="00000000" w:rsidRPr="00000000">
        <w:rPr>
          <w:rFonts w:ascii="Times New Roman" w:cs="Times New Roman" w:eastAsia="Times New Roman" w:hAnsi="Times New Roman"/>
          <w:b w:val="1"/>
          <w:sz w:val="27"/>
          <w:szCs w:val="27"/>
          <w:rtl w:val="0"/>
        </w:rPr>
        <w:t xml:space="preserve">MR. OLAGUNJU. S, </w:t>
      </w:r>
      <w:r w:rsidDel="00000000" w:rsidR="00000000" w:rsidRPr="00000000">
        <w:rPr>
          <w:rFonts w:ascii="Times New Roman" w:cs="Times New Roman" w:eastAsia="Times New Roman" w:hAnsi="Times New Roman"/>
          <w:sz w:val="27"/>
          <w:szCs w:val="27"/>
          <w:rtl w:val="0"/>
        </w:rPr>
        <w:t xml:space="preserve">who</w:t>
      </w:r>
      <w:r w:rsidDel="00000000" w:rsidR="00000000" w:rsidRPr="00000000">
        <w:rPr>
          <w:rFonts w:ascii="Times New Roman" w:cs="Times New Roman" w:eastAsia="Times New Roman" w:hAnsi="Times New Roman"/>
          <w:sz w:val="30"/>
          <w:szCs w:val="30"/>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6">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There is a saying “Give honors to whom it’s due”. It would be an ungrateful act if I fail to show my sincere gratitude to my lovely parents MR AND MRS SALAU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7">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Expressing my gratitude to my (HOD) </w:t>
      </w:r>
      <w:r w:rsidDel="00000000" w:rsidR="00000000" w:rsidRPr="00000000">
        <w:rPr>
          <w:rFonts w:ascii="Times New Roman" w:cs="Times New Roman" w:eastAsia="Times New Roman" w:hAnsi="Times New Roman"/>
          <w:b w:val="1"/>
          <w:sz w:val="30"/>
          <w:szCs w:val="30"/>
          <w:rtl w:val="0"/>
        </w:rPr>
        <w:t xml:space="preserve">MR. ALAKOSO </w:t>
      </w:r>
      <w:r w:rsidDel="00000000" w:rsidR="00000000" w:rsidRPr="00000000">
        <w:rPr>
          <w:rFonts w:ascii="Times New Roman" w:cs="Times New Roman" w:eastAsia="Times New Roman" w:hAnsi="Times New Roman"/>
          <w:b w:val="1"/>
          <w:sz w:val="27"/>
          <w:szCs w:val="27"/>
          <w:rtl w:val="0"/>
        </w:rPr>
        <w:t xml:space="preserve">I. K. </w:t>
      </w:r>
      <w:r w:rsidDel="00000000" w:rsidR="00000000" w:rsidRPr="00000000">
        <w:rPr>
          <w:rFonts w:ascii="Times New Roman" w:cs="Times New Roman" w:eastAsia="Times New Roman" w:hAnsi="Times New Roman"/>
          <w:sz w:val="30"/>
          <w:szCs w:val="30"/>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F">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0">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1">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2">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3">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5">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6">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7">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8">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E">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8">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9">
      <w:pPr>
        <w:ind w:left="2" w:hanging="2"/>
        <w:rPr/>
      </w:pPr>
      <w:r w:rsidDel="00000000" w:rsidR="00000000" w:rsidRPr="00000000">
        <w:rPr>
          <w:rtl w:val="0"/>
        </w:rPr>
      </w:r>
    </w:p>
    <w:p w:rsidR="00000000" w:rsidDel="00000000" w:rsidP="00000000" w:rsidRDefault="00000000" w:rsidRPr="00000000" w14:paraId="0000005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6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6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9">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E">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7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73">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A">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B">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8">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E">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F">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90">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9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9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4">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5">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6">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A">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A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A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5">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A">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C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8">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9">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A">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F">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E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6">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7">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8">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9">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F">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F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F3">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4">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5">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0">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01">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0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0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F">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12">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13">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6">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B">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20">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23">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4">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8">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3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43">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C2">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D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40">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52">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7">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8">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9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3">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7">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numPr>
                <w:ilvl w:val="0"/>
                <w:numId w:val="3"/>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E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E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3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C">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D">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2">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4">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7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4">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F">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80">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81">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83">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5">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6">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7">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8">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9">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9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8">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E">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F">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A0">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A1">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A2">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A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4">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5">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6">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7">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8">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9">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A">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B">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C">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D">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E">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F">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10">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