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FE" w:rsidRPr="00190DFE" w:rsidRDefault="00190DFE" w:rsidP="00EF56BA">
      <w:pPr>
        <w:spacing w:line="480" w:lineRule="auto"/>
        <w:jc w:val="center"/>
        <w:rPr>
          <w:rFonts w:ascii="Times New Roman" w:hAnsi="Times New Roman" w:cs="Times New Roman"/>
          <w:b/>
          <w:bCs/>
          <w:sz w:val="28"/>
          <w:szCs w:val="28"/>
        </w:rPr>
      </w:pPr>
      <w:r w:rsidRPr="00190DFE">
        <w:rPr>
          <w:rFonts w:ascii="Times New Roman" w:hAnsi="Times New Roman" w:cs="Times New Roman"/>
          <w:b/>
          <w:bCs/>
          <w:sz w:val="28"/>
          <w:szCs w:val="28"/>
        </w:rPr>
        <w:t xml:space="preserve">THE ROLE OF GREEN HUMAN RESOURCE PRACTICES IN SHAPING ORGANIZATIONAL PERFORMANCE IN THE 21ST CENTURY </w:t>
      </w:r>
    </w:p>
    <w:p w:rsidR="00376F11" w:rsidRPr="00190DFE" w:rsidRDefault="00190DFE" w:rsidP="00190DFE">
      <w:pPr>
        <w:spacing w:line="480" w:lineRule="auto"/>
        <w:jc w:val="center"/>
        <w:rPr>
          <w:rFonts w:ascii="Times New Roman" w:hAnsi="Times New Roman" w:cs="Times New Roman"/>
          <w:b/>
          <w:bCs/>
          <w:sz w:val="28"/>
          <w:szCs w:val="28"/>
        </w:rPr>
      </w:pPr>
      <w:r w:rsidRPr="00190DFE">
        <w:rPr>
          <w:rFonts w:ascii="Times New Roman" w:hAnsi="Times New Roman" w:cs="Times New Roman"/>
          <w:b/>
          <w:bCs/>
          <w:sz w:val="28"/>
          <w:szCs w:val="28"/>
        </w:rPr>
        <w:t>(A CASE STUDY OF GUARANTY TRUST BANK, ILORIN, KWARA STATE)</w:t>
      </w:r>
    </w:p>
    <w:p w:rsidR="00376F11" w:rsidRPr="00190DFE" w:rsidRDefault="00376F11" w:rsidP="00376F11">
      <w:pPr>
        <w:spacing w:line="480" w:lineRule="auto"/>
        <w:jc w:val="center"/>
        <w:rPr>
          <w:rFonts w:ascii="Times New Roman" w:hAnsi="Times New Roman" w:cs="Times New Roman"/>
          <w:b/>
          <w:i/>
          <w:sz w:val="28"/>
          <w:szCs w:val="28"/>
        </w:rPr>
      </w:pPr>
      <w:r w:rsidRPr="00190DFE">
        <w:rPr>
          <w:rFonts w:ascii="Times New Roman" w:hAnsi="Times New Roman" w:cs="Times New Roman"/>
          <w:b/>
          <w:i/>
          <w:sz w:val="28"/>
          <w:szCs w:val="28"/>
        </w:rPr>
        <w:t>BY</w:t>
      </w:r>
    </w:p>
    <w:p w:rsidR="00376F11" w:rsidRPr="00190DFE" w:rsidRDefault="00190DFE" w:rsidP="00190DFE">
      <w:pPr>
        <w:spacing w:line="480" w:lineRule="auto"/>
        <w:jc w:val="center"/>
        <w:rPr>
          <w:rFonts w:ascii="Times New Roman" w:hAnsi="Times New Roman" w:cs="Times New Roman"/>
          <w:b/>
          <w:sz w:val="28"/>
          <w:szCs w:val="28"/>
        </w:rPr>
      </w:pPr>
      <w:r w:rsidRPr="00190DFE">
        <w:rPr>
          <w:rFonts w:ascii="Times New Roman" w:hAnsi="Times New Roman" w:cs="Times New Roman"/>
          <w:b/>
          <w:sz w:val="28"/>
          <w:szCs w:val="28"/>
        </w:rPr>
        <w:t>YUSUF SODIQ OLAMILEKAN</w:t>
      </w:r>
    </w:p>
    <w:p w:rsidR="00190DFE" w:rsidRPr="00190DFE" w:rsidRDefault="00190DFE" w:rsidP="00190DFE">
      <w:pPr>
        <w:spacing w:line="480" w:lineRule="auto"/>
        <w:jc w:val="center"/>
        <w:rPr>
          <w:rFonts w:ascii="Times New Roman" w:hAnsi="Times New Roman" w:cs="Times New Roman"/>
          <w:b/>
          <w:sz w:val="28"/>
          <w:szCs w:val="28"/>
        </w:rPr>
      </w:pPr>
      <w:r w:rsidRPr="00190DFE">
        <w:rPr>
          <w:rFonts w:ascii="Times New Roman" w:hAnsi="Times New Roman" w:cs="Times New Roman"/>
          <w:b/>
          <w:sz w:val="28"/>
          <w:szCs w:val="28"/>
        </w:rPr>
        <w:t>HND/23/BAM/FT/1317</w:t>
      </w:r>
    </w:p>
    <w:p w:rsidR="00376F11" w:rsidRPr="00376F11" w:rsidRDefault="00376F11" w:rsidP="00376F11">
      <w:pPr>
        <w:spacing w:line="240" w:lineRule="auto"/>
        <w:jc w:val="center"/>
        <w:rPr>
          <w:rFonts w:ascii="Times New Roman" w:hAnsi="Times New Roman" w:cs="Times New Roman"/>
          <w:b/>
          <w:sz w:val="26"/>
          <w:szCs w:val="26"/>
        </w:rPr>
      </w:pPr>
      <w:r w:rsidRPr="00376F11">
        <w:rPr>
          <w:rFonts w:ascii="Times New Roman" w:hAnsi="Times New Roman" w:cs="Times New Roman"/>
          <w:b/>
          <w:sz w:val="26"/>
          <w:szCs w:val="26"/>
        </w:rPr>
        <w:t>BEING A PROJECT SUBMITTED TO THE DEPARTMENT OF BUSINESS ADMINISTRATION AND MANAGEMENT, INSTITUTE OF FINANCE AND MANAGEMENT STUDIES.</w:t>
      </w:r>
    </w:p>
    <w:p w:rsidR="00376F11" w:rsidRPr="00376F11" w:rsidRDefault="00376F11" w:rsidP="00376F11">
      <w:pPr>
        <w:spacing w:line="240" w:lineRule="auto"/>
        <w:rPr>
          <w:rFonts w:ascii="Times New Roman" w:hAnsi="Times New Roman" w:cs="Times New Roman"/>
          <w:b/>
          <w:sz w:val="26"/>
          <w:szCs w:val="26"/>
        </w:rPr>
      </w:pPr>
    </w:p>
    <w:p w:rsidR="00376F11" w:rsidRPr="00376F11" w:rsidRDefault="00376F11" w:rsidP="00376F11">
      <w:pPr>
        <w:spacing w:line="240" w:lineRule="auto"/>
        <w:jc w:val="center"/>
        <w:rPr>
          <w:rFonts w:ascii="Times New Roman" w:hAnsi="Times New Roman" w:cs="Times New Roman"/>
          <w:b/>
          <w:sz w:val="26"/>
          <w:szCs w:val="26"/>
        </w:rPr>
      </w:pPr>
      <w:r w:rsidRPr="00376F11">
        <w:rPr>
          <w:rFonts w:ascii="Times New Roman" w:hAnsi="Times New Roman" w:cs="Times New Roman"/>
          <w:b/>
          <w:sz w:val="26"/>
          <w:szCs w:val="26"/>
        </w:rPr>
        <w:t>IN PARTIAL FULFILLMENT OF THE REQUIREMENT FOR THE AWARD OF HIGHER NATIONAL DIPLOMA(HND) IN BUSINESS ADMINISTRATION AND MANAGEMENT, KWARA STATE POLYTECHNIC, ILORIN.</w:t>
      </w:r>
    </w:p>
    <w:p w:rsidR="00376F11" w:rsidRPr="00376F11" w:rsidRDefault="00376F11" w:rsidP="00376F11">
      <w:pPr>
        <w:spacing w:line="360" w:lineRule="auto"/>
        <w:rPr>
          <w:rFonts w:ascii="Times New Roman" w:hAnsi="Times New Roman" w:cs="Times New Roman"/>
          <w:b/>
          <w:sz w:val="26"/>
          <w:szCs w:val="26"/>
        </w:rPr>
      </w:pPr>
    </w:p>
    <w:p w:rsidR="00376F11" w:rsidRPr="00376F11" w:rsidRDefault="00EA7828" w:rsidP="00376F1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MAY</w:t>
      </w:r>
      <w:r w:rsidR="00376F11" w:rsidRPr="00376F11">
        <w:rPr>
          <w:rFonts w:ascii="Times New Roman" w:hAnsi="Times New Roman" w:cs="Times New Roman"/>
          <w:b/>
          <w:sz w:val="26"/>
          <w:szCs w:val="26"/>
        </w:rPr>
        <w:t xml:space="preserve">, </w:t>
      </w:r>
      <w:r>
        <w:rPr>
          <w:rFonts w:ascii="Times New Roman" w:hAnsi="Times New Roman" w:cs="Times New Roman"/>
          <w:b/>
          <w:sz w:val="26"/>
          <w:szCs w:val="26"/>
        </w:rPr>
        <w:t>2025</w:t>
      </w:r>
    </w:p>
    <w:p w:rsidR="00376F11" w:rsidRPr="00376F11" w:rsidRDefault="00376F11" w:rsidP="00376F11">
      <w:pPr>
        <w:spacing w:line="360" w:lineRule="auto"/>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FB523A" w:rsidRDefault="00FB523A" w:rsidP="000C57BE">
      <w:pPr>
        <w:tabs>
          <w:tab w:val="left" w:pos="8023"/>
        </w:tabs>
        <w:spacing w:line="360" w:lineRule="auto"/>
        <w:rPr>
          <w:rFonts w:ascii="Times New Roman" w:hAnsi="Times New Roman" w:cs="Times New Roman"/>
          <w:b/>
          <w:sz w:val="26"/>
          <w:szCs w:val="26"/>
        </w:rPr>
      </w:pPr>
    </w:p>
    <w:p w:rsidR="00FB523A" w:rsidRDefault="00FB523A"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t>CERTIFICATION</w:t>
      </w:r>
    </w:p>
    <w:p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 xml:space="preserve">This research work has been read and approved as meeting the requirement for the award of Higher National Diploma (HND) in Business Administration and Management, Institute of Finance and Management Studies </w:t>
      </w:r>
      <w:proofErr w:type="spellStart"/>
      <w:r w:rsidRPr="00376F11">
        <w:rPr>
          <w:rFonts w:ascii="Times New Roman" w:hAnsi="Times New Roman" w:cs="Times New Roman"/>
          <w:sz w:val="26"/>
          <w:szCs w:val="26"/>
        </w:rPr>
        <w:t>Kwara</w:t>
      </w:r>
      <w:proofErr w:type="spellEnd"/>
      <w:r w:rsidRPr="00376F11">
        <w:rPr>
          <w:rFonts w:ascii="Times New Roman" w:hAnsi="Times New Roman" w:cs="Times New Roman"/>
          <w:sz w:val="26"/>
          <w:szCs w:val="26"/>
        </w:rPr>
        <w:t xml:space="preserve"> State Polytechnic, Ilorin. </w:t>
      </w:r>
    </w:p>
    <w:p w:rsidR="00376F11" w:rsidRPr="00376F11" w:rsidRDefault="00376F11" w:rsidP="00376F11">
      <w:pPr>
        <w:spacing w:after="0"/>
        <w:jc w:val="both"/>
        <w:rPr>
          <w:rFonts w:ascii="Times New Roman" w:hAnsi="Times New Roman" w:cs="Times New Roman"/>
          <w:sz w:val="26"/>
          <w:szCs w:val="26"/>
        </w:rPr>
      </w:pPr>
      <w:r w:rsidRPr="00376F11">
        <w:rPr>
          <w:rFonts w:ascii="Times New Roman" w:hAnsi="Times New Roman" w:cs="Times New Roman"/>
          <w:sz w:val="26"/>
          <w:szCs w:val="26"/>
        </w:rPr>
        <w:t>______________________</w:t>
      </w:r>
      <w:r w:rsidRPr="00376F11">
        <w:rPr>
          <w:rFonts w:ascii="Times New Roman" w:hAnsi="Times New Roman" w:cs="Times New Roman"/>
          <w:sz w:val="26"/>
          <w:szCs w:val="26"/>
        </w:rPr>
        <w:tab/>
      </w:r>
      <w:r w:rsidRPr="00376F11">
        <w:rPr>
          <w:rFonts w:ascii="Times New Roman" w:hAnsi="Times New Roman" w:cs="Times New Roman"/>
          <w:sz w:val="26"/>
          <w:szCs w:val="26"/>
        </w:rPr>
        <w:tab/>
      </w:r>
      <w:r w:rsidRPr="00376F11">
        <w:rPr>
          <w:rFonts w:ascii="Times New Roman" w:hAnsi="Times New Roman" w:cs="Times New Roman"/>
          <w:sz w:val="26"/>
          <w:szCs w:val="26"/>
        </w:rPr>
        <w:tab/>
      </w:r>
      <w:r w:rsidRPr="00376F11">
        <w:rPr>
          <w:rFonts w:ascii="Times New Roman" w:hAnsi="Times New Roman" w:cs="Times New Roman"/>
          <w:sz w:val="26"/>
          <w:szCs w:val="26"/>
        </w:rPr>
        <w:tab/>
      </w:r>
      <w:r w:rsidRPr="00376F11">
        <w:rPr>
          <w:rFonts w:ascii="Times New Roman" w:hAnsi="Times New Roman" w:cs="Times New Roman"/>
          <w:sz w:val="26"/>
          <w:szCs w:val="26"/>
        </w:rPr>
        <w:tab/>
      </w:r>
      <w:r w:rsidR="00FB523A">
        <w:rPr>
          <w:rFonts w:ascii="Times New Roman" w:hAnsi="Times New Roman" w:cs="Times New Roman"/>
          <w:sz w:val="26"/>
          <w:szCs w:val="26"/>
        </w:rPr>
        <w:t xml:space="preserve">           </w:t>
      </w:r>
      <w:r w:rsidRPr="00376F11">
        <w:rPr>
          <w:rFonts w:ascii="Times New Roman" w:hAnsi="Times New Roman" w:cs="Times New Roman"/>
          <w:sz w:val="26"/>
          <w:szCs w:val="26"/>
        </w:rPr>
        <w:t xml:space="preserve">_____________ </w:t>
      </w:r>
    </w:p>
    <w:p w:rsidR="00376F11" w:rsidRPr="00376F11" w:rsidRDefault="00A33CE2" w:rsidP="00376F11">
      <w:pPr>
        <w:spacing w:after="0"/>
        <w:jc w:val="both"/>
        <w:rPr>
          <w:rFonts w:ascii="Times New Roman" w:hAnsi="Times New Roman" w:cs="Times New Roman"/>
          <w:b/>
          <w:sz w:val="26"/>
          <w:szCs w:val="26"/>
        </w:rPr>
      </w:pPr>
      <w:r>
        <w:rPr>
          <w:rFonts w:ascii="Times New Roman" w:hAnsi="Times New Roman" w:cs="Times New Roman"/>
          <w:b/>
          <w:sz w:val="26"/>
          <w:szCs w:val="26"/>
        </w:rPr>
        <w:t>MR. JIMOH S.M</w:t>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t xml:space="preserve">       </w:t>
      </w:r>
      <w:r w:rsidR="00FB523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376F11" w:rsidRPr="00376F11">
        <w:rPr>
          <w:rFonts w:ascii="Times New Roman" w:hAnsi="Times New Roman" w:cs="Times New Roman"/>
          <w:b/>
          <w:sz w:val="26"/>
          <w:szCs w:val="26"/>
        </w:rPr>
        <w:t xml:space="preserve"> DATE</w:t>
      </w: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(Project supervisor)</w:t>
      </w:r>
    </w:p>
    <w:p w:rsidR="00376F11" w:rsidRPr="00376F11" w:rsidRDefault="00376F11" w:rsidP="00376F11">
      <w:pPr>
        <w:spacing w:after="0"/>
        <w:jc w:val="both"/>
        <w:rPr>
          <w:rFonts w:ascii="Times New Roman" w:hAnsi="Times New Roman" w:cs="Times New Roman"/>
          <w:b/>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________________________</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______________ </w:t>
      </w: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 xml:space="preserve">MR. </w:t>
      </w:r>
      <w:r w:rsidR="00A33CE2">
        <w:rPr>
          <w:rFonts w:ascii="Times New Roman" w:hAnsi="Times New Roman" w:cs="Times New Roman"/>
          <w:b/>
          <w:sz w:val="26"/>
          <w:szCs w:val="26"/>
        </w:rPr>
        <w:t>UMAR BOLOGI</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       </w:t>
      </w:r>
      <w:r w:rsidR="00BF29C4">
        <w:rPr>
          <w:rFonts w:ascii="Times New Roman" w:hAnsi="Times New Roman" w:cs="Times New Roman"/>
          <w:b/>
          <w:sz w:val="26"/>
          <w:szCs w:val="26"/>
        </w:rPr>
        <w:t xml:space="preserve">           </w:t>
      </w:r>
      <w:r w:rsidRPr="00376F11">
        <w:rPr>
          <w:rFonts w:ascii="Times New Roman" w:hAnsi="Times New Roman" w:cs="Times New Roman"/>
          <w:b/>
          <w:sz w:val="26"/>
          <w:szCs w:val="26"/>
        </w:rPr>
        <w:t xml:space="preserve"> DATE</w:t>
      </w:r>
    </w:p>
    <w:p w:rsidR="00376F11" w:rsidRPr="00376F11" w:rsidRDefault="00A33CE2" w:rsidP="00376F11">
      <w:pPr>
        <w:spacing w:after="0"/>
        <w:jc w:val="both"/>
        <w:rPr>
          <w:rFonts w:ascii="Times New Roman" w:hAnsi="Times New Roman" w:cs="Times New Roman"/>
          <w:b/>
          <w:sz w:val="26"/>
          <w:szCs w:val="26"/>
        </w:rPr>
      </w:pPr>
      <w:r>
        <w:rPr>
          <w:rFonts w:ascii="Times New Roman" w:hAnsi="Times New Roman" w:cs="Times New Roman"/>
          <w:b/>
          <w:sz w:val="26"/>
          <w:szCs w:val="26"/>
        </w:rPr>
        <w:t>(Project C</w:t>
      </w:r>
      <w:r w:rsidRPr="00376F11">
        <w:rPr>
          <w:rFonts w:ascii="Times New Roman" w:hAnsi="Times New Roman" w:cs="Times New Roman"/>
          <w:b/>
          <w:sz w:val="26"/>
          <w:szCs w:val="26"/>
        </w:rPr>
        <w:t>oordinator</w:t>
      </w:r>
      <w:r w:rsidR="00376F11" w:rsidRPr="00376F11">
        <w:rPr>
          <w:rFonts w:ascii="Times New Roman" w:hAnsi="Times New Roman" w:cs="Times New Roman"/>
          <w:b/>
          <w:sz w:val="26"/>
          <w:szCs w:val="26"/>
        </w:rPr>
        <w:t>)</w:t>
      </w:r>
    </w:p>
    <w:p w:rsidR="00376F11" w:rsidRPr="00376F11" w:rsidRDefault="00376F11" w:rsidP="00376F11">
      <w:pPr>
        <w:spacing w:after="0"/>
        <w:ind w:left="720"/>
        <w:jc w:val="both"/>
        <w:rPr>
          <w:rFonts w:ascii="Times New Roman" w:hAnsi="Times New Roman" w:cs="Times New Roman"/>
          <w:b/>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________________________</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____________ </w:t>
      </w:r>
    </w:p>
    <w:p w:rsidR="00376F11" w:rsidRPr="00376F11" w:rsidRDefault="00A33CE2" w:rsidP="00376F11">
      <w:pPr>
        <w:spacing w:after="0"/>
        <w:rPr>
          <w:rFonts w:ascii="Times New Roman" w:hAnsi="Times New Roman" w:cs="Times New Roman"/>
          <w:b/>
          <w:sz w:val="26"/>
          <w:szCs w:val="26"/>
        </w:rPr>
      </w:pPr>
      <w:r>
        <w:rPr>
          <w:rFonts w:ascii="Times New Roman" w:hAnsi="Times New Roman" w:cs="Times New Roman"/>
          <w:b/>
          <w:sz w:val="26"/>
          <w:szCs w:val="26"/>
        </w:rPr>
        <w:t>MR. ALAKOSO I.K</w:t>
      </w:r>
      <w:r w:rsidR="00376F11" w:rsidRPr="00376F11">
        <w:rPr>
          <w:rFonts w:ascii="Times New Roman" w:hAnsi="Times New Roman" w:cs="Times New Roman"/>
          <w:b/>
          <w:sz w:val="26"/>
          <w:szCs w:val="26"/>
        </w:rPr>
        <w:t xml:space="preserve">  </w:t>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00376F11" w:rsidRPr="00376F11">
        <w:rPr>
          <w:rFonts w:ascii="Times New Roman" w:hAnsi="Times New Roman" w:cs="Times New Roman"/>
          <w:b/>
          <w:sz w:val="26"/>
          <w:szCs w:val="26"/>
        </w:rPr>
        <w:t>DATE</w:t>
      </w:r>
      <w:r w:rsidR="00376F11" w:rsidRPr="00376F11">
        <w:rPr>
          <w:rFonts w:ascii="Times New Roman" w:hAnsi="Times New Roman" w:cs="Times New Roman"/>
          <w:b/>
          <w:sz w:val="26"/>
          <w:szCs w:val="26"/>
        </w:rPr>
        <w:tab/>
        <w:t xml:space="preserve">                                     </w:t>
      </w:r>
      <w:r w:rsidR="00376F11" w:rsidRPr="00376F11">
        <w:rPr>
          <w:rFonts w:ascii="Times New Roman" w:hAnsi="Times New Roman" w:cs="Times New Roman"/>
          <w:b/>
          <w:sz w:val="26"/>
          <w:szCs w:val="26"/>
        </w:rPr>
        <w:tab/>
      </w:r>
    </w:p>
    <w:p w:rsidR="00376F11" w:rsidRPr="00376F11" w:rsidRDefault="00A33CE2"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(Head</w:t>
      </w:r>
      <w:r>
        <w:rPr>
          <w:rFonts w:ascii="Times New Roman" w:hAnsi="Times New Roman" w:cs="Times New Roman"/>
          <w:b/>
          <w:sz w:val="26"/>
          <w:szCs w:val="26"/>
        </w:rPr>
        <w:t xml:space="preserve"> of D</w:t>
      </w:r>
      <w:r w:rsidRPr="00376F11">
        <w:rPr>
          <w:rFonts w:ascii="Times New Roman" w:hAnsi="Times New Roman" w:cs="Times New Roman"/>
          <w:b/>
          <w:sz w:val="26"/>
          <w:szCs w:val="26"/>
        </w:rPr>
        <w:t>epartment</w:t>
      </w:r>
      <w:r w:rsidR="00376F11" w:rsidRPr="00376F11">
        <w:rPr>
          <w:rFonts w:ascii="Times New Roman" w:hAnsi="Times New Roman" w:cs="Times New Roman"/>
          <w:b/>
          <w:sz w:val="26"/>
          <w:szCs w:val="26"/>
        </w:rPr>
        <w:t>)</w:t>
      </w:r>
    </w:p>
    <w:p w:rsidR="00376F11" w:rsidRPr="00376F11" w:rsidRDefault="00376F11" w:rsidP="00376F11">
      <w:pPr>
        <w:spacing w:after="0"/>
        <w:rPr>
          <w:rFonts w:ascii="Times New Roman" w:hAnsi="Times New Roman" w:cs="Times New Roman"/>
          <w:b/>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_______________________</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____________ </w:t>
      </w: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EXTERNAL EXAMINER</w:t>
      </w:r>
      <w:r w:rsidRPr="00376F11">
        <w:rPr>
          <w:rFonts w:ascii="Times New Roman" w:hAnsi="Times New Roman" w:cs="Times New Roman"/>
          <w:b/>
          <w:sz w:val="26"/>
          <w:szCs w:val="26"/>
        </w:rPr>
        <w:tab/>
        <w:t xml:space="preserve">  </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DATE</w:t>
      </w:r>
      <w:r w:rsidRPr="00376F11">
        <w:rPr>
          <w:rFonts w:ascii="Times New Roman" w:hAnsi="Times New Roman" w:cs="Times New Roman"/>
          <w:b/>
          <w:sz w:val="26"/>
          <w:szCs w:val="26"/>
        </w:rPr>
        <w:tab/>
      </w: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BF29C4" w:rsidRDefault="00BF29C4" w:rsidP="00376F11">
      <w:pPr>
        <w:spacing w:line="360" w:lineRule="auto"/>
        <w:jc w:val="center"/>
        <w:rPr>
          <w:rFonts w:ascii="Times New Roman" w:hAnsi="Times New Roman" w:cs="Times New Roman"/>
          <w:b/>
          <w:sz w:val="26"/>
          <w:szCs w:val="26"/>
        </w:rPr>
      </w:pPr>
    </w:p>
    <w:p w:rsidR="00BF29C4" w:rsidRDefault="00BF29C4"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t>DEDICATION</w:t>
      </w:r>
    </w:p>
    <w:p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This project is dedicated to Almighty God, the creator of Heaven and Earth and to my parent, may God Almighty continue to be with them throughout their entire lives and bless them abundantly. (Amen)</w:t>
      </w: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512C04">
      <w:pPr>
        <w:spacing w:line="360" w:lineRule="auto"/>
        <w:rPr>
          <w:rFonts w:ascii="Times New Roman" w:hAnsi="Times New Roman" w:cs="Times New Roman"/>
          <w:b/>
          <w:sz w:val="26"/>
          <w:szCs w:val="26"/>
        </w:rPr>
      </w:pPr>
    </w:p>
    <w:p w:rsidR="00BF29C4" w:rsidRDefault="00BF29C4"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t>ACKNOWLEDGEMENTS</w:t>
      </w:r>
    </w:p>
    <w:p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 xml:space="preserve">All Glory and Adoration belongs to God Almighty for the success of my HND </w:t>
      </w:r>
      <w:proofErr w:type="spellStart"/>
      <w:r w:rsidRPr="00376F11">
        <w:rPr>
          <w:rFonts w:ascii="Times New Roman" w:hAnsi="Times New Roman" w:cs="Times New Roman"/>
          <w:sz w:val="26"/>
          <w:szCs w:val="26"/>
        </w:rPr>
        <w:t>programme</w:t>
      </w:r>
      <w:proofErr w:type="spellEnd"/>
      <w:r w:rsidRPr="00376F11">
        <w:rPr>
          <w:rFonts w:ascii="Times New Roman" w:hAnsi="Times New Roman" w:cs="Times New Roman"/>
          <w:sz w:val="26"/>
          <w:szCs w:val="26"/>
        </w:rPr>
        <w:t xml:space="preserve"> through thick and thin. He made this course a reality for me, I also want to acknowledge the support of my parent, because without God and them, I’m nobody. They have been so supportive financially, physically and spiritually throughout the course of the study.</w:t>
      </w:r>
    </w:p>
    <w:p w:rsidR="00376F11" w:rsidRPr="00376F11" w:rsidRDefault="00376F11" w:rsidP="00376F11">
      <w:pPr>
        <w:spacing w:after="0" w:line="360" w:lineRule="auto"/>
        <w:jc w:val="both"/>
        <w:rPr>
          <w:rFonts w:ascii="Times New Roman" w:hAnsi="Times New Roman" w:cs="Times New Roman"/>
          <w:sz w:val="26"/>
          <w:szCs w:val="26"/>
        </w:rPr>
      </w:pPr>
      <w:r w:rsidRPr="00376F11">
        <w:rPr>
          <w:rFonts w:ascii="Times New Roman" w:hAnsi="Times New Roman" w:cs="Times New Roman"/>
          <w:sz w:val="26"/>
          <w:szCs w:val="26"/>
        </w:rPr>
        <w:tab/>
        <w:t>My sincere Appreciation goes to my Supervisor, for taking time to read and correct the manuscript and to my Head of Department of Business Administration an</w:t>
      </w:r>
      <w:r w:rsidR="00A33CE2">
        <w:rPr>
          <w:rFonts w:ascii="Times New Roman" w:hAnsi="Times New Roman" w:cs="Times New Roman"/>
          <w:sz w:val="26"/>
          <w:szCs w:val="26"/>
        </w:rPr>
        <w:t>d Management, MR. ALAKOSO,</w:t>
      </w:r>
      <w:r w:rsidRPr="00376F11">
        <w:rPr>
          <w:rFonts w:ascii="Times New Roman" w:hAnsi="Times New Roman" w:cs="Times New Roman"/>
          <w:sz w:val="26"/>
          <w:szCs w:val="26"/>
        </w:rPr>
        <w:t xml:space="preserve"> and other lecturers in the department. </w:t>
      </w:r>
    </w:p>
    <w:p w:rsidR="00376F11" w:rsidRPr="00376F11" w:rsidRDefault="00376F11" w:rsidP="00376F11">
      <w:pPr>
        <w:spacing w:after="0" w:line="360" w:lineRule="auto"/>
        <w:rPr>
          <w:rFonts w:ascii="Times New Roman" w:hAnsi="Times New Roman" w:cs="Times New Roman"/>
          <w:sz w:val="26"/>
          <w:szCs w:val="26"/>
        </w:rPr>
      </w:pPr>
      <w:r w:rsidRPr="00376F11">
        <w:rPr>
          <w:rFonts w:ascii="Times New Roman" w:hAnsi="Times New Roman" w:cs="Times New Roman"/>
          <w:sz w:val="26"/>
          <w:szCs w:val="26"/>
        </w:rPr>
        <w:t>Finally, to my friends, I say a big THANKS to you all, for the support throughout the years.</w:t>
      </w:r>
    </w:p>
    <w:p w:rsidR="00376F11" w:rsidRPr="00376F11" w:rsidRDefault="00376F11" w:rsidP="00376F11">
      <w:pPr>
        <w:spacing w:after="0" w:line="240" w:lineRule="auto"/>
        <w:jc w:val="center"/>
        <w:rPr>
          <w:rFonts w:ascii="Times New Roman" w:hAnsi="Times New Roman" w:cs="Times New Roman"/>
          <w:sz w:val="26"/>
          <w:szCs w:val="26"/>
        </w:rPr>
      </w:pPr>
    </w:p>
    <w:p w:rsidR="00376F11" w:rsidRPr="00376F11" w:rsidRDefault="00376F11" w:rsidP="00376F11">
      <w:pPr>
        <w:spacing w:after="0" w:line="360" w:lineRule="auto"/>
        <w:jc w:val="both"/>
        <w:rPr>
          <w:rFonts w:ascii="Times New Roman" w:hAnsi="Times New Roman" w:cs="Times New Roman"/>
          <w:sz w:val="26"/>
          <w:szCs w:val="26"/>
        </w:rPr>
      </w:pPr>
      <w:r w:rsidRPr="00376F11">
        <w:rPr>
          <w:rFonts w:ascii="Times New Roman" w:hAnsi="Times New Roman" w:cs="Times New Roman"/>
          <w:sz w:val="26"/>
          <w:szCs w:val="26"/>
        </w:rPr>
        <w:tab/>
      </w: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line="480" w:lineRule="auto"/>
        <w:rPr>
          <w:rFonts w:ascii="Times New Roman" w:hAnsi="Times New Roman" w:cs="Times New Roman"/>
          <w:b/>
          <w:bCs/>
          <w:sz w:val="26"/>
          <w:szCs w:val="26"/>
        </w:rPr>
      </w:pPr>
    </w:p>
    <w:p w:rsidR="00512C04" w:rsidRDefault="00512C04">
      <w:pPr>
        <w:rPr>
          <w:rFonts w:ascii="Times New Roman" w:hAnsi="Times New Roman" w:cs="Times New Roman"/>
          <w:b/>
          <w:bCs/>
          <w:sz w:val="26"/>
          <w:szCs w:val="26"/>
        </w:rPr>
      </w:pPr>
      <w:r>
        <w:rPr>
          <w:rFonts w:ascii="Times New Roman" w:hAnsi="Times New Roman" w:cs="Times New Roman"/>
          <w:b/>
          <w:bCs/>
          <w:sz w:val="26"/>
          <w:szCs w:val="26"/>
        </w:rPr>
        <w:br w:type="page"/>
      </w:r>
    </w:p>
    <w:p w:rsidR="00BF29C4" w:rsidRDefault="00BF29C4" w:rsidP="00A33CE2">
      <w:pPr>
        <w:spacing w:line="480" w:lineRule="auto"/>
        <w:rPr>
          <w:rFonts w:ascii="Times New Roman" w:hAnsi="Times New Roman" w:cs="Times New Roman"/>
          <w:b/>
          <w:bCs/>
          <w:sz w:val="26"/>
          <w:szCs w:val="26"/>
        </w:rPr>
      </w:pPr>
    </w:p>
    <w:p w:rsidR="00EF56BA" w:rsidRPr="00376F11" w:rsidRDefault="00EF56BA" w:rsidP="00EF56BA">
      <w:pPr>
        <w:spacing w:line="480" w:lineRule="auto"/>
        <w:jc w:val="center"/>
        <w:rPr>
          <w:rFonts w:ascii="Times New Roman" w:hAnsi="Times New Roman" w:cs="Times New Roman"/>
          <w:b/>
          <w:bCs/>
          <w:sz w:val="26"/>
          <w:szCs w:val="26"/>
        </w:rPr>
      </w:pPr>
      <w:r w:rsidRPr="00376F11">
        <w:rPr>
          <w:rFonts w:ascii="Times New Roman" w:hAnsi="Times New Roman" w:cs="Times New Roman"/>
          <w:b/>
          <w:bCs/>
          <w:sz w:val="26"/>
          <w:szCs w:val="26"/>
        </w:rPr>
        <w:t>Abstract:</w:t>
      </w:r>
    </w:p>
    <w:p w:rsidR="00A33CE2" w:rsidRPr="00A33CE2" w:rsidRDefault="00A33CE2" w:rsidP="00A33CE2">
      <w:pPr>
        <w:spacing w:line="480" w:lineRule="auto"/>
        <w:rPr>
          <w:rFonts w:ascii="Times New Roman" w:hAnsi="Times New Roman" w:cs="Times New Roman"/>
          <w:bCs/>
          <w:i/>
        </w:rPr>
      </w:pPr>
      <w:r w:rsidRPr="00A33CE2">
        <w:rPr>
          <w:rFonts w:ascii="Times New Roman" w:hAnsi="Times New Roman" w:cs="Times New Roman"/>
          <w:bCs/>
          <w:i/>
        </w:rPr>
        <w:t xml:space="preserve">This study investigates the role of Green Human Resource Management (GHRM) practices in shaping organizational performance in the 21st century, with a specific focus on Guaranty Trust Bank, Ilorin, </w:t>
      </w:r>
      <w:proofErr w:type="spellStart"/>
      <w:proofErr w:type="gramStart"/>
      <w:r w:rsidRPr="00A33CE2">
        <w:rPr>
          <w:rFonts w:ascii="Times New Roman" w:hAnsi="Times New Roman" w:cs="Times New Roman"/>
          <w:bCs/>
          <w:i/>
        </w:rPr>
        <w:t>Kwara</w:t>
      </w:r>
      <w:proofErr w:type="spellEnd"/>
      <w:proofErr w:type="gramEnd"/>
      <w:r w:rsidRPr="00A33CE2">
        <w:rPr>
          <w:rFonts w:ascii="Times New Roman" w:hAnsi="Times New Roman" w:cs="Times New Roman"/>
          <w:bCs/>
          <w:i/>
        </w:rPr>
        <w:t xml:space="preserve"> State. In response to the growing global emphasis on sustainability, this research examines how the integration of environmentally responsible HR practices contributes to enhanced organizational outcomes. Employing a mixed-methods approach, the study combines quantitative data obtained from structured employee surveys with qualitative insights derived from in-depth interviews with HR professionals and management staff. The quantitative analysis evaluates the influence of GHRM practices on financial performance, employee productivity, and customer satisfaction, while the qualitative component explores the implementation processes and the challenges faced in operationalizing sustainable HR strategies. Findings indicate that green recruitment and selection processes attract environmentally conscious employees whose values align with the organization’s sustainability objectives, thereby enhancing job satisfaction and engagement. Green training and development initiatives are shown to equip staff with the competencies required to integrate sustainable practices into daily operations, leading to improved operational efficiency and reduced environmental impact. Furthermore, green performance management systems that incorporate environmental performance metrics and recognize sustainability-related achievements positively influence employee motivation and organizational commitment. The study also underscores the importance of effective communication and employee involvement in fostering a culture of environmental responsibility. Overall, the research highlights the strategic significance of GHRM practices as a driver of both organizational performance and environmental sustainability, offering practical implications for HR practitioners and policymakers </w:t>
      </w:r>
      <w:r w:rsidRPr="00A33CE2">
        <w:rPr>
          <w:rFonts w:ascii="Times New Roman" w:hAnsi="Times New Roman" w:cs="Times New Roman"/>
          <w:bCs/>
          <w:i/>
        </w:rPr>
        <w:lastRenderedPageBreak/>
        <w:t>aiming to achieve sustainable competitive advantage in the dynamic business</w:t>
      </w:r>
      <w:r w:rsidR="00EA7828">
        <w:rPr>
          <w:rFonts w:ascii="Times New Roman" w:hAnsi="Times New Roman" w:cs="Times New Roman"/>
          <w:bCs/>
          <w:i/>
        </w:rPr>
        <w:t xml:space="preserve"> landscape of the 21st century.</w:t>
      </w:r>
    </w:p>
    <w:p w:rsidR="00CE7FD4" w:rsidRDefault="00A33CE2" w:rsidP="00EF56BA">
      <w:pPr>
        <w:spacing w:line="480" w:lineRule="auto"/>
        <w:rPr>
          <w:rFonts w:ascii="Times New Roman" w:hAnsi="Times New Roman" w:cs="Times New Roman"/>
        </w:rPr>
      </w:pPr>
      <w:r w:rsidRPr="00A33CE2">
        <w:rPr>
          <w:rFonts w:ascii="Times New Roman" w:hAnsi="Times New Roman" w:cs="Times New Roman"/>
          <w:bCs/>
          <w:i/>
        </w:rPr>
        <w:t>Keywords: Green Human Resource Management (GHRM), organizational performance, sustainability, green recruitment, employee engagement, environmental responsibility, 21st-century organizations.</w:t>
      </w:r>
    </w:p>
    <w:p w:rsidR="00BF29C4" w:rsidRPr="00512C04" w:rsidRDefault="00CE7FD4" w:rsidP="00512C04">
      <w:pPr>
        <w:rPr>
          <w:rFonts w:ascii="Times New Roman" w:hAnsi="Times New Roman" w:cs="Times New Roman"/>
        </w:rPr>
      </w:pPr>
      <w:r>
        <w:rPr>
          <w:rFonts w:ascii="Times New Roman" w:hAnsi="Times New Roman" w:cs="Times New Roman"/>
        </w:rPr>
        <w:br w:type="page"/>
      </w:r>
    </w:p>
    <w:p w:rsidR="002E671C" w:rsidRPr="00376F11" w:rsidRDefault="002C5934" w:rsidP="006D007B">
      <w:pPr>
        <w:spacing w:line="480" w:lineRule="auto"/>
        <w:ind w:left="2880" w:firstLine="720"/>
        <w:rPr>
          <w:rFonts w:ascii="Times New Roman" w:hAnsi="Times New Roman" w:cs="Times New Roman"/>
          <w:b/>
          <w:sz w:val="26"/>
          <w:szCs w:val="26"/>
        </w:rPr>
      </w:pPr>
      <w:r w:rsidRPr="00376F11">
        <w:rPr>
          <w:rFonts w:ascii="Times New Roman" w:hAnsi="Times New Roman" w:cs="Times New Roman"/>
          <w:sz w:val="26"/>
          <w:szCs w:val="26"/>
        </w:rPr>
        <w:lastRenderedPageBreak/>
        <w:t>C</w:t>
      </w:r>
      <w:r w:rsidRPr="00376F11">
        <w:rPr>
          <w:rFonts w:ascii="Times New Roman" w:hAnsi="Times New Roman" w:cs="Times New Roman"/>
          <w:b/>
          <w:sz w:val="26"/>
          <w:szCs w:val="26"/>
        </w:rPr>
        <w:t>HAPTER ONE</w:t>
      </w:r>
    </w:p>
    <w:p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INTRODUCTION</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1.1 Background to the Study</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In recent years, the global shift toward sustainable development has placed significant emphasis on organizational strategies that address environmental, social, and economic challenges. One such strategy gaining prominence is Green Human Resource Management (GHRM), which integrates environmental objectives into HR policies and practices. GHRM involves practices such as green recruitment, green training, and environmentally conscious performance management, all aimed at promoting sustainable workplace behavior (Renwick et al., 2013).</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The 21st century has witnessed a transformation in how organizations view human resource management—not merely as administrative support, but as a strategic partner in achieving sustainability and competitive advantage (Jackson, Renwick, </w:t>
      </w:r>
      <w:proofErr w:type="spellStart"/>
      <w:r w:rsidRPr="00CE7FD4">
        <w:rPr>
          <w:rFonts w:ascii="Times New Roman" w:hAnsi="Times New Roman" w:cs="Times New Roman"/>
          <w:sz w:val="25"/>
          <w:szCs w:val="25"/>
        </w:rPr>
        <w:t>Jabbour</w:t>
      </w:r>
      <w:proofErr w:type="spellEnd"/>
      <w:r w:rsidRPr="00CE7FD4">
        <w:rPr>
          <w:rFonts w:ascii="Times New Roman" w:hAnsi="Times New Roman" w:cs="Times New Roman"/>
          <w:sz w:val="25"/>
          <w:szCs w:val="25"/>
        </w:rPr>
        <w:t>, &amp; Müller-</w:t>
      </w:r>
      <w:proofErr w:type="spellStart"/>
      <w:r w:rsidRPr="00CE7FD4">
        <w:rPr>
          <w:rFonts w:ascii="Times New Roman" w:hAnsi="Times New Roman" w:cs="Times New Roman"/>
          <w:sz w:val="25"/>
          <w:szCs w:val="25"/>
        </w:rPr>
        <w:t>Camen</w:t>
      </w:r>
      <w:proofErr w:type="spellEnd"/>
      <w:r w:rsidRPr="00CE7FD4">
        <w:rPr>
          <w:rFonts w:ascii="Times New Roman" w:hAnsi="Times New Roman" w:cs="Times New Roman"/>
          <w:sz w:val="25"/>
          <w:szCs w:val="25"/>
        </w:rPr>
        <w:t>, 2011). GHRM aligns with the triple bottom line approach, which emphasizes environmental sustainability, social responsibility, and economic performance (</w:t>
      </w:r>
      <w:proofErr w:type="spellStart"/>
      <w:r w:rsidRPr="00CE7FD4">
        <w:rPr>
          <w:rFonts w:ascii="Times New Roman" w:hAnsi="Times New Roman" w:cs="Times New Roman"/>
          <w:sz w:val="25"/>
          <w:szCs w:val="25"/>
        </w:rPr>
        <w:t>Elkington</w:t>
      </w:r>
      <w:proofErr w:type="spellEnd"/>
      <w:r w:rsidRPr="00CE7FD4">
        <w:rPr>
          <w:rFonts w:ascii="Times New Roman" w:hAnsi="Times New Roman" w:cs="Times New Roman"/>
          <w:sz w:val="25"/>
          <w:szCs w:val="25"/>
        </w:rPr>
        <w:t>, 1997). These practices include telecommuting, virtual interviews, digital documentation, and energy-efficient workplace designs, all of which reduce carbon footprints and promote eco-consciousness among employees (</w:t>
      </w:r>
      <w:proofErr w:type="spellStart"/>
      <w:r w:rsidRPr="00CE7FD4">
        <w:rPr>
          <w:rFonts w:ascii="Times New Roman" w:hAnsi="Times New Roman" w:cs="Times New Roman"/>
          <w:sz w:val="25"/>
          <w:szCs w:val="25"/>
        </w:rPr>
        <w:t>Mandip</w:t>
      </w:r>
      <w:proofErr w:type="spellEnd"/>
      <w:r w:rsidRPr="00CE7FD4">
        <w:rPr>
          <w:rFonts w:ascii="Times New Roman" w:hAnsi="Times New Roman" w:cs="Times New Roman"/>
          <w:sz w:val="25"/>
          <w:szCs w:val="25"/>
        </w:rPr>
        <w:t>, 2012).</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lastRenderedPageBreak/>
        <w:t>Studies have shown that effective GHRM practices can lead to improved organizational performance by enhancing employee engagement, morale, and operational efficiency (</w:t>
      </w:r>
      <w:proofErr w:type="spellStart"/>
      <w:r w:rsidRPr="00CE7FD4">
        <w:rPr>
          <w:rFonts w:ascii="Times New Roman" w:hAnsi="Times New Roman" w:cs="Times New Roman"/>
          <w:sz w:val="25"/>
          <w:szCs w:val="25"/>
        </w:rPr>
        <w:t>Jabbour</w:t>
      </w:r>
      <w:proofErr w:type="spellEnd"/>
      <w:r w:rsidRPr="00CE7FD4">
        <w:rPr>
          <w:rFonts w:ascii="Times New Roman" w:hAnsi="Times New Roman" w:cs="Times New Roman"/>
          <w:sz w:val="25"/>
          <w:szCs w:val="25"/>
        </w:rPr>
        <w:t xml:space="preserve"> &amp; Santos, 2008; Tang et al., 2018). As organizations face pressure from stakeholders, regulators, and the public to act sustainably, GHRM emerges as a vital tool for shaping organizational culture and achieving long-term success.</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However, despite growing interest, the application of GHRM remains under-researched in non-Western and emerging economies such as Nigeria. Most existing studies originate from developed nations, leaving a gap in understanding how GHRM practices influence organizational outcomes in the African context (Renwick et al., 2016). Given Nigeria’s rapid industrialization and environmental concerns, there is a pressing need to explore how GHRM practices contribute to organizational p</w:t>
      </w:r>
      <w:r w:rsidR="00CE7FD4">
        <w:rPr>
          <w:rFonts w:ascii="Times New Roman" w:hAnsi="Times New Roman" w:cs="Times New Roman"/>
          <w:sz w:val="25"/>
          <w:szCs w:val="25"/>
        </w:rPr>
        <w:t>erformance within this context.</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This study therefore aims to investigate the role of Green Human Resource Practices in shaping organizational performance in the 21st century, using Guaranty Trust Bank (GTB) in Ilorin as a case study. It seeks to contribute to the growing body of knowledge by contextualizing GHRM in Nigeria’s banking sector and highlighting its impact on effectiveness, c</w:t>
      </w:r>
      <w:r w:rsidR="00CE7FD4">
        <w:rPr>
          <w:rFonts w:ascii="Times New Roman" w:hAnsi="Times New Roman" w:cs="Times New Roman"/>
          <w:sz w:val="25"/>
          <w:szCs w:val="25"/>
        </w:rPr>
        <w:t>ompetitiveness, and resilience.</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1.2 Statement of the Research Problem</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Organizations today are confronted with rising environmental concerns and sustainability expectations. The failure to implement environmentally friendly practices often results in poor </w:t>
      </w:r>
      <w:r w:rsidRPr="00CE7FD4">
        <w:rPr>
          <w:rFonts w:ascii="Times New Roman" w:hAnsi="Times New Roman" w:cs="Times New Roman"/>
          <w:sz w:val="25"/>
          <w:szCs w:val="25"/>
        </w:rPr>
        <w:lastRenderedPageBreak/>
        <w:t xml:space="preserve">employee morale, increased operational costs, reduced competitiveness, and missed business opportunities (Daily, Bishop, &amp; </w:t>
      </w:r>
      <w:proofErr w:type="spellStart"/>
      <w:r w:rsidRPr="00CE7FD4">
        <w:rPr>
          <w:rFonts w:ascii="Times New Roman" w:hAnsi="Times New Roman" w:cs="Times New Roman"/>
          <w:sz w:val="25"/>
          <w:szCs w:val="25"/>
        </w:rPr>
        <w:t>Govindarajulu</w:t>
      </w:r>
      <w:proofErr w:type="spellEnd"/>
      <w:r w:rsidRPr="00CE7FD4">
        <w:rPr>
          <w:rFonts w:ascii="Times New Roman" w:hAnsi="Times New Roman" w:cs="Times New Roman"/>
          <w:sz w:val="25"/>
          <w:szCs w:val="25"/>
        </w:rPr>
        <w:t xml:space="preserve">, 2009). In contrast, GHRM practices such as online recruitment, virtual training, green appraisals, and digital communication not only reduce environmental footprints but also foster a culture of innovation and accountability (Pham, </w:t>
      </w:r>
      <w:proofErr w:type="spellStart"/>
      <w:r w:rsidRPr="00CE7FD4">
        <w:rPr>
          <w:rFonts w:ascii="Times New Roman" w:hAnsi="Times New Roman" w:cs="Times New Roman"/>
          <w:sz w:val="25"/>
          <w:szCs w:val="25"/>
        </w:rPr>
        <w:t>Tučková</w:t>
      </w:r>
      <w:proofErr w:type="spellEnd"/>
      <w:r w:rsidRPr="00CE7FD4">
        <w:rPr>
          <w:rFonts w:ascii="Times New Roman" w:hAnsi="Times New Roman" w:cs="Times New Roman"/>
          <w:sz w:val="25"/>
          <w:szCs w:val="25"/>
        </w:rPr>
        <w:t xml:space="preserve">, &amp; </w:t>
      </w:r>
      <w:proofErr w:type="spellStart"/>
      <w:r w:rsidRPr="00CE7FD4">
        <w:rPr>
          <w:rFonts w:ascii="Times New Roman" w:hAnsi="Times New Roman" w:cs="Times New Roman"/>
          <w:sz w:val="25"/>
          <w:szCs w:val="25"/>
        </w:rPr>
        <w:t>Jabbour</w:t>
      </w:r>
      <w:proofErr w:type="spellEnd"/>
      <w:r w:rsidRPr="00CE7FD4">
        <w:rPr>
          <w:rFonts w:ascii="Times New Roman" w:hAnsi="Times New Roman" w:cs="Times New Roman"/>
          <w:sz w:val="25"/>
          <w:szCs w:val="25"/>
        </w:rPr>
        <w:t>, 2019).</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Green HRM is especially crucial for industries like banking, where resource consumption and environmental reputation can significantly influence public trust and operational efficiency. GTB, being one of Nigeria's leading banks, is expected to demonstrate leadership in sustainability. However, limited empirical evidence exists on how green HR practices influence its performance outcomes—such as effectiveness, resilience, and competitive st</w:t>
      </w:r>
      <w:r w:rsidR="00CE7FD4">
        <w:rPr>
          <w:rFonts w:ascii="Times New Roman" w:hAnsi="Times New Roman" w:cs="Times New Roman"/>
          <w:sz w:val="25"/>
          <w:szCs w:val="25"/>
        </w:rPr>
        <w:t>anding—in the Nigerian context.</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The absence of robust GHRM policies may hinder the bank’s ability to respond to global environmental demands, reduce costs, and maintain a productive workforce. Thus, this study aims to bridge this gap by examining the impact of GHRM practices on organizational performance at GTB Ilorin.</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1.3 Research Questions</w:t>
      </w:r>
    </w:p>
    <w:p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To what extent do Green Human Resource Management (GHRM) practices affect organizational effectiveness in GTB Ilorin?</w:t>
      </w:r>
    </w:p>
    <w:p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What is the relationship between GHRM practices and organizational competitiveness?</w:t>
      </w:r>
    </w:p>
    <w:p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lastRenderedPageBreak/>
        <w:t>How do GHRM practices enhance organizational resilience in GTB Ilorin?</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1.4 Research Objectives</w:t>
      </w:r>
    </w:p>
    <w:p w:rsidR="00CE7FD4" w:rsidRPr="00CE7FD4" w:rsidRDefault="00A33CE2" w:rsidP="00A33CE2">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To examine the influence of GHRM practices on the organizational effectiveness of GTB Ilorin.</w:t>
      </w:r>
    </w:p>
    <w:p w:rsidR="00CE7FD4" w:rsidRPr="00CE7FD4" w:rsidRDefault="00A33CE2" w:rsidP="00A33CE2">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To assess the relationship between GHRM practices and organizational competitiveness.</w:t>
      </w:r>
    </w:p>
    <w:p w:rsidR="00CE7FD4" w:rsidRDefault="00A33CE2" w:rsidP="00CE7FD4">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To evaluate the role of GHRM practices in promoting organizational resilience at GTB Ilorin.</w:t>
      </w:r>
    </w:p>
    <w:p w:rsidR="00A33CE2" w:rsidRPr="00CE7FD4" w:rsidRDefault="00CE7FD4" w:rsidP="00CE7FD4">
      <w:pPr>
        <w:spacing w:line="480" w:lineRule="auto"/>
        <w:jc w:val="both"/>
        <w:rPr>
          <w:rFonts w:ascii="Times New Roman" w:hAnsi="Times New Roman" w:cs="Times New Roman"/>
          <w:sz w:val="25"/>
          <w:szCs w:val="25"/>
        </w:rPr>
      </w:pPr>
      <w:r w:rsidRPr="00CE7FD4">
        <w:rPr>
          <w:rFonts w:ascii="Times New Roman" w:hAnsi="Times New Roman" w:cs="Times New Roman"/>
          <w:b/>
          <w:sz w:val="25"/>
          <w:szCs w:val="25"/>
        </w:rPr>
        <w:t>1.5 Research Hypotheses</w:t>
      </w:r>
    </w:p>
    <w:p w:rsidR="00CE7FD4"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b/>
          <w:sz w:val="25"/>
          <w:szCs w:val="25"/>
        </w:rPr>
        <w:t xml:space="preserve">H₀₁: </w:t>
      </w:r>
      <w:r w:rsidRPr="00CE7FD4">
        <w:rPr>
          <w:rFonts w:ascii="Times New Roman" w:hAnsi="Times New Roman" w:cs="Times New Roman"/>
          <w:sz w:val="25"/>
          <w:szCs w:val="25"/>
        </w:rPr>
        <w:t>GHRM practices have no significant influence on the organizational effectiveness of GTB Ilorin.</w:t>
      </w:r>
    </w:p>
    <w:p w:rsidR="00CE7FD4"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 xml:space="preserve">H₀₂: </w:t>
      </w:r>
      <w:r w:rsidRPr="00CE7FD4">
        <w:rPr>
          <w:rFonts w:ascii="Times New Roman" w:hAnsi="Times New Roman" w:cs="Times New Roman"/>
          <w:sz w:val="25"/>
          <w:szCs w:val="25"/>
        </w:rPr>
        <w:t>There is no significant relationship between GHRM practices and organizational competitiveness</w:t>
      </w:r>
      <w:r w:rsidRPr="00CE7FD4">
        <w:rPr>
          <w:rFonts w:ascii="Times New Roman" w:hAnsi="Times New Roman" w:cs="Times New Roman"/>
          <w:b/>
          <w:sz w:val="25"/>
          <w:szCs w:val="25"/>
        </w:rPr>
        <w:t>.</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 xml:space="preserve">H₀₃: </w:t>
      </w:r>
      <w:r w:rsidRPr="00CE7FD4">
        <w:rPr>
          <w:rFonts w:ascii="Times New Roman" w:hAnsi="Times New Roman" w:cs="Times New Roman"/>
          <w:sz w:val="25"/>
          <w:szCs w:val="25"/>
        </w:rPr>
        <w:t>GHRM practices play no significant role in enhancing organizational resilience at GTB Ilorin.</w:t>
      </w:r>
    </w:p>
    <w:p w:rsidR="00A33CE2" w:rsidRPr="00CE7FD4" w:rsidRDefault="00CE7FD4"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1.6 Significance of the Study</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This study is significant in advancing understanding of the relationship between green human resource practices and organizational performance in Nigeria. By focusing on GTB Ilorin, the </w:t>
      </w:r>
      <w:r w:rsidRPr="00CE7FD4">
        <w:rPr>
          <w:rFonts w:ascii="Times New Roman" w:hAnsi="Times New Roman" w:cs="Times New Roman"/>
          <w:sz w:val="25"/>
          <w:szCs w:val="25"/>
        </w:rPr>
        <w:lastRenderedPageBreak/>
        <w:t>research provides insights into how eco-conscious HR strategies can improve employee performance, reduce costs, and enhance sustainability. Findings from the study will offer practical recommendations for HR managers, policymakers, and corporate leaders seeking to embed sustainability into</w:t>
      </w:r>
      <w:r w:rsidR="00CE7FD4" w:rsidRPr="00CE7FD4">
        <w:rPr>
          <w:rFonts w:ascii="Times New Roman" w:hAnsi="Times New Roman" w:cs="Times New Roman"/>
          <w:sz w:val="25"/>
          <w:szCs w:val="25"/>
        </w:rPr>
        <w:t xml:space="preserve"> their organizational cultures.</w:t>
      </w:r>
    </w:p>
    <w:p w:rsidR="00CE7FD4"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Additionally, the study contributes to the limited academic literature on GHRM in developing countries, helping to contextualize global HR practices within Nigerian institutions. It may also influence future HRM curriculum and training programs aimed at preparing manag</w:t>
      </w:r>
      <w:r w:rsidR="00CE7FD4" w:rsidRPr="00CE7FD4">
        <w:rPr>
          <w:rFonts w:ascii="Times New Roman" w:hAnsi="Times New Roman" w:cs="Times New Roman"/>
          <w:sz w:val="25"/>
          <w:szCs w:val="25"/>
        </w:rPr>
        <w:t>ers for sustainable leadership.</w:t>
      </w:r>
    </w:p>
    <w:p w:rsidR="00A33CE2" w:rsidRPr="00CE7FD4" w:rsidRDefault="00CE7FD4" w:rsidP="00CE7FD4">
      <w:pPr>
        <w:rPr>
          <w:rFonts w:ascii="Times New Roman" w:hAnsi="Times New Roman" w:cs="Times New Roman"/>
          <w:sz w:val="25"/>
          <w:szCs w:val="25"/>
        </w:rPr>
      </w:pPr>
      <w:r w:rsidRPr="00CE7FD4">
        <w:rPr>
          <w:rFonts w:ascii="Times New Roman" w:hAnsi="Times New Roman" w:cs="Times New Roman"/>
          <w:b/>
          <w:sz w:val="25"/>
          <w:szCs w:val="25"/>
        </w:rPr>
        <w:t>1.7 Scope of the Study</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This study focuses specifically on Guaranty Trust Bank (GTB) in Ilorin, Nigeria. It examines how GHRM practices are implemented and their influence on organizational performance metrics such as effectiveness, competitiveness, and resilience. While GTB is the case study, the insights may be applicable to other banks and organizations i</w:t>
      </w:r>
      <w:r w:rsidR="00CE7FD4" w:rsidRPr="00CE7FD4">
        <w:rPr>
          <w:rFonts w:ascii="Times New Roman" w:hAnsi="Times New Roman" w:cs="Times New Roman"/>
          <w:sz w:val="25"/>
          <w:szCs w:val="25"/>
        </w:rPr>
        <w:t>n similar sectors and contexts.</w:t>
      </w:r>
    </w:p>
    <w:p w:rsidR="00A33CE2" w:rsidRPr="00CE7FD4" w:rsidRDefault="00CE7FD4"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1.8 Definition of Terms</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Human Resource Management (HRM): The strategic approach to managing people and workplace culture to drive organizational success.</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Green Human Resource Management (GHRM): The integration of environmental management principles into HR functions such as recruitment, training, appraisal, and development to promote sustainability (Renwick et al., 2013).</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lastRenderedPageBreak/>
        <w:t>Organizational Effectiveness: The degree to which an organization achieves its intended objectives efficiently and sustainably.</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Organizational Competitiveness: An organization’s ability to maintain and gain market advantage through innovation, productivity, and reputation.</w:t>
      </w:r>
    </w:p>
    <w:p w:rsidR="00A33CE2"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Organizational Resilience: The capability of an organization to withstand disruptions, adapt to change, and recover from crises while maintaining core functions.</w:t>
      </w:r>
    </w:p>
    <w:p w:rsidR="00DA4457" w:rsidRPr="00376F11" w:rsidRDefault="00B33E36" w:rsidP="00DA4457">
      <w:pPr>
        <w:spacing w:line="480" w:lineRule="auto"/>
        <w:jc w:val="both"/>
        <w:rPr>
          <w:rFonts w:ascii="Times New Roman" w:hAnsi="Times New Roman" w:cs="Times New Roman"/>
          <w:sz w:val="26"/>
          <w:szCs w:val="26"/>
        </w:rPr>
      </w:pPr>
      <w:r w:rsidRPr="00376F11">
        <w:rPr>
          <w:rFonts w:ascii="Times New Roman" w:hAnsi="Times New Roman" w:cs="Times New Roman"/>
          <w:sz w:val="26"/>
          <w:szCs w:val="26"/>
        </w:rPr>
        <w:t>.</w:t>
      </w:r>
      <w:r w:rsidR="002C5934" w:rsidRPr="00376F11">
        <w:rPr>
          <w:rFonts w:ascii="Times New Roman" w:hAnsi="Times New Roman" w:cs="Times New Roman"/>
          <w:sz w:val="26"/>
          <w:szCs w:val="26"/>
        </w:rPr>
        <w:t xml:space="preserve"> </w:t>
      </w:r>
    </w:p>
    <w:p w:rsidR="002E671C" w:rsidRPr="00376F11" w:rsidRDefault="00EA7828" w:rsidP="00512C04">
      <w:pPr>
        <w:jc w:val="center"/>
        <w:rPr>
          <w:rFonts w:ascii="Times New Roman" w:hAnsi="Times New Roman" w:cs="Times New Roman"/>
          <w:b/>
          <w:bCs/>
          <w:sz w:val="26"/>
          <w:szCs w:val="26"/>
        </w:rPr>
      </w:pPr>
      <w:r>
        <w:rPr>
          <w:rFonts w:ascii="Times New Roman" w:hAnsi="Times New Roman" w:cs="Times New Roman"/>
          <w:b/>
          <w:bCs/>
          <w:sz w:val="26"/>
          <w:szCs w:val="26"/>
        </w:rPr>
        <w:br w:type="page"/>
      </w:r>
      <w:r w:rsidR="002C5934" w:rsidRPr="00376F11">
        <w:rPr>
          <w:rFonts w:ascii="Times New Roman" w:hAnsi="Times New Roman" w:cs="Times New Roman"/>
          <w:b/>
          <w:bCs/>
          <w:sz w:val="26"/>
          <w:szCs w:val="26"/>
        </w:rPr>
        <w:lastRenderedPageBreak/>
        <w:t>CHAPTER TWO</w:t>
      </w:r>
    </w:p>
    <w:p w:rsidR="002E671C" w:rsidRPr="00376F11" w:rsidRDefault="002C5934">
      <w:pPr>
        <w:autoSpaceDE w:val="0"/>
        <w:autoSpaceDN w:val="0"/>
        <w:adjustRightInd w:val="0"/>
        <w:spacing w:after="0" w:line="480" w:lineRule="auto"/>
        <w:jc w:val="center"/>
        <w:rPr>
          <w:rFonts w:ascii="Times New Roman" w:hAnsi="Times New Roman" w:cs="Times New Roman"/>
          <w:b/>
          <w:bCs/>
          <w:sz w:val="26"/>
          <w:szCs w:val="26"/>
        </w:rPr>
      </w:pPr>
      <w:r w:rsidRPr="00376F11">
        <w:rPr>
          <w:rFonts w:ascii="Times New Roman" w:hAnsi="Times New Roman" w:cs="Times New Roman"/>
          <w:b/>
          <w:bCs/>
          <w:sz w:val="26"/>
          <w:szCs w:val="26"/>
        </w:rPr>
        <w:t>LITERATURE REVIEW</w:t>
      </w:r>
    </w:p>
    <w:p w:rsidR="002E671C" w:rsidRPr="00376F11" w:rsidRDefault="002E671C">
      <w:pPr>
        <w:autoSpaceDE w:val="0"/>
        <w:autoSpaceDN w:val="0"/>
        <w:adjustRightInd w:val="0"/>
        <w:spacing w:after="0" w:line="480" w:lineRule="auto"/>
        <w:jc w:val="both"/>
        <w:rPr>
          <w:rFonts w:ascii="Times New Roman" w:hAnsi="Times New Roman" w:cs="Times New Roman"/>
          <w:b/>
          <w:bCs/>
          <w:sz w:val="26"/>
          <w:szCs w:val="26"/>
        </w:rPr>
      </w:pPr>
    </w:p>
    <w:p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2.1 Introduction</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chapter critically examines the theoretical, conceptual, and empirical literature on Green Human Resource Management (G-HRM), focusing on its evolving role in enhancing organizational performance in the 21st century. It provides an in-depth analysis of key concepts, processes, strategic aspects, and empirical findings in the domain of G-HRM, emphasizing how sustainable HR practices contribute to ecological responsibility and corporate effectiveness.</w:t>
      </w:r>
    </w:p>
    <w:p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 Conceptual Clarification</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To properly evaluate the role of Green HRM, it is essential to clarify relevant concepts such as Green Human Resource Management, organizational performance, sustainability, and strategic HR practices. These terms are interconnected and form the foundation for understanding how human resources can be leveraged to drive environmental and economic outcomes simultaneously.</w:t>
      </w:r>
    </w:p>
    <w:p w:rsidR="00EA7828" w:rsidRDefault="00EA7828">
      <w:pPr>
        <w:rPr>
          <w:rFonts w:ascii="Times New Roman" w:hAnsi="Times New Roman" w:cs="Times New Roman"/>
          <w:b/>
          <w:sz w:val="25"/>
          <w:szCs w:val="25"/>
        </w:rPr>
      </w:pPr>
      <w:r>
        <w:rPr>
          <w:rFonts w:ascii="Times New Roman" w:hAnsi="Times New Roman" w:cs="Times New Roman"/>
          <w:b/>
          <w:sz w:val="25"/>
          <w:szCs w:val="25"/>
        </w:rPr>
        <w:br w:type="page"/>
      </w:r>
    </w:p>
    <w:p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2.2.1 The Concept of Green Human Resource Management (G-HRM)</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Human Resource Management refers to the systematic integration of environmental sustainability into human resource policies, practices, and processes to promote the sustainable use of resources and foster a culture of ecological consciousness in organizations (Renwick et al., 2013). It involves initiatives such as green recruitment, training, performance management, and rewards aimed at reducing the ecological footprint of both the organi</w:t>
      </w:r>
      <w:r w:rsidR="004178BA" w:rsidRPr="001F26CD">
        <w:rPr>
          <w:rFonts w:ascii="Times New Roman" w:hAnsi="Times New Roman" w:cs="Times New Roman"/>
          <w:sz w:val="25"/>
          <w:szCs w:val="25"/>
        </w:rPr>
        <w:t>zation and its employees.</w:t>
      </w:r>
    </w:p>
    <w:p w:rsidR="00CE7FD4" w:rsidRPr="001F26CD" w:rsidRDefault="00CE7FD4" w:rsidP="00CE7FD4">
      <w:pPr>
        <w:tabs>
          <w:tab w:val="left" w:pos="3555"/>
        </w:tabs>
        <w:spacing w:line="480" w:lineRule="auto"/>
        <w:jc w:val="both"/>
        <w:rPr>
          <w:rFonts w:ascii="Times New Roman" w:hAnsi="Times New Roman" w:cs="Times New Roman"/>
          <w:sz w:val="25"/>
          <w:szCs w:val="25"/>
        </w:rPr>
      </w:pP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and Santos (2008) describe G-HRM as a proactive approach that embeds environmental objectives into core HR functions including recruitment, training, performance appraisal, and reward systems. Ramus (2001) emphasized that the success of G-HRM largely depends on employee engagement, top management support, and clear organizational valu</w:t>
      </w:r>
      <w:r w:rsidR="004178BA" w:rsidRPr="001F26CD">
        <w:rPr>
          <w:rFonts w:ascii="Times New Roman" w:hAnsi="Times New Roman" w:cs="Times New Roman"/>
          <w:sz w:val="25"/>
          <w:szCs w:val="25"/>
        </w:rPr>
        <w:t>es aligned with sustainability.</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Moreover, G-HRM is considered a strategic lever for enhancing organizational reputation, innovation, and long-term financial performance (Jackson, Renwick,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&amp; Muller-</w:t>
      </w:r>
      <w:proofErr w:type="spellStart"/>
      <w:r w:rsidRPr="001F26CD">
        <w:rPr>
          <w:rFonts w:ascii="Times New Roman" w:hAnsi="Times New Roman" w:cs="Times New Roman"/>
          <w:sz w:val="25"/>
          <w:szCs w:val="25"/>
        </w:rPr>
        <w:t>Camen</w:t>
      </w:r>
      <w:proofErr w:type="spellEnd"/>
      <w:r w:rsidRPr="001F26CD">
        <w:rPr>
          <w:rFonts w:ascii="Times New Roman" w:hAnsi="Times New Roman" w:cs="Times New Roman"/>
          <w:sz w:val="25"/>
          <w:szCs w:val="25"/>
        </w:rPr>
        <w:t xml:space="preserve">, 2011). </w:t>
      </w:r>
      <w:proofErr w:type="spellStart"/>
      <w:r w:rsidRPr="001F26CD">
        <w:rPr>
          <w:rFonts w:ascii="Times New Roman" w:hAnsi="Times New Roman" w:cs="Times New Roman"/>
          <w:sz w:val="25"/>
          <w:szCs w:val="25"/>
        </w:rPr>
        <w:t>Nath</w:t>
      </w:r>
      <w:proofErr w:type="spellEnd"/>
      <w:r w:rsidRPr="001F26CD">
        <w:rPr>
          <w:rFonts w:ascii="Times New Roman" w:hAnsi="Times New Roman" w:cs="Times New Roman"/>
          <w:sz w:val="25"/>
          <w:szCs w:val="25"/>
        </w:rPr>
        <w:t xml:space="preserve"> (2011) and </w:t>
      </w:r>
      <w:proofErr w:type="spellStart"/>
      <w:r w:rsidRPr="001F26CD">
        <w:rPr>
          <w:rFonts w:ascii="Times New Roman" w:hAnsi="Times New Roman" w:cs="Times New Roman"/>
          <w:sz w:val="25"/>
          <w:szCs w:val="25"/>
        </w:rPr>
        <w:t>Mandip</w:t>
      </w:r>
      <w:proofErr w:type="spellEnd"/>
      <w:r w:rsidRPr="001F26CD">
        <w:rPr>
          <w:rFonts w:ascii="Times New Roman" w:hAnsi="Times New Roman" w:cs="Times New Roman"/>
          <w:sz w:val="25"/>
          <w:szCs w:val="25"/>
        </w:rPr>
        <w:t xml:space="preserve"> (2012) argue that green HR initiatives can increase operational efficiency, reduce costs, and enhance employee morale and retention by creating meaningful work that aligns with environmental values.</w:t>
      </w:r>
    </w:p>
    <w:p w:rsidR="00EA7828" w:rsidRDefault="00EA7828">
      <w:pPr>
        <w:rPr>
          <w:rFonts w:ascii="Times New Roman" w:hAnsi="Times New Roman" w:cs="Times New Roman"/>
          <w:b/>
          <w:sz w:val="25"/>
          <w:szCs w:val="25"/>
        </w:rPr>
      </w:pPr>
      <w:r>
        <w:rPr>
          <w:rFonts w:ascii="Times New Roman" w:hAnsi="Times New Roman" w:cs="Times New Roman"/>
          <w:b/>
          <w:sz w:val="25"/>
          <w:szCs w:val="25"/>
        </w:rPr>
        <w:br w:type="page"/>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w:t>
      </w:r>
      <w:r w:rsidR="00CE7FD4" w:rsidRPr="001F26CD">
        <w:rPr>
          <w:rFonts w:ascii="Times New Roman" w:hAnsi="Times New Roman" w:cs="Times New Roman"/>
          <w:b/>
          <w:sz w:val="25"/>
          <w:szCs w:val="25"/>
        </w:rPr>
        <w:t>.2 G-HRM Processes</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According to </w:t>
      </w:r>
      <w:proofErr w:type="spellStart"/>
      <w:r w:rsidRPr="001F26CD">
        <w:rPr>
          <w:rFonts w:ascii="Times New Roman" w:hAnsi="Times New Roman" w:cs="Times New Roman"/>
          <w:sz w:val="25"/>
          <w:szCs w:val="25"/>
        </w:rPr>
        <w:t>Mandip</w:t>
      </w:r>
      <w:proofErr w:type="spellEnd"/>
      <w:r w:rsidRPr="001F26CD">
        <w:rPr>
          <w:rFonts w:ascii="Times New Roman" w:hAnsi="Times New Roman" w:cs="Times New Roman"/>
          <w:sz w:val="25"/>
          <w:szCs w:val="25"/>
        </w:rPr>
        <w:t xml:space="preserve"> (2012), Green HRM practices should be integrated a</w:t>
      </w:r>
      <w:r w:rsidR="004178BA" w:rsidRPr="001F26CD">
        <w:rPr>
          <w:rFonts w:ascii="Times New Roman" w:hAnsi="Times New Roman" w:cs="Times New Roman"/>
          <w:sz w:val="25"/>
          <w:szCs w:val="25"/>
        </w:rPr>
        <w:t>cross HRM procedures including:</w:t>
      </w:r>
    </w:p>
    <w:p w:rsidR="00CE7FD4"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Recruitment and Selection</w:t>
      </w:r>
    </w:p>
    <w:p w:rsidR="004178BA"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Green recruitment focuses on attracting and hiring candidates who are environmentally conscious and willing to support sustainable corporate values. </w:t>
      </w:r>
      <w:proofErr w:type="spellStart"/>
      <w:r w:rsidRPr="001F26CD">
        <w:rPr>
          <w:rFonts w:ascii="Times New Roman" w:hAnsi="Times New Roman" w:cs="Times New Roman"/>
          <w:sz w:val="25"/>
          <w:szCs w:val="25"/>
        </w:rPr>
        <w:t>Wehrmeyer</w:t>
      </w:r>
      <w:proofErr w:type="spellEnd"/>
      <w:r w:rsidRPr="001F26CD">
        <w:rPr>
          <w:rFonts w:ascii="Times New Roman" w:hAnsi="Times New Roman" w:cs="Times New Roman"/>
          <w:sz w:val="25"/>
          <w:szCs w:val="25"/>
        </w:rPr>
        <w:t xml:space="preserve"> (1996) emphasized that aligning hiring practices with environmental goals fosters a green organizational culture from the outset. </w:t>
      </w:r>
      <w:proofErr w:type="spellStart"/>
      <w:r w:rsidRPr="001F26CD">
        <w:rPr>
          <w:rFonts w:ascii="Times New Roman" w:hAnsi="Times New Roman" w:cs="Times New Roman"/>
          <w:sz w:val="25"/>
          <w:szCs w:val="25"/>
        </w:rPr>
        <w:t>Holtom</w:t>
      </w:r>
      <w:proofErr w:type="spellEnd"/>
      <w:r w:rsidRPr="001F26CD">
        <w:rPr>
          <w:rFonts w:ascii="Times New Roman" w:hAnsi="Times New Roman" w:cs="Times New Roman"/>
          <w:sz w:val="25"/>
          <w:szCs w:val="25"/>
        </w:rPr>
        <w:t xml:space="preserve"> (2008) notes that organizations with green reputations are more likely to attract top talent, particularly from environmentally-aware generational cohorts such as </w:t>
      </w:r>
      <w:proofErr w:type="spellStart"/>
      <w:r w:rsidRPr="001F26CD">
        <w:rPr>
          <w:rFonts w:ascii="Times New Roman" w:hAnsi="Times New Roman" w:cs="Times New Roman"/>
          <w:sz w:val="25"/>
          <w:szCs w:val="25"/>
        </w:rPr>
        <w:t>Millennials</w:t>
      </w:r>
      <w:proofErr w:type="spellEnd"/>
      <w:r w:rsidRPr="001F26CD">
        <w:rPr>
          <w:rFonts w:ascii="Times New Roman" w:hAnsi="Times New Roman" w:cs="Times New Roman"/>
          <w:sz w:val="25"/>
          <w:szCs w:val="25"/>
        </w:rPr>
        <w:t xml:space="preserve"> and Gen Z.</w:t>
      </w:r>
    </w:p>
    <w:p w:rsidR="004178BA"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Training and Development</w:t>
      </w:r>
    </w:p>
    <w:p w:rsidR="004178BA"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Green training equips employees with knowledge and skills to support environmental sustainability. Training content may include waste reduction, energy efficiency, and green technologies. According to </w:t>
      </w:r>
      <w:proofErr w:type="spellStart"/>
      <w:r w:rsidRPr="001F26CD">
        <w:rPr>
          <w:rFonts w:ascii="Times New Roman" w:hAnsi="Times New Roman" w:cs="Times New Roman"/>
          <w:sz w:val="25"/>
          <w:szCs w:val="25"/>
        </w:rPr>
        <w:t>Zoogah</w:t>
      </w:r>
      <w:proofErr w:type="spellEnd"/>
      <w:r w:rsidRPr="001F26CD">
        <w:rPr>
          <w:rFonts w:ascii="Times New Roman" w:hAnsi="Times New Roman" w:cs="Times New Roman"/>
          <w:sz w:val="25"/>
          <w:szCs w:val="25"/>
        </w:rPr>
        <w:t xml:space="preserve"> (2011), continuous green learning contributes to innovation and improved organizational competitiveness. Additionally, learning readiness is a vital factor, as highly motivated individuals respond more effectively to sustainability-oriented tra</w:t>
      </w:r>
      <w:r w:rsidR="004178BA" w:rsidRPr="001F26CD">
        <w:rPr>
          <w:rFonts w:ascii="Times New Roman" w:hAnsi="Times New Roman" w:cs="Times New Roman"/>
          <w:sz w:val="25"/>
          <w:szCs w:val="25"/>
        </w:rPr>
        <w:t>ining (Goldstein &amp; Ford, 2001).</w:t>
      </w:r>
    </w:p>
    <w:p w:rsidR="004178BA"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Learning and Development</w:t>
      </w:r>
    </w:p>
    <w:p w:rsidR="004178BA" w:rsidRPr="001F26CD" w:rsidRDefault="00CE7FD4" w:rsidP="001F26CD">
      <w:pPr>
        <w:pStyle w:val="ListParagraph"/>
        <w:tabs>
          <w:tab w:val="left" w:pos="3555"/>
        </w:tabs>
        <w:spacing w:line="480" w:lineRule="auto"/>
        <w:jc w:val="both"/>
        <w:rPr>
          <w:rFonts w:ascii="Times New Roman" w:hAnsi="Times New Roman" w:cs="Times New Roman"/>
          <w:sz w:val="25"/>
          <w:szCs w:val="25"/>
        </w:rPr>
      </w:pPr>
      <w:proofErr w:type="spellStart"/>
      <w:r w:rsidRPr="001F26CD">
        <w:rPr>
          <w:rFonts w:ascii="Times New Roman" w:hAnsi="Times New Roman" w:cs="Times New Roman"/>
          <w:sz w:val="25"/>
          <w:szCs w:val="25"/>
        </w:rPr>
        <w:t>Wehrmeyer</w:t>
      </w:r>
      <w:proofErr w:type="spellEnd"/>
      <w:r w:rsidRPr="001F26CD">
        <w:rPr>
          <w:rFonts w:ascii="Times New Roman" w:hAnsi="Times New Roman" w:cs="Times New Roman"/>
          <w:sz w:val="25"/>
          <w:szCs w:val="25"/>
        </w:rPr>
        <w:t xml:space="preserve"> and </w:t>
      </w:r>
      <w:proofErr w:type="spellStart"/>
      <w:r w:rsidRPr="001F26CD">
        <w:rPr>
          <w:rFonts w:ascii="Times New Roman" w:hAnsi="Times New Roman" w:cs="Times New Roman"/>
          <w:sz w:val="25"/>
          <w:szCs w:val="25"/>
        </w:rPr>
        <w:t>Vickerstaff</w:t>
      </w:r>
      <w:proofErr w:type="spellEnd"/>
      <w:r w:rsidRPr="001F26CD">
        <w:rPr>
          <w:rFonts w:ascii="Times New Roman" w:hAnsi="Times New Roman" w:cs="Times New Roman"/>
          <w:sz w:val="25"/>
          <w:szCs w:val="25"/>
        </w:rPr>
        <w:t xml:space="preserve"> (1996) identified that ineffective environmental training often results from poor needs assessments and weak managerial support. Organizations </w:t>
      </w:r>
      <w:r w:rsidRPr="001F26CD">
        <w:rPr>
          <w:rFonts w:ascii="Times New Roman" w:hAnsi="Times New Roman" w:cs="Times New Roman"/>
          <w:sz w:val="25"/>
          <w:szCs w:val="25"/>
        </w:rPr>
        <w:lastRenderedPageBreak/>
        <w:t>must design contextualized learning opportunities that align with both environmental objectives and employee readiness.</w:t>
      </w:r>
    </w:p>
    <w:p w:rsidR="00CE7FD4" w:rsidRPr="001F26CD" w:rsidRDefault="00CE7FD4" w:rsidP="00CE7FD4">
      <w:pPr>
        <w:pStyle w:val="ListParagraph"/>
        <w:numPr>
          <w:ilvl w:val="0"/>
          <w:numId w:val="16"/>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Compensation and Reward Systems</w:t>
      </w:r>
    </w:p>
    <w:p w:rsidR="00EA7828" w:rsidRDefault="00CE7FD4" w:rsidP="00EA7828">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compensation aligns incentives with environmental performance. Organizations may offer bonuses, non-monetary recognition, or career advancement for eco-friendly behaviors (Jackson et al., 2011). According to Ramus (2001), these systems reinforce positive behaviors, stimulate innovation, and attract en</w:t>
      </w:r>
      <w:r w:rsidR="00EA7828">
        <w:rPr>
          <w:rFonts w:ascii="Times New Roman" w:hAnsi="Times New Roman" w:cs="Times New Roman"/>
          <w:sz w:val="25"/>
          <w:szCs w:val="25"/>
        </w:rPr>
        <w:t>vironmentally conscious talent.</w:t>
      </w:r>
    </w:p>
    <w:p w:rsidR="00CE7FD4" w:rsidRPr="00EA7828" w:rsidRDefault="00CE7FD4" w:rsidP="00EA7828">
      <w:pPr>
        <w:pStyle w:val="ListParagraph"/>
        <w:numPr>
          <w:ilvl w:val="0"/>
          <w:numId w:val="16"/>
        </w:numPr>
        <w:tabs>
          <w:tab w:val="left" w:pos="3555"/>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Green Performance Management</w:t>
      </w:r>
    </w:p>
    <w:p w:rsidR="00CE7FD4"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From the Resource-Based View (RBV), human resources are valuable assets for achieving sustainable competitive advantage (</w:t>
      </w:r>
      <w:proofErr w:type="spellStart"/>
      <w:r w:rsidRPr="001F26CD">
        <w:rPr>
          <w:rFonts w:ascii="Times New Roman" w:hAnsi="Times New Roman" w:cs="Times New Roman"/>
          <w:sz w:val="25"/>
          <w:szCs w:val="25"/>
        </w:rPr>
        <w:t>Ployhart</w:t>
      </w:r>
      <w:proofErr w:type="spellEnd"/>
      <w:r w:rsidRPr="001F26CD">
        <w:rPr>
          <w:rFonts w:ascii="Times New Roman" w:hAnsi="Times New Roman" w:cs="Times New Roman"/>
          <w:sz w:val="25"/>
          <w:szCs w:val="25"/>
        </w:rPr>
        <w:t>, 2012). Green performance appraisals evaluate employees’ contributions to sustainability goals, encouraging accountability and continuous environmental improvement (</w:t>
      </w:r>
      <w:proofErr w:type="spellStart"/>
      <w:r w:rsidRPr="001F26CD">
        <w:rPr>
          <w:rFonts w:ascii="Times New Roman" w:hAnsi="Times New Roman" w:cs="Times New Roman"/>
          <w:sz w:val="25"/>
          <w:szCs w:val="25"/>
        </w:rPr>
        <w:t>Gerhart</w:t>
      </w:r>
      <w:proofErr w:type="spellEnd"/>
      <w:r w:rsidRPr="001F26CD">
        <w:rPr>
          <w:rFonts w:ascii="Times New Roman" w:hAnsi="Times New Roman" w:cs="Times New Roman"/>
          <w:sz w:val="25"/>
          <w:szCs w:val="25"/>
        </w:rPr>
        <w:t>, 2000; Wong, 2013).</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.3 G-HRM Best Practices</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Researchers such as </w:t>
      </w:r>
      <w:proofErr w:type="spellStart"/>
      <w:r w:rsidRPr="001F26CD">
        <w:rPr>
          <w:rFonts w:ascii="Times New Roman" w:hAnsi="Times New Roman" w:cs="Times New Roman"/>
          <w:sz w:val="25"/>
          <w:szCs w:val="25"/>
        </w:rPr>
        <w:t>Behrend</w:t>
      </w:r>
      <w:proofErr w:type="spellEnd"/>
      <w:r w:rsidRPr="001F26CD">
        <w:rPr>
          <w:rFonts w:ascii="Times New Roman" w:hAnsi="Times New Roman" w:cs="Times New Roman"/>
          <w:sz w:val="25"/>
          <w:szCs w:val="25"/>
        </w:rPr>
        <w:t xml:space="preserve"> (2009), Cohen and Taylor (2010), and Philips (2007) have outlined several green HRM practices that contribute to a sustainable organiz</w:t>
      </w:r>
      <w:r w:rsidR="004178BA" w:rsidRPr="001F26CD">
        <w:rPr>
          <w:rFonts w:ascii="Times New Roman" w:hAnsi="Times New Roman" w:cs="Times New Roman"/>
          <w:sz w:val="25"/>
          <w:szCs w:val="25"/>
        </w:rPr>
        <w:t>ational culture. These include:</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Minimizing resource usage (e.g., paperless documentation)</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Encouraging sustainable commuting (e.g., carpooling, hybrid car loans)</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Using virtual tools for recruitment and meetings</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Incentivizing green behaviors through rewards</w:t>
      </w:r>
    </w:p>
    <w:p w:rsidR="00CE7FD4"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Designing HR systems that support employee well-being and community development</w:t>
      </w:r>
    </w:p>
    <w:p w:rsidR="00CE7FD4" w:rsidRPr="001F26CD" w:rsidRDefault="00CE7FD4" w:rsidP="00CE7FD4">
      <w:pPr>
        <w:tabs>
          <w:tab w:val="left" w:pos="3555"/>
        </w:tabs>
        <w:spacing w:line="480" w:lineRule="auto"/>
        <w:jc w:val="both"/>
        <w:rPr>
          <w:rFonts w:ascii="Times New Roman" w:hAnsi="Times New Roman" w:cs="Times New Roman"/>
          <w:b/>
          <w:sz w:val="25"/>
          <w:szCs w:val="25"/>
        </w:rPr>
      </w:pP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These practices not only mitigate environmental harm but also enhance organizational image and attract sustainability</w:t>
      </w:r>
      <w:r w:rsidR="004178BA" w:rsidRPr="001F26CD">
        <w:rPr>
          <w:rFonts w:ascii="Times New Roman" w:hAnsi="Times New Roman" w:cs="Times New Roman"/>
          <w:sz w:val="25"/>
          <w:szCs w:val="25"/>
        </w:rPr>
        <w:t>-oriented customers and talent.</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.4 Strategic Aspect of Green Human Resource Management</w:t>
      </w:r>
    </w:p>
    <w:p w:rsidR="004178BA"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Strategically, G-HRM represents a paradigm shift from traditional HRM to a model that aligns organizational goals with environmental imperatives (</w:t>
      </w:r>
      <w:proofErr w:type="spellStart"/>
      <w:r w:rsidRPr="001F26CD">
        <w:rPr>
          <w:rFonts w:ascii="Times New Roman" w:hAnsi="Times New Roman" w:cs="Times New Roman"/>
          <w:sz w:val="25"/>
          <w:szCs w:val="25"/>
        </w:rPr>
        <w:t>Zoogah</w:t>
      </w:r>
      <w:proofErr w:type="spellEnd"/>
      <w:r w:rsidRPr="001F26CD">
        <w:rPr>
          <w:rFonts w:ascii="Times New Roman" w:hAnsi="Times New Roman" w:cs="Times New Roman"/>
          <w:sz w:val="25"/>
          <w:szCs w:val="25"/>
        </w:rPr>
        <w:t>, 2010). Ke</w:t>
      </w:r>
      <w:r w:rsidR="004178BA" w:rsidRPr="001F26CD">
        <w:rPr>
          <w:rFonts w:ascii="Times New Roman" w:hAnsi="Times New Roman" w:cs="Times New Roman"/>
          <w:sz w:val="25"/>
          <w:szCs w:val="25"/>
        </w:rPr>
        <w:t>y strategic dimensions include:</w:t>
      </w:r>
    </w:p>
    <w:p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workforce planning</w:t>
      </w:r>
    </w:p>
    <w:p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Sustainability-oriented leadership development</w:t>
      </w:r>
    </w:p>
    <w:p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Embedding green values in corporate governance</w:t>
      </w:r>
    </w:p>
    <w:p w:rsidR="00CE7FD4"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Designing HR architecture that supports adaptive reuse, waste management, and sustainability performance indicators</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HR departments play a vital role in embedding environmental objectives into organizational culture and business strategy, ensuring sustainability is not an isolated</w:t>
      </w:r>
      <w:r w:rsidR="004178BA" w:rsidRPr="001F26CD">
        <w:rPr>
          <w:rFonts w:ascii="Times New Roman" w:hAnsi="Times New Roman" w:cs="Times New Roman"/>
          <w:sz w:val="25"/>
          <w:szCs w:val="25"/>
        </w:rPr>
        <w:t xml:space="preserve"> initiative but a core mission.</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w:t>
      </w:r>
      <w:r w:rsidR="00CE7FD4" w:rsidRPr="001F26CD">
        <w:rPr>
          <w:rFonts w:ascii="Times New Roman" w:hAnsi="Times New Roman" w:cs="Times New Roman"/>
          <w:b/>
          <w:sz w:val="25"/>
          <w:szCs w:val="25"/>
        </w:rPr>
        <w:t>.5 Benefits of Green Human Resource Management</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Adopting G-HRM offers nu</w:t>
      </w:r>
      <w:r w:rsidR="004178BA" w:rsidRPr="001F26CD">
        <w:rPr>
          <w:rFonts w:ascii="Times New Roman" w:hAnsi="Times New Roman" w:cs="Times New Roman"/>
          <w:sz w:val="25"/>
          <w:szCs w:val="25"/>
        </w:rPr>
        <w:t>merous organizational benefits:</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Cost Efficiency: Practices such as telecommuting and energy-saving technologies reduce overhead costs (</w:t>
      </w:r>
      <w:proofErr w:type="spellStart"/>
      <w:r w:rsidRPr="001F26CD">
        <w:rPr>
          <w:rFonts w:ascii="Times New Roman" w:hAnsi="Times New Roman" w:cs="Times New Roman"/>
          <w:sz w:val="25"/>
          <w:szCs w:val="25"/>
        </w:rPr>
        <w:t>Nath</w:t>
      </w:r>
      <w:proofErr w:type="spellEnd"/>
      <w:r w:rsidRPr="001F26CD">
        <w:rPr>
          <w:rFonts w:ascii="Times New Roman" w:hAnsi="Times New Roman" w:cs="Times New Roman"/>
          <w:sz w:val="25"/>
          <w:szCs w:val="25"/>
        </w:rPr>
        <w:t>, 2011).</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Enhanced Employer Brand: Organizations seen as environmentally responsible enjoy stronger reputations and attract high-quality talent (</w:t>
      </w:r>
      <w:proofErr w:type="spellStart"/>
      <w:r w:rsidRPr="001F26CD">
        <w:rPr>
          <w:rFonts w:ascii="Times New Roman" w:hAnsi="Times New Roman" w:cs="Times New Roman"/>
          <w:sz w:val="25"/>
          <w:szCs w:val="25"/>
        </w:rPr>
        <w:t>Lii</w:t>
      </w:r>
      <w:proofErr w:type="spellEnd"/>
      <w:r w:rsidRPr="001F26CD">
        <w:rPr>
          <w:rFonts w:ascii="Times New Roman" w:hAnsi="Times New Roman" w:cs="Times New Roman"/>
          <w:sz w:val="25"/>
          <w:szCs w:val="25"/>
        </w:rPr>
        <w:t xml:space="preserve"> &amp; Lee, 2012).</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Increased Engagement and Retention: Employees are more engaged when their values align with organizational practices (</w:t>
      </w:r>
      <w:proofErr w:type="spellStart"/>
      <w:r w:rsidRPr="001F26CD">
        <w:rPr>
          <w:rFonts w:ascii="Times New Roman" w:hAnsi="Times New Roman" w:cs="Times New Roman"/>
          <w:sz w:val="25"/>
          <w:szCs w:val="25"/>
        </w:rPr>
        <w:t>Behrend</w:t>
      </w:r>
      <w:proofErr w:type="spellEnd"/>
      <w:r w:rsidRPr="001F26CD">
        <w:rPr>
          <w:rFonts w:ascii="Times New Roman" w:hAnsi="Times New Roman" w:cs="Times New Roman"/>
          <w:sz w:val="25"/>
          <w:szCs w:val="25"/>
        </w:rPr>
        <w:t xml:space="preserve"> et al., 2009).</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Public Relations and Compliance: Sustainability efforts often lead to favorable media attention and government incentives.</w:t>
      </w:r>
    </w:p>
    <w:p w:rsidR="00CE7FD4"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Commercial Opportunities: Many contracts, especially in the public sector, favor green-certified organizations.</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.6 Challenges and Limitations of G-HRM</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Despite its benefits, G-HRM f</w:t>
      </w:r>
      <w:r w:rsidR="004178BA" w:rsidRPr="001F26CD">
        <w:rPr>
          <w:rFonts w:ascii="Times New Roman" w:hAnsi="Times New Roman" w:cs="Times New Roman"/>
          <w:sz w:val="25"/>
          <w:szCs w:val="25"/>
        </w:rPr>
        <w:t>aces implementation challenges:</w:t>
      </w:r>
    </w:p>
    <w:p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High Initial Costs: Investments in green technology and training may be significant upfront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et al., 2010).</w:t>
      </w:r>
    </w:p>
    <w:p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Employee Resistance: Some employees may be indifferent or resistant to environmental changes (</w:t>
      </w:r>
      <w:proofErr w:type="spellStart"/>
      <w:r w:rsidRPr="001F26CD">
        <w:rPr>
          <w:rFonts w:ascii="Times New Roman" w:hAnsi="Times New Roman" w:cs="Times New Roman"/>
          <w:sz w:val="25"/>
          <w:szCs w:val="25"/>
        </w:rPr>
        <w:t>Mandip</w:t>
      </w:r>
      <w:proofErr w:type="spellEnd"/>
      <w:r w:rsidRPr="001F26CD">
        <w:rPr>
          <w:rFonts w:ascii="Times New Roman" w:hAnsi="Times New Roman" w:cs="Times New Roman"/>
          <w:sz w:val="25"/>
          <w:szCs w:val="25"/>
        </w:rPr>
        <w:t>, 2012).</w:t>
      </w:r>
    </w:p>
    <w:p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Unequal Market Standards: Firms adopting green practices may compete against less-regulated companies with lower costs.</w:t>
      </w:r>
    </w:p>
    <w:p w:rsidR="00CE7FD4"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Marginal Gains Perceived: Some stakeholders may view environmental efforts as symbolic unless measurable impacts are demonstrated.</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However, with strong leadership and clear communication, these challenges can be mitigated.</w:t>
      </w:r>
    </w:p>
    <w:p w:rsidR="004178BA" w:rsidRPr="001F26CD" w:rsidRDefault="004178BA" w:rsidP="001F26CD">
      <w:pPr>
        <w:rPr>
          <w:rFonts w:ascii="Times New Roman" w:hAnsi="Times New Roman" w:cs="Times New Roman"/>
          <w:b/>
          <w:sz w:val="25"/>
          <w:szCs w:val="25"/>
        </w:rPr>
      </w:pPr>
      <w:r w:rsidRPr="001F26CD">
        <w:rPr>
          <w:rFonts w:ascii="Times New Roman" w:hAnsi="Times New Roman" w:cs="Times New Roman"/>
          <w:b/>
          <w:sz w:val="25"/>
          <w:szCs w:val="25"/>
        </w:rPr>
        <w:t>2.2.7 Concept of Organizational Effectiveness in the Context of Green HRM</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Organizational effectiveness refers to the extent to which an organization successfully achieves its objectives while efficiently utilizing its resources, minimizing environmental impact, and ensuring employee well-being. In the 21st century, the pursuit of organizational effectiveness has evolved to include sustainability as a critical dimension, with Green Human Resource Management (Green HRM) emerging as a strategic approach for enhancing performance holistically (Renwick et al., 2013).</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Traditionally, organizational effectiveness has been defined as the ability of a firm to achieve its set goals (Cameron, 1986). However, this definition now requires expansion to consider how effectively organizations integrate sustainable practices into their operational and human resource functions. Effectiveness differs from efficiency; while effectiveness focuses on the achievement of goals—including environmental sustainability—efficiency refers to doing so with minimal input. Efficiency emphasizes technological aspects, whereas effectiveness in the Green HRM context includes human capital, cultural values, and ecological considerations (Daily &amp; Huang, 2001).</w:t>
      </w:r>
    </w:p>
    <w:p w:rsidR="00EA7828" w:rsidRDefault="004178BA" w:rsidP="00EA7828">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Therefore, in today’s business environment, organizational effectiveness must be assessed not just in terms of profitability or productivity, but also in terms of how well green policies and HR practices promote long-term ecological b</w:t>
      </w:r>
      <w:r w:rsidR="00EA7828">
        <w:rPr>
          <w:rFonts w:ascii="Times New Roman" w:hAnsi="Times New Roman" w:cs="Times New Roman"/>
          <w:sz w:val="25"/>
          <w:szCs w:val="25"/>
        </w:rPr>
        <w:t>alance and employee engagement.</w:t>
      </w:r>
    </w:p>
    <w:p w:rsidR="004178BA" w:rsidRPr="00EA7828" w:rsidRDefault="004178BA" w:rsidP="00EA7828">
      <w:p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2.2.8 Approaches to Organizational Effectiveness and Their Application in Green HRM</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Organizational effectiveness is a multifaceted concept that can be evaluated using several theoretical approaches. Each approach offers a unique lens through which Green HRM practices can be assessed in shaping organizational performance.</w:t>
      </w:r>
    </w:p>
    <w:p w:rsidR="004178BA" w:rsidRPr="001F26CD" w:rsidRDefault="004178BA" w:rsidP="004178BA">
      <w:pPr>
        <w:pStyle w:val="ListParagraph"/>
        <w:numPr>
          <w:ilvl w:val="0"/>
          <w:numId w:val="21"/>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 xml:space="preserve">Goal Approach: </w:t>
      </w:r>
      <w:r w:rsidRPr="001F26CD">
        <w:rPr>
          <w:rFonts w:ascii="Times New Roman" w:hAnsi="Times New Roman" w:cs="Times New Roman"/>
          <w:sz w:val="25"/>
          <w:szCs w:val="25"/>
        </w:rPr>
        <w:t>This approach emphasizes the achievement of specific organizational goals, such as profitability, productivity, and innovation. In the context of Green HRM, goal-oriented performance would include metrics such as reduced carbon footprint, employee participation in sustainability initiatives, and compliance with environmental standards (</w:t>
      </w:r>
      <w:proofErr w:type="spellStart"/>
      <w:r w:rsidRPr="001F26CD">
        <w:rPr>
          <w:rFonts w:ascii="Times New Roman" w:hAnsi="Times New Roman" w:cs="Times New Roman"/>
          <w:sz w:val="25"/>
          <w:szCs w:val="25"/>
        </w:rPr>
        <w:t>Delmas</w:t>
      </w:r>
      <w:proofErr w:type="spellEnd"/>
      <w:r w:rsidRPr="001F26CD">
        <w:rPr>
          <w:rFonts w:ascii="Times New Roman" w:hAnsi="Times New Roman" w:cs="Times New Roman"/>
          <w:sz w:val="25"/>
          <w:szCs w:val="25"/>
        </w:rPr>
        <w:t xml:space="preserve"> &amp; </w:t>
      </w:r>
      <w:proofErr w:type="spellStart"/>
      <w:r w:rsidRPr="001F26CD">
        <w:rPr>
          <w:rFonts w:ascii="Times New Roman" w:hAnsi="Times New Roman" w:cs="Times New Roman"/>
          <w:sz w:val="25"/>
          <w:szCs w:val="25"/>
        </w:rPr>
        <w:t>Pekovic</w:t>
      </w:r>
      <w:proofErr w:type="spellEnd"/>
      <w:r w:rsidRPr="001F26CD">
        <w:rPr>
          <w:rFonts w:ascii="Times New Roman" w:hAnsi="Times New Roman" w:cs="Times New Roman"/>
          <w:sz w:val="25"/>
          <w:szCs w:val="25"/>
        </w:rPr>
        <w:t>, 2013). While this approach is straightforward, it may overlook the broader societal and environmental responsibilities of the organization.</w:t>
      </w:r>
    </w:p>
    <w:p w:rsidR="004178BA" w:rsidRPr="001F26CD" w:rsidRDefault="004178BA" w:rsidP="004178BA">
      <w:pPr>
        <w:pStyle w:val="ListParagraph"/>
        <w:numPr>
          <w:ilvl w:val="0"/>
          <w:numId w:val="21"/>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 xml:space="preserve">Functional Approach: </w:t>
      </w:r>
      <w:r w:rsidRPr="001F26CD">
        <w:rPr>
          <w:rFonts w:ascii="Times New Roman" w:hAnsi="Times New Roman" w:cs="Times New Roman"/>
          <w:sz w:val="25"/>
          <w:szCs w:val="25"/>
        </w:rPr>
        <w:t>Based on Parsons' perspective, the functional approach evaluates effectiveness by analyzing the organization’s contributions to the broader social system (Parsons, 1960). Green HRM fits well into this model by embedding environmental values into HR functions such as recruitment, training, and performance appraisal. However, critics argue that organizational autonomy may limit the capacity to prioritize societal goals over economic interests.</w:t>
      </w:r>
    </w:p>
    <w:p w:rsidR="004178BA" w:rsidRPr="001F26CD" w:rsidRDefault="004178BA" w:rsidP="004178BA">
      <w:pPr>
        <w:pStyle w:val="ListParagraph"/>
        <w:numPr>
          <w:ilvl w:val="0"/>
          <w:numId w:val="21"/>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lastRenderedPageBreak/>
        <w:t>System Resource Approach</w:t>
      </w:r>
      <w:r w:rsidRPr="001F26CD">
        <w:rPr>
          <w:rFonts w:ascii="Times New Roman" w:hAnsi="Times New Roman" w:cs="Times New Roman"/>
          <w:sz w:val="25"/>
          <w:szCs w:val="25"/>
        </w:rPr>
        <w:t>: This model emphasizes the organization’s ability to acquire and utilize resources effectively from its external environment. Green HRM supports this approach by developing human capabilities and knowledge that enable the organization to respond to environmental pressures and regulatory demands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&amp; Santos, 2008). Yet, the model's reliance on resource acquisition still links back to goal achievement, limiting its distinctiveness.</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Collectively, these approaches show that there is no single method for assessing organizational effectiveness. Green HRM contributes to all three by aligning employee behavior and organizational goals with sustainable development.</w:t>
      </w:r>
    </w:p>
    <w:p w:rsidR="004178BA" w:rsidRPr="001F26CD" w:rsidRDefault="004178BA" w:rsidP="004178BA">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2.2.9 Factors Affecting Organizational Effectiveness in the Era of Green HRM</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Kurt </w:t>
      </w:r>
      <w:proofErr w:type="spellStart"/>
      <w:r w:rsidRPr="001F26CD">
        <w:rPr>
          <w:rFonts w:ascii="Times New Roman" w:hAnsi="Times New Roman" w:cs="Times New Roman"/>
          <w:sz w:val="25"/>
          <w:szCs w:val="25"/>
        </w:rPr>
        <w:t>Lewin's</w:t>
      </w:r>
      <w:proofErr w:type="spellEnd"/>
      <w:r w:rsidRPr="001F26CD">
        <w:rPr>
          <w:rFonts w:ascii="Times New Roman" w:hAnsi="Times New Roman" w:cs="Times New Roman"/>
          <w:sz w:val="25"/>
          <w:szCs w:val="25"/>
        </w:rPr>
        <w:t xml:space="preserve"> foundational systems view is extended in </w:t>
      </w:r>
      <w:proofErr w:type="spellStart"/>
      <w:r w:rsidRPr="001F26CD">
        <w:rPr>
          <w:rFonts w:ascii="Times New Roman" w:hAnsi="Times New Roman" w:cs="Times New Roman"/>
          <w:sz w:val="25"/>
          <w:szCs w:val="25"/>
        </w:rPr>
        <w:t>Rensis</w:t>
      </w:r>
      <w:proofErr w:type="spellEnd"/>
      <w:r w:rsidRPr="001F26CD">
        <w:rPr>
          <w:rFonts w:ascii="Times New Roman" w:hAnsi="Times New Roman" w:cs="Times New Roman"/>
          <w:sz w:val="25"/>
          <w:szCs w:val="25"/>
        </w:rPr>
        <w:t xml:space="preserve"> </w:t>
      </w:r>
      <w:proofErr w:type="spellStart"/>
      <w:r w:rsidRPr="001F26CD">
        <w:rPr>
          <w:rFonts w:ascii="Times New Roman" w:hAnsi="Times New Roman" w:cs="Times New Roman"/>
          <w:sz w:val="25"/>
          <w:szCs w:val="25"/>
        </w:rPr>
        <w:t>Likert’s</w:t>
      </w:r>
      <w:proofErr w:type="spellEnd"/>
      <w:r w:rsidRPr="001F26CD">
        <w:rPr>
          <w:rFonts w:ascii="Times New Roman" w:hAnsi="Times New Roman" w:cs="Times New Roman"/>
          <w:sz w:val="25"/>
          <w:szCs w:val="25"/>
        </w:rPr>
        <w:t xml:space="preserve"> model, which identifies three categories of variables that influence organizational effectiveness: causal, intervening, and end-result variables (</w:t>
      </w:r>
      <w:proofErr w:type="spellStart"/>
      <w:r w:rsidRPr="001F26CD">
        <w:rPr>
          <w:rFonts w:ascii="Times New Roman" w:hAnsi="Times New Roman" w:cs="Times New Roman"/>
          <w:sz w:val="25"/>
          <w:szCs w:val="25"/>
        </w:rPr>
        <w:t>Likert</w:t>
      </w:r>
      <w:proofErr w:type="spellEnd"/>
      <w:r w:rsidRPr="001F26CD">
        <w:rPr>
          <w:rFonts w:ascii="Times New Roman" w:hAnsi="Times New Roman" w:cs="Times New Roman"/>
          <w:sz w:val="25"/>
          <w:szCs w:val="25"/>
        </w:rPr>
        <w:t>, 1967). These are particularly relevant in evaluating the effect</w:t>
      </w:r>
      <w:r w:rsidR="001F26CD" w:rsidRPr="001F26CD">
        <w:rPr>
          <w:rFonts w:ascii="Times New Roman" w:hAnsi="Times New Roman" w:cs="Times New Roman"/>
          <w:sz w:val="25"/>
          <w:szCs w:val="25"/>
        </w:rPr>
        <w:t>iveness of Green HRM practices:</w:t>
      </w:r>
    </w:p>
    <w:p w:rsidR="001F26CD"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Causal Variables: These include leadership style, HR policies, and environmental strategies—factors directly influenced by management. Green HRM initiatives such as green recruitment, eco-conscious training, and environmentally linked rewards fall within this category. When designed effectively, they influence employee attitudes toward sustainability (Renwick et al., 2013).</w:t>
      </w:r>
    </w:p>
    <w:p w:rsidR="001F26CD"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Intervening Variables: These reflect internal states such as employee motivation, satisfaction, commitment, and readiness to support green initiatives. Green HRM enhances these variables by fostering a culture of environmental responsibility and participation in green practices (</w:t>
      </w:r>
      <w:proofErr w:type="spellStart"/>
      <w:r w:rsidRPr="001F26CD">
        <w:rPr>
          <w:rFonts w:ascii="Times New Roman" w:hAnsi="Times New Roman" w:cs="Times New Roman"/>
          <w:sz w:val="25"/>
          <w:szCs w:val="25"/>
        </w:rPr>
        <w:t>Paillé</w:t>
      </w:r>
      <w:proofErr w:type="spellEnd"/>
      <w:r w:rsidRPr="001F26CD">
        <w:rPr>
          <w:rFonts w:ascii="Times New Roman" w:hAnsi="Times New Roman" w:cs="Times New Roman"/>
          <w:sz w:val="25"/>
          <w:szCs w:val="25"/>
        </w:rPr>
        <w:t xml:space="preserve"> et al., 2014).</w:t>
      </w:r>
    </w:p>
    <w:p w:rsidR="004178BA"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End-Result Variables: These are measurable outcomes like organizational performance, reduced waste, energy efficiency, and enhanced corporate image. The integration of Green HRM practices often leads to improved productivity and cost savings, confirming the link between sustainability and overall effectiveness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et al., 2010).</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According to </w:t>
      </w:r>
      <w:proofErr w:type="spellStart"/>
      <w:r w:rsidRPr="001F26CD">
        <w:rPr>
          <w:rFonts w:ascii="Times New Roman" w:hAnsi="Times New Roman" w:cs="Times New Roman"/>
          <w:sz w:val="25"/>
          <w:szCs w:val="25"/>
        </w:rPr>
        <w:t>Likert</w:t>
      </w:r>
      <w:proofErr w:type="spellEnd"/>
      <w:r w:rsidRPr="001F26CD">
        <w:rPr>
          <w:rFonts w:ascii="Times New Roman" w:hAnsi="Times New Roman" w:cs="Times New Roman"/>
          <w:sz w:val="25"/>
          <w:szCs w:val="25"/>
        </w:rPr>
        <w:t>, improving causal variables has a ripple effect, positively shaping intervening and end-result variables. Therefore, focusing on enhancing Green HRM strategies—such as green leadership and sustainability training—can significantly influence organizational p</w:t>
      </w:r>
      <w:r w:rsidR="001F26CD" w:rsidRPr="001F26CD">
        <w:rPr>
          <w:rFonts w:ascii="Times New Roman" w:hAnsi="Times New Roman" w:cs="Times New Roman"/>
          <w:sz w:val="25"/>
          <w:szCs w:val="25"/>
        </w:rPr>
        <w:t>erformance in the 21st century.</w:t>
      </w:r>
    </w:p>
    <w:p w:rsidR="004178BA" w:rsidRPr="001F26CD" w:rsidRDefault="001F26CD" w:rsidP="004178BA">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2.3</w:t>
      </w:r>
      <w:r w:rsidR="004178BA" w:rsidRPr="001F26CD">
        <w:rPr>
          <w:rFonts w:ascii="Times New Roman" w:hAnsi="Times New Roman" w:cs="Times New Roman"/>
          <w:b/>
          <w:sz w:val="25"/>
          <w:szCs w:val="25"/>
        </w:rPr>
        <w:t xml:space="preserve"> Theoretical Review</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Several foundational management theories provide the theoretical underpinning for the study of Green HRM and its role</w:t>
      </w:r>
      <w:r w:rsidR="001F26CD" w:rsidRPr="001F26CD">
        <w:rPr>
          <w:rFonts w:ascii="Times New Roman" w:hAnsi="Times New Roman" w:cs="Times New Roman"/>
          <w:sz w:val="25"/>
          <w:szCs w:val="25"/>
        </w:rPr>
        <w:t xml:space="preserve"> in organizational performance:</w:t>
      </w:r>
    </w:p>
    <w:p w:rsidR="001F26CD" w:rsidRPr="001F26CD" w:rsidRDefault="004178BA" w:rsidP="004178BA">
      <w:pPr>
        <w:pStyle w:val="ListParagraph"/>
        <w:numPr>
          <w:ilvl w:val="0"/>
          <w:numId w:val="23"/>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Ability-Motivation-Opportunity (AMO) Theory:</w:t>
      </w:r>
    </w:p>
    <w:p w:rsid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theory posits that performance is a function of employees' abilities, motivation, and opportunities (</w:t>
      </w:r>
      <w:proofErr w:type="spellStart"/>
      <w:r w:rsidRPr="001F26CD">
        <w:rPr>
          <w:rFonts w:ascii="Times New Roman" w:hAnsi="Times New Roman" w:cs="Times New Roman"/>
          <w:sz w:val="25"/>
          <w:szCs w:val="25"/>
        </w:rPr>
        <w:t>Appelbaum</w:t>
      </w:r>
      <w:proofErr w:type="spellEnd"/>
      <w:r w:rsidRPr="001F26CD">
        <w:rPr>
          <w:rFonts w:ascii="Times New Roman" w:hAnsi="Times New Roman" w:cs="Times New Roman"/>
          <w:sz w:val="25"/>
          <w:szCs w:val="25"/>
        </w:rPr>
        <w:t xml:space="preserve"> et al., 2000). Green HRM leverages this by enhancing </w:t>
      </w:r>
      <w:r w:rsidRPr="001F26CD">
        <w:rPr>
          <w:rFonts w:ascii="Times New Roman" w:hAnsi="Times New Roman" w:cs="Times New Roman"/>
          <w:sz w:val="25"/>
          <w:szCs w:val="25"/>
        </w:rPr>
        <w:lastRenderedPageBreak/>
        <w:t>employee competencies through green training, boosting motivation via recognition of eco-friendly behavior, and offering opportunities to eng</w:t>
      </w:r>
      <w:r w:rsidR="001F26CD" w:rsidRPr="001F26CD">
        <w:rPr>
          <w:rFonts w:ascii="Times New Roman" w:hAnsi="Times New Roman" w:cs="Times New Roman"/>
          <w:sz w:val="25"/>
          <w:szCs w:val="25"/>
        </w:rPr>
        <w:t>age in environmental practices.</w:t>
      </w:r>
    </w:p>
    <w:p w:rsidR="001F26CD" w:rsidRPr="001F26CD" w:rsidRDefault="004178BA" w:rsidP="001F26CD">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Resource-Based View (RBV):</w:t>
      </w:r>
    </w:p>
    <w:p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According to RBV, organizations gain competitive advantage through unique internal resources (Barney, 1991). Green HRM transforms human resources into strategic assets by fostering environmental capabilities, green innovation, and ecological awareness among employees, thereby enhancing performance.</w:t>
      </w:r>
    </w:p>
    <w:p w:rsidR="001F26CD" w:rsidRPr="001F26CD" w:rsidRDefault="004178BA" w:rsidP="004178BA">
      <w:pPr>
        <w:pStyle w:val="ListParagraph"/>
        <w:numPr>
          <w:ilvl w:val="0"/>
          <w:numId w:val="23"/>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Stakeholder Theory:</w:t>
      </w:r>
      <w:r w:rsidR="001F26CD" w:rsidRPr="001F26CD">
        <w:rPr>
          <w:rFonts w:ascii="Times New Roman" w:hAnsi="Times New Roman" w:cs="Times New Roman"/>
          <w:b/>
          <w:sz w:val="25"/>
          <w:szCs w:val="25"/>
        </w:rPr>
        <w:t xml:space="preserve"> </w:t>
      </w:r>
    </w:p>
    <w:p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theory emphasizes the importance of balancing the interests of various stakeholders. Green HRM aligns with this by integrating environmental and social concerns into HR policies, ensuring that employees, the community, and the environment are actively considered (Freeman, 1984).</w:t>
      </w:r>
    </w:p>
    <w:p w:rsidR="001F26CD" w:rsidRPr="001F26CD" w:rsidRDefault="004178BA" w:rsidP="004178BA">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Systems Theory:</w:t>
      </w:r>
    </w:p>
    <w:p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theory views organizations as systems with interconnected parts. Green HRM reflects systems thinking by linking environmental goals with HR functions, ensuring alignment between sustainability objectives and organizational strategies (</w:t>
      </w:r>
      <w:proofErr w:type="spellStart"/>
      <w:r w:rsidRPr="001F26CD">
        <w:rPr>
          <w:rFonts w:ascii="Times New Roman" w:hAnsi="Times New Roman" w:cs="Times New Roman"/>
          <w:sz w:val="25"/>
          <w:szCs w:val="25"/>
        </w:rPr>
        <w:t>Senge</w:t>
      </w:r>
      <w:proofErr w:type="spellEnd"/>
      <w:r w:rsidRPr="001F26CD">
        <w:rPr>
          <w:rFonts w:ascii="Times New Roman" w:hAnsi="Times New Roman" w:cs="Times New Roman"/>
          <w:sz w:val="25"/>
          <w:szCs w:val="25"/>
        </w:rPr>
        <w:t>, 2006).</w:t>
      </w:r>
    </w:p>
    <w:p w:rsidR="001F26CD" w:rsidRPr="001F26CD" w:rsidRDefault="004178BA" w:rsidP="004178BA">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Process Theory:</w:t>
      </w:r>
    </w:p>
    <w:p w:rsidR="004178BA"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Process theory explains how organizational practices lead to outcomes. Green HRM practices such as eco-conscious recruitment, performance appraisals linked to </w:t>
      </w:r>
      <w:r w:rsidRPr="001F26CD">
        <w:rPr>
          <w:rFonts w:ascii="Times New Roman" w:hAnsi="Times New Roman" w:cs="Times New Roman"/>
          <w:sz w:val="25"/>
          <w:szCs w:val="25"/>
        </w:rPr>
        <w:lastRenderedPageBreak/>
        <w:t>sustainability goals, and green reward systems are processes that shape pro-environmental behavior and, ultimately, organizational performance (Jackson et al., 2011).</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These theories collectively demonstrate how Green HRM serves as a catalyst for achieving superior organizational performance, not only through operational improvements but also through strategic alignment with sustainability imperatives.</w:t>
      </w:r>
    </w:p>
    <w:p w:rsidR="001F26CD" w:rsidRPr="001F26CD" w:rsidRDefault="001F26CD" w:rsidP="001F26CD">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2.4</w:t>
      </w:r>
      <w:r w:rsidR="002C5934" w:rsidRPr="001F26CD">
        <w:rPr>
          <w:rFonts w:ascii="Times New Roman" w:hAnsi="Times New Roman" w:cs="Times New Roman"/>
          <w:b/>
          <w:sz w:val="25"/>
          <w:szCs w:val="25"/>
        </w:rPr>
        <w:tab/>
      </w:r>
      <w:r w:rsidRPr="001F26CD">
        <w:rPr>
          <w:rFonts w:ascii="Times New Roman" w:hAnsi="Times New Roman" w:cs="Times New Roman"/>
          <w:b/>
          <w:sz w:val="25"/>
          <w:szCs w:val="25"/>
        </w:rPr>
        <w:t>Empirical Review</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 increasing urgency of environmental sustainability in the 21st century has transformed Green Human Resource Management (Green HRM) from a peripheral organizational concern into a strategic imperative. Green HRM involves the integration of environmental management into human resource policies and practices to promote sustainable workplace behavior and enhance organizational performance. As organizations seek to align with global environmental goals, the implementation of Green HRM practices has become vital in shaping their long-term viability and competitiveness. This chapter critically reviews empirical and theoretical literature surrounding Green HRM and its role in influencing organizational performance, using an analytical framework supported by three key theories: Institutional Theory, Resource-Based View (RBV), and Systems Theory.</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According to the analytical HRM framework proposed by </w:t>
      </w:r>
      <w:proofErr w:type="spellStart"/>
      <w:r w:rsidRPr="001F26CD">
        <w:rPr>
          <w:rFonts w:ascii="Times New Roman" w:hAnsi="Times New Roman" w:cs="Times New Roman"/>
          <w:sz w:val="25"/>
          <w:szCs w:val="25"/>
        </w:rPr>
        <w:t>Boxall</w:t>
      </w:r>
      <w:proofErr w:type="spellEnd"/>
      <w:r w:rsidRPr="001F26CD">
        <w:rPr>
          <w:rFonts w:ascii="Times New Roman" w:hAnsi="Times New Roman" w:cs="Times New Roman"/>
          <w:sz w:val="25"/>
          <w:szCs w:val="25"/>
        </w:rPr>
        <w:t xml:space="preserve"> (2007), understanding the “what,” “why,” and “how” of Green HRM is essential for linking HR strategies to broader </w:t>
      </w:r>
      <w:r w:rsidRPr="001F26CD">
        <w:rPr>
          <w:rFonts w:ascii="Times New Roman" w:hAnsi="Times New Roman" w:cs="Times New Roman"/>
          <w:sz w:val="25"/>
          <w:szCs w:val="25"/>
        </w:rPr>
        <w:lastRenderedPageBreak/>
        <w:t>organizational goals. This framework provides a useful lens for examining how Green HRM contributes to environmental sustainability and organizational performance. The growing literature on Green HRM highlights its relevance in addressing both internal organizational needs and external pressures, thereby reinforcing its role within strategic HRM discourse.</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From an external perspective, Institutional Theory offers valuable insights into why organizations adopt Green HRM practices. This theory posits that organizations are influenced by external institutional pressures, including regulations, societal norms, and stakeholder expectations (DiMaggio &amp; Powell, 1983). In the context of environmental management, these forces act as catalysts that drive organizations to adopt environmentally responsible behaviors. Studies by Russo and </w:t>
      </w:r>
      <w:proofErr w:type="spellStart"/>
      <w:r w:rsidRPr="001F26CD">
        <w:rPr>
          <w:rFonts w:ascii="Times New Roman" w:hAnsi="Times New Roman" w:cs="Times New Roman"/>
          <w:sz w:val="25"/>
          <w:szCs w:val="25"/>
        </w:rPr>
        <w:t>Fouts</w:t>
      </w:r>
      <w:proofErr w:type="spellEnd"/>
      <w:r w:rsidRPr="001F26CD">
        <w:rPr>
          <w:rFonts w:ascii="Times New Roman" w:hAnsi="Times New Roman" w:cs="Times New Roman"/>
          <w:sz w:val="25"/>
          <w:szCs w:val="25"/>
        </w:rPr>
        <w:t xml:space="preserve"> (1997) have shown that regulatory and social pressures play a crucial role in shaping environmentally friendly organizational practices. While some critics argue that Institutional Theory treats organizations as passive entities reacting to institutional demands (</w:t>
      </w:r>
      <w:proofErr w:type="spellStart"/>
      <w:r w:rsidRPr="001F26CD">
        <w:rPr>
          <w:rFonts w:ascii="Times New Roman" w:hAnsi="Times New Roman" w:cs="Times New Roman"/>
          <w:sz w:val="25"/>
          <w:szCs w:val="25"/>
        </w:rPr>
        <w:t>Perrow</w:t>
      </w:r>
      <w:proofErr w:type="spellEnd"/>
      <w:r w:rsidRPr="001F26CD">
        <w:rPr>
          <w:rFonts w:ascii="Times New Roman" w:hAnsi="Times New Roman" w:cs="Times New Roman"/>
          <w:sz w:val="25"/>
          <w:szCs w:val="25"/>
        </w:rPr>
        <w:t>, 1986; Oliver, 1997), it nonetheless highlights the importance of aligning organizational practices with environmental expectations. Moreover, the theory’s alignment with the ecosystem perspective underscores the need for a “goodness-of-fit” between organizational processes and the physical and social environment (</w:t>
      </w:r>
      <w:proofErr w:type="spellStart"/>
      <w:r w:rsidRPr="001F26CD">
        <w:rPr>
          <w:rFonts w:ascii="Times New Roman" w:hAnsi="Times New Roman" w:cs="Times New Roman"/>
          <w:sz w:val="25"/>
          <w:szCs w:val="25"/>
        </w:rPr>
        <w:t>Germain</w:t>
      </w:r>
      <w:proofErr w:type="spellEnd"/>
      <w:r w:rsidRPr="001F26CD">
        <w:rPr>
          <w:rFonts w:ascii="Times New Roman" w:hAnsi="Times New Roman" w:cs="Times New Roman"/>
          <w:sz w:val="25"/>
          <w:szCs w:val="25"/>
        </w:rPr>
        <w:t xml:space="preserve"> &amp; </w:t>
      </w:r>
      <w:proofErr w:type="spellStart"/>
      <w:r w:rsidRPr="001F26CD">
        <w:rPr>
          <w:rFonts w:ascii="Times New Roman" w:hAnsi="Times New Roman" w:cs="Times New Roman"/>
          <w:sz w:val="25"/>
          <w:szCs w:val="25"/>
        </w:rPr>
        <w:t>Gitterman</w:t>
      </w:r>
      <w:proofErr w:type="spellEnd"/>
      <w:r w:rsidRPr="001F26CD">
        <w:rPr>
          <w:rFonts w:ascii="Times New Roman" w:hAnsi="Times New Roman" w:cs="Times New Roman"/>
          <w:sz w:val="25"/>
          <w:szCs w:val="25"/>
        </w:rPr>
        <w:t>, 1995; Greene, 1999). When there is a mismatch, Green HRM emerges as a corrective mechanism to enhance alignment and ensure long-term sustainability. Therefore, from the lens of Institutional Theory, the need for Green HRM arises as a response to increasing external demands for responsible corporate behavior.</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 xml:space="preserve">In contrast, the Resource-Based View (RBV) offers an internal perspective on Green HRM by emphasizing the strategic value of human capital in achieving sustainable competitive advantage. RBV argues that organizations gain long-term performance benefits by developing resources that are valuable, rare, inimitable, and non-substitutable (Barney, 1991; </w:t>
      </w:r>
      <w:proofErr w:type="spellStart"/>
      <w:r w:rsidRPr="001F26CD">
        <w:rPr>
          <w:rFonts w:ascii="Times New Roman" w:hAnsi="Times New Roman" w:cs="Times New Roman"/>
          <w:sz w:val="25"/>
          <w:szCs w:val="25"/>
        </w:rPr>
        <w:t>Wernerfelt</w:t>
      </w:r>
      <w:proofErr w:type="spellEnd"/>
      <w:r w:rsidRPr="001F26CD">
        <w:rPr>
          <w:rFonts w:ascii="Times New Roman" w:hAnsi="Times New Roman" w:cs="Times New Roman"/>
          <w:sz w:val="25"/>
          <w:szCs w:val="25"/>
        </w:rPr>
        <w:t xml:space="preserve">, 1984). In this context, employee green knowledge, attitudes, competencies, and behaviors become critical internal resources that contribute to an organization's environmental performance. Hart (1995) and Sharma and </w:t>
      </w:r>
      <w:proofErr w:type="spellStart"/>
      <w:r w:rsidRPr="001F26CD">
        <w:rPr>
          <w:rFonts w:ascii="Times New Roman" w:hAnsi="Times New Roman" w:cs="Times New Roman"/>
          <w:sz w:val="25"/>
          <w:szCs w:val="25"/>
        </w:rPr>
        <w:t>Vredenburg</w:t>
      </w:r>
      <w:proofErr w:type="spellEnd"/>
      <w:r w:rsidRPr="001F26CD">
        <w:rPr>
          <w:rFonts w:ascii="Times New Roman" w:hAnsi="Times New Roman" w:cs="Times New Roman"/>
          <w:sz w:val="25"/>
          <w:szCs w:val="25"/>
        </w:rPr>
        <w:t xml:space="preserve"> (1998) contend that firms must build foundational environmental capabilities—such as pollution prevention and eco-efficiency—through targeted HR practices like green training and development. </w:t>
      </w:r>
      <w:proofErr w:type="spellStart"/>
      <w:r w:rsidRPr="001F26CD">
        <w:rPr>
          <w:rFonts w:ascii="Times New Roman" w:hAnsi="Times New Roman" w:cs="Times New Roman"/>
          <w:sz w:val="25"/>
          <w:szCs w:val="25"/>
        </w:rPr>
        <w:t>Christmann</w:t>
      </w:r>
      <w:proofErr w:type="spellEnd"/>
      <w:r w:rsidRPr="001F26CD">
        <w:rPr>
          <w:rFonts w:ascii="Times New Roman" w:hAnsi="Times New Roman" w:cs="Times New Roman"/>
          <w:sz w:val="25"/>
          <w:szCs w:val="25"/>
        </w:rPr>
        <w:t xml:space="preserve"> (2000) further argues that without internal environmental competencies, organizations are unlikely to achieve their strategic sustainability goals.</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HRM practices such as green recruitment, environmental training, green performance management, and employee engagement in sustainability initiatives help to develop these essential competencies (</w:t>
      </w:r>
      <w:proofErr w:type="spellStart"/>
      <w:r w:rsidRPr="001F26CD">
        <w:rPr>
          <w:rFonts w:ascii="Times New Roman" w:hAnsi="Times New Roman" w:cs="Times New Roman"/>
          <w:sz w:val="25"/>
          <w:szCs w:val="25"/>
        </w:rPr>
        <w:t>Arulrajah</w:t>
      </w:r>
      <w:proofErr w:type="spellEnd"/>
      <w:r w:rsidRPr="001F26CD">
        <w:rPr>
          <w:rFonts w:ascii="Times New Roman" w:hAnsi="Times New Roman" w:cs="Times New Roman"/>
          <w:sz w:val="25"/>
          <w:szCs w:val="25"/>
        </w:rPr>
        <w:t xml:space="preserve">, </w:t>
      </w:r>
      <w:proofErr w:type="spellStart"/>
      <w:r w:rsidRPr="001F26CD">
        <w:rPr>
          <w:rFonts w:ascii="Times New Roman" w:hAnsi="Times New Roman" w:cs="Times New Roman"/>
          <w:sz w:val="25"/>
          <w:szCs w:val="25"/>
        </w:rPr>
        <w:t>Opatha</w:t>
      </w:r>
      <w:proofErr w:type="spellEnd"/>
      <w:r w:rsidRPr="001F26CD">
        <w:rPr>
          <w:rFonts w:ascii="Times New Roman" w:hAnsi="Times New Roman" w:cs="Times New Roman"/>
          <w:sz w:val="25"/>
          <w:szCs w:val="25"/>
        </w:rPr>
        <w:t xml:space="preserve"> &amp; </w:t>
      </w:r>
      <w:proofErr w:type="spellStart"/>
      <w:r w:rsidRPr="001F26CD">
        <w:rPr>
          <w:rFonts w:ascii="Times New Roman" w:hAnsi="Times New Roman" w:cs="Times New Roman"/>
          <w:sz w:val="25"/>
          <w:szCs w:val="25"/>
        </w:rPr>
        <w:t>Nawaratne</w:t>
      </w:r>
      <w:proofErr w:type="spellEnd"/>
      <w:r w:rsidRPr="001F26CD">
        <w:rPr>
          <w:rFonts w:ascii="Times New Roman" w:hAnsi="Times New Roman" w:cs="Times New Roman"/>
          <w:sz w:val="25"/>
          <w:szCs w:val="25"/>
        </w:rPr>
        <w:t xml:space="preserve">, 2015). These practices not only shape environmentally conscious behaviors among employees but also enhance the organization’s overall environmental performance. Scholars like Wright, </w:t>
      </w:r>
      <w:proofErr w:type="spellStart"/>
      <w:r w:rsidRPr="001F26CD">
        <w:rPr>
          <w:rFonts w:ascii="Times New Roman" w:hAnsi="Times New Roman" w:cs="Times New Roman"/>
          <w:sz w:val="25"/>
          <w:szCs w:val="25"/>
        </w:rPr>
        <w:t>Dunford</w:t>
      </w:r>
      <w:proofErr w:type="spellEnd"/>
      <w:r w:rsidRPr="001F26CD">
        <w:rPr>
          <w:rFonts w:ascii="Times New Roman" w:hAnsi="Times New Roman" w:cs="Times New Roman"/>
          <w:sz w:val="25"/>
          <w:szCs w:val="25"/>
        </w:rPr>
        <w:t>, and Snell (2001) have applied RBV to strategic HRM, suggesting that employee skills and behaviors are key contributors to competitive advantage. Extending this logic to Green HRM, it can be argued that green-oriented human capital is a core strategic asset that can significantly influence organizational outcomes in a sustainability-driven world.</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Complementing both the institutional and resource-based perspectives is Systems Theory, which offers a holistic view of organizations as open systems that interact dynamically with their external environments (Katz &amp; Kahn, 1978). In this framework, human resource management is viewed as a subsystem responsible for acquiring, developing, motivating, and retaining talent in alignment with the organization’s strategic objectives (Jackson &amp; Schuler, 1995). Green HRM, within this model, serves as a conduit for translating environmental goals into actionable HR strategies that enhance both employee and organizational outcomes. By integrating environmental considerations into HR functions, organizations can generate positive feedback loops that reinforce their sustainability goals and promote continuous improvement.</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 systems perspective also emphasizes the need for adaptability and proactive change management. HR managers must continuously adjust HR practices to align with environmental changes, ensuring that the organization remains resilient and forward-thinking. This involves developing flexible HR structures, fostering a culture of environmental awareness, and promoting continuous learning to support green initiatives. In this way, Green HRM becomes instrumental not only in enhancing environmental performance but also in ensuring the long-term sustainability and adaptability of the entire organizational system.</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Taken together, these theoretical perspectives provide a robust foundation for understanding the strategic importance of Green HRM in the 21st century. Institutional Theory explains the external pressures that necessitate green practices, RBV highlights the internal value of green </w:t>
      </w:r>
      <w:r w:rsidRPr="001F26CD">
        <w:rPr>
          <w:rFonts w:ascii="Times New Roman" w:hAnsi="Times New Roman" w:cs="Times New Roman"/>
          <w:sz w:val="25"/>
          <w:szCs w:val="25"/>
        </w:rPr>
        <w:lastRenderedPageBreak/>
        <w:t>human capital, and Systems Theory underscores the importance of integration and adaptability. Through the combined lens of these theories, it becomes clear that Green HRM is not merely an ethical or compliance-based initiative but a strategic approach that shapes organizational performance by aligning environmental objectives with human resource strategies.</w:t>
      </w:r>
    </w:p>
    <w:p w:rsidR="00355AB5"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 summary, the empirical and theoretical literature strongly supports the assertion that Green HRM plays a critical role in shaping organizational performance in the 21st century. By responding to external environmental pressures, developing strategic internal capabilities, and fostering systemic integration of sustainable practices, Green HRM contributes meaningfully to an organization’s environmental and competitive success. As environmental challenges continue to intensify, organizations that embed sustainability into their human resource strategies will be better positioned to thrive in an increasingly eco-conscious global economy.</w:t>
      </w:r>
    </w:p>
    <w:p w:rsidR="002E671C" w:rsidRPr="00376F11" w:rsidRDefault="001F26CD" w:rsidP="00EA7828">
      <w:pPr>
        <w:rPr>
          <w:rFonts w:ascii="Times New Roman" w:hAnsi="Times New Roman" w:cs="Times New Roman"/>
          <w:b/>
          <w:sz w:val="26"/>
          <w:szCs w:val="26"/>
        </w:rPr>
      </w:pPr>
      <w:r>
        <w:rPr>
          <w:rFonts w:ascii="Times New Roman" w:hAnsi="Times New Roman" w:cs="Times New Roman"/>
          <w:b/>
          <w:sz w:val="26"/>
          <w:szCs w:val="26"/>
        </w:rPr>
        <w:br w:type="page"/>
      </w:r>
    </w:p>
    <w:p w:rsidR="002E671C" w:rsidRPr="00376F11" w:rsidRDefault="002E671C">
      <w:pPr>
        <w:spacing w:line="480" w:lineRule="auto"/>
        <w:jc w:val="both"/>
        <w:rPr>
          <w:rFonts w:ascii="Times New Roman" w:hAnsi="Times New Roman" w:cs="Times New Roman"/>
          <w:b/>
          <w:sz w:val="26"/>
          <w:szCs w:val="26"/>
        </w:rPr>
      </w:pPr>
    </w:p>
    <w:p w:rsidR="002E671C" w:rsidRPr="00376F11" w:rsidRDefault="002C5934">
      <w:pPr>
        <w:spacing w:line="480" w:lineRule="auto"/>
        <w:jc w:val="center"/>
        <w:rPr>
          <w:rFonts w:ascii="Times New Roman" w:hAnsi="Times New Roman" w:cs="Times New Roman"/>
          <w:sz w:val="26"/>
          <w:szCs w:val="26"/>
        </w:rPr>
      </w:pPr>
      <w:r w:rsidRPr="00376F11">
        <w:rPr>
          <w:rFonts w:ascii="Times New Roman" w:hAnsi="Times New Roman" w:cs="Times New Roman"/>
          <w:b/>
          <w:sz w:val="26"/>
          <w:szCs w:val="26"/>
        </w:rPr>
        <w:t>CHAPTER THREE</w:t>
      </w:r>
    </w:p>
    <w:p w:rsidR="00851884" w:rsidRDefault="002C5934" w:rsidP="0085188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METHODOLOGY</w:t>
      </w:r>
    </w:p>
    <w:p w:rsidR="00851884" w:rsidRPr="00851884" w:rsidRDefault="001F26CD" w:rsidP="00851884">
      <w:pPr>
        <w:pStyle w:val="ListParagraph"/>
        <w:numPr>
          <w:ilvl w:val="1"/>
          <w:numId w:val="13"/>
        </w:numPr>
        <w:spacing w:line="480" w:lineRule="auto"/>
        <w:rPr>
          <w:rFonts w:ascii="Times New Roman" w:hAnsi="Times New Roman" w:cs="Times New Roman"/>
          <w:b/>
          <w:sz w:val="26"/>
          <w:szCs w:val="26"/>
        </w:rPr>
      </w:pPr>
      <w:r w:rsidRPr="00851884">
        <w:rPr>
          <w:rFonts w:ascii="Times New Roman" w:hAnsi="Times New Roman" w:cs="Times New Roman"/>
          <w:b/>
          <w:sz w:val="25"/>
          <w:szCs w:val="25"/>
        </w:rPr>
        <w:t>Introduction</w:t>
      </w:r>
    </w:p>
    <w:p w:rsidR="001F26CD" w:rsidRPr="00851884" w:rsidRDefault="001F26CD" w:rsidP="00851884">
      <w:pPr>
        <w:spacing w:line="480" w:lineRule="auto"/>
        <w:rPr>
          <w:rFonts w:ascii="Times New Roman" w:hAnsi="Times New Roman" w:cs="Times New Roman"/>
          <w:b/>
          <w:sz w:val="26"/>
          <w:szCs w:val="26"/>
        </w:rPr>
      </w:pPr>
      <w:r w:rsidRPr="00851884">
        <w:rPr>
          <w:rFonts w:ascii="Times New Roman" w:hAnsi="Times New Roman" w:cs="Times New Roman"/>
          <w:sz w:val="25"/>
          <w:szCs w:val="25"/>
        </w:rPr>
        <w:t xml:space="preserve">Research methodology refers to the systematic procedures and techniques employed in identifying, selecting, processing, and analyzing information relevant to a research topic (Creswell, 2014). This chapter outlines the research design, population of the study, sampling techniques, sample size, research instruments, validity and reliability of the instrument, sources of data collection, method of data analysis, ethical considerations, and expected outcomes. The methodological framework is designed to investigate the role of Green Human Resource Management (GHRM) practices in shaping organizational performance in the 21st century, with a specific focus on Guaranty Trust Bank (GTB) branches in Ilorin, </w:t>
      </w:r>
      <w:proofErr w:type="spellStart"/>
      <w:r w:rsidRPr="00851884">
        <w:rPr>
          <w:rFonts w:ascii="Times New Roman" w:hAnsi="Times New Roman" w:cs="Times New Roman"/>
          <w:sz w:val="25"/>
          <w:szCs w:val="25"/>
        </w:rPr>
        <w:t>Kwara</w:t>
      </w:r>
      <w:proofErr w:type="spellEnd"/>
      <w:r w:rsidRPr="00851884">
        <w:rPr>
          <w:rFonts w:ascii="Times New Roman" w:hAnsi="Times New Roman" w:cs="Times New Roman"/>
          <w:sz w:val="25"/>
          <w:szCs w:val="25"/>
        </w:rPr>
        <w:t xml:space="preserve"> State.</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3.2 Research Design</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This study adopts a descriptive survey research design. This design is appropriate for examining the attributes and behaviors of variables in their natural settings and is commonly used to identify patterns or relationships between variables (Saunders et al., 2016). In this context, the study investigates the role of Green Human Resource Management (GHRM) practices—such as green recruitment, green training, and green performance appraisal—as the </w:t>
      </w:r>
      <w:r w:rsidRPr="00851884">
        <w:rPr>
          <w:rFonts w:ascii="Times New Roman" w:hAnsi="Times New Roman" w:cs="Times New Roman"/>
          <w:sz w:val="25"/>
          <w:szCs w:val="25"/>
        </w:rPr>
        <w:lastRenderedPageBreak/>
        <w:t>independent variables, while organizational performance—measured in terms of efficiency, employee engagement, and environmental compliance—serves as the dependent variable.</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descriptive survey method is suitable for gathering empirical data from a large sample, which allows for statistical analysis to identify correlations or causality between GHRM practices and organizational outcomes (</w:t>
      </w:r>
      <w:proofErr w:type="spellStart"/>
      <w:r w:rsidRPr="00851884">
        <w:rPr>
          <w:rFonts w:ascii="Times New Roman" w:hAnsi="Times New Roman" w:cs="Times New Roman"/>
          <w:sz w:val="25"/>
          <w:szCs w:val="25"/>
        </w:rPr>
        <w:t>Zikmund</w:t>
      </w:r>
      <w:proofErr w:type="spellEnd"/>
      <w:r w:rsidRPr="00851884">
        <w:rPr>
          <w:rFonts w:ascii="Times New Roman" w:hAnsi="Times New Roman" w:cs="Times New Roman"/>
          <w:sz w:val="25"/>
          <w:szCs w:val="25"/>
        </w:rPr>
        <w:t xml:space="preserve"> et al., 2010). Thus, this design enables the researcher to present an informed view of how GHRM contributes to organizational sustainability and performance in the 21st century.</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3.3 Population of the Study</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According to </w:t>
      </w:r>
      <w:proofErr w:type="spellStart"/>
      <w:r w:rsidRPr="00851884">
        <w:rPr>
          <w:rFonts w:ascii="Times New Roman" w:hAnsi="Times New Roman" w:cs="Times New Roman"/>
          <w:sz w:val="25"/>
          <w:szCs w:val="25"/>
        </w:rPr>
        <w:t>Ankrah</w:t>
      </w:r>
      <w:proofErr w:type="spellEnd"/>
      <w:r w:rsidRPr="00851884">
        <w:rPr>
          <w:rFonts w:ascii="Times New Roman" w:hAnsi="Times New Roman" w:cs="Times New Roman"/>
          <w:sz w:val="25"/>
          <w:szCs w:val="25"/>
        </w:rPr>
        <w:t xml:space="preserve"> (2014), clearly defining the population is essential for accurate and representative sampling. The population for this study comprises both management and non-management staff of Guaranty Trust Bank branches located in Ilorin, </w:t>
      </w:r>
      <w:proofErr w:type="spellStart"/>
      <w:r w:rsidRPr="00851884">
        <w:rPr>
          <w:rFonts w:ascii="Times New Roman" w:hAnsi="Times New Roman" w:cs="Times New Roman"/>
          <w:sz w:val="25"/>
          <w:szCs w:val="25"/>
        </w:rPr>
        <w:t>Kwara</w:t>
      </w:r>
      <w:proofErr w:type="spellEnd"/>
      <w:r w:rsidRPr="00851884">
        <w:rPr>
          <w:rFonts w:ascii="Times New Roman" w:hAnsi="Times New Roman" w:cs="Times New Roman"/>
          <w:sz w:val="25"/>
          <w:szCs w:val="25"/>
        </w:rPr>
        <w:t xml:space="preserve"> State. The rationale for this selection is based on the assumption that both categories of staff interact with or are affected by HRM policies and practices. A total of 50 employees will be considered as the study population, ensuring a balanced representation of perspectives.</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3.4 Sampling Techniques and Sample Size</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Sampling is the process of selecting a portion of the population to represent the whole. As noted by </w:t>
      </w:r>
      <w:proofErr w:type="spellStart"/>
      <w:r w:rsidRPr="00851884">
        <w:rPr>
          <w:rFonts w:ascii="Times New Roman" w:hAnsi="Times New Roman" w:cs="Times New Roman"/>
          <w:sz w:val="25"/>
          <w:szCs w:val="25"/>
        </w:rPr>
        <w:t>Nwana</w:t>
      </w:r>
      <w:proofErr w:type="spellEnd"/>
      <w:r w:rsidRPr="00851884">
        <w:rPr>
          <w:rFonts w:ascii="Times New Roman" w:hAnsi="Times New Roman" w:cs="Times New Roman"/>
          <w:sz w:val="25"/>
          <w:szCs w:val="25"/>
        </w:rPr>
        <w:t xml:space="preserve"> (2005), an appropriate sampling method ensures that the selected sample accurately reflects the characteristics of the entire population. For this study, convenience sampling was initially applied to identify accessible participants. Subsequently, a stratified </w:t>
      </w:r>
      <w:r w:rsidRPr="00851884">
        <w:rPr>
          <w:rFonts w:ascii="Times New Roman" w:hAnsi="Times New Roman" w:cs="Times New Roman"/>
          <w:sz w:val="25"/>
          <w:szCs w:val="25"/>
        </w:rPr>
        <w:lastRenderedPageBreak/>
        <w:t>random sampling technique was employed to ensure that both management and non-management categories were adequately represented.</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stratified approach is suitable due to the heterogeneous nature of the study population, as it helps to ensure inclusion of diverse viewpoints across hierarchical levels in the organization. The sample size was determined using statistical regression modeling techniques, appropriate for studies exploring relationships between multiple variables.</w:t>
      </w:r>
    </w:p>
    <w:p w:rsidR="00851884" w:rsidRPr="00851884" w:rsidRDefault="00851884" w:rsidP="00851884">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3.5 Method of Data Collection</w:t>
      </w:r>
    </w:p>
    <w:p w:rsidR="00851884" w:rsidRPr="00851884" w:rsidRDefault="00851884" w:rsidP="00851884">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For the purpose of this study, primary data was collected from both management and non-management staff within the selected organization. The primary instrument for data collection was a structured, self-administered questionnaire, which was designed to gather relevant information on various dimensions of Green Human Resource Management (GHRM) practices and their perceived impact on organizational performance in the 21st century.</w:t>
      </w:r>
    </w:p>
    <w:p w:rsidR="00851884" w:rsidRPr="00851884" w:rsidRDefault="00851884" w:rsidP="00851884">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drop-and-pick method was employed to distribute and retrieve the questionnaires. This method was considered appropriate due to its effectiveness in improving response rates and minimizing the risk of data loss (</w:t>
      </w:r>
      <w:proofErr w:type="spellStart"/>
      <w:r w:rsidRPr="00851884">
        <w:rPr>
          <w:rFonts w:ascii="Times New Roman" w:hAnsi="Times New Roman" w:cs="Times New Roman"/>
          <w:sz w:val="25"/>
          <w:szCs w:val="25"/>
        </w:rPr>
        <w:t>Bryman</w:t>
      </w:r>
      <w:proofErr w:type="spellEnd"/>
      <w:r w:rsidRPr="00851884">
        <w:rPr>
          <w:rFonts w:ascii="Times New Roman" w:hAnsi="Times New Roman" w:cs="Times New Roman"/>
          <w:sz w:val="25"/>
          <w:szCs w:val="25"/>
        </w:rPr>
        <w:t xml:space="preserve"> &amp; Bell, 2015). It also provided the respondents with ample time to complete the questionnaires at their convenience, thereby enhancing the reliability of the responses. The involvement of the organization’s union and administrative personnel was instrumental in facilitating access to the respondents, especially in securing the participation of both managerial and non-managerial employees.</w:t>
      </w:r>
    </w:p>
    <w:p w:rsidR="00851884" w:rsidRPr="00851884" w:rsidRDefault="00851884" w:rsidP="00851884">
      <w:pPr>
        <w:spacing w:after="120" w:line="480" w:lineRule="auto"/>
        <w:jc w:val="both"/>
        <w:rPr>
          <w:rFonts w:ascii="Times New Roman" w:hAnsi="Times New Roman" w:cs="Times New Roman"/>
          <w:sz w:val="25"/>
          <w:szCs w:val="25"/>
        </w:rPr>
      </w:pPr>
    </w:p>
    <w:p w:rsidR="001F26CD" w:rsidRPr="00851884" w:rsidRDefault="00851884"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data collection approach ensured that insights were obtained from a cross-section of the workforce, which is crucial in evaluating how green HRM practices—such as green recruitment, training, performance management, and employee involvement—are implemented and how they influence organizational performance outcomes (Renwick et al., 2013).</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3.6 Research Instrument</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study will utilize a structured questionnaire as the primary research instrument. A structured questionnaire is effective in collecting quantifiable data in a standardized format (</w:t>
      </w:r>
      <w:proofErr w:type="spellStart"/>
      <w:r w:rsidRPr="00851884">
        <w:rPr>
          <w:rFonts w:ascii="Times New Roman" w:hAnsi="Times New Roman" w:cs="Times New Roman"/>
          <w:sz w:val="25"/>
          <w:szCs w:val="25"/>
        </w:rPr>
        <w:t>Bryman</w:t>
      </w:r>
      <w:proofErr w:type="spellEnd"/>
      <w:r w:rsidRPr="00851884">
        <w:rPr>
          <w:rFonts w:ascii="Times New Roman" w:hAnsi="Times New Roman" w:cs="Times New Roman"/>
          <w:sz w:val="25"/>
          <w:szCs w:val="25"/>
        </w:rPr>
        <w:t xml:space="preserve"> &amp; Bell, 2015). The questionnaire is divided into three main sections:</w:t>
      </w:r>
    </w:p>
    <w:p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A: Demographic data (e.g., gender, age, position, years of experience)</w:t>
      </w:r>
    </w:p>
    <w:p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B: Statements measuring the implementation of various Green HRM practices such as green recruitment, green training and development, and green rewards systems.</w:t>
      </w:r>
    </w:p>
    <w:p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C: Statements designed to assess the perceived impact of GHRM on organizational performance.</w:t>
      </w:r>
    </w:p>
    <w:p w:rsidR="002E671C"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A five-point </w:t>
      </w:r>
      <w:proofErr w:type="spellStart"/>
      <w:r w:rsidRPr="00851884">
        <w:rPr>
          <w:rFonts w:ascii="Times New Roman" w:hAnsi="Times New Roman" w:cs="Times New Roman"/>
          <w:sz w:val="25"/>
          <w:szCs w:val="25"/>
        </w:rPr>
        <w:t>Likert</w:t>
      </w:r>
      <w:proofErr w:type="spellEnd"/>
      <w:r w:rsidRPr="00851884">
        <w:rPr>
          <w:rFonts w:ascii="Times New Roman" w:hAnsi="Times New Roman" w:cs="Times New Roman"/>
          <w:sz w:val="25"/>
          <w:szCs w:val="25"/>
        </w:rPr>
        <w:t xml:space="preserve"> scale will be used for Sections B and C, ranging from Strongly Agree (5) to Strongly Disagree (1). This scale allows respondents to express varying degrees of agreement or disagreement and is a widely accepted tool in HRM and organizational behavior research (</w:t>
      </w:r>
      <w:proofErr w:type="spellStart"/>
      <w:r w:rsidRPr="00851884">
        <w:rPr>
          <w:rFonts w:ascii="Times New Roman" w:hAnsi="Times New Roman" w:cs="Times New Roman"/>
          <w:sz w:val="25"/>
          <w:szCs w:val="25"/>
        </w:rPr>
        <w:t>Likert</w:t>
      </w:r>
      <w:proofErr w:type="spellEnd"/>
      <w:r w:rsidRPr="00851884">
        <w:rPr>
          <w:rFonts w:ascii="Times New Roman" w:hAnsi="Times New Roman" w:cs="Times New Roman"/>
          <w:sz w:val="25"/>
          <w:szCs w:val="25"/>
        </w:rPr>
        <w:t>, 1932).</w:t>
      </w:r>
    </w:p>
    <w:tbl>
      <w:tblPr>
        <w:tblW w:w="9350" w:type="dxa"/>
        <w:tblLayout w:type="fixed"/>
        <w:tblLook w:val="04A0" w:firstRow="1" w:lastRow="0" w:firstColumn="1" w:lastColumn="0" w:noHBand="0" w:noVBand="1"/>
      </w:tblPr>
      <w:tblGrid>
        <w:gridCol w:w="4680"/>
        <w:gridCol w:w="4670"/>
      </w:tblGrid>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lastRenderedPageBreak/>
              <w:t>Option</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Weight</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Strongly 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5</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4</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Undecided</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3</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Disagree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2</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1</w:t>
            </w:r>
          </w:p>
        </w:tc>
      </w:tr>
    </w:tbl>
    <w:p w:rsidR="002E671C" w:rsidRPr="00851884" w:rsidRDefault="002E671C">
      <w:pPr>
        <w:tabs>
          <w:tab w:val="left" w:pos="900"/>
        </w:tabs>
        <w:spacing w:after="0" w:line="480" w:lineRule="auto"/>
        <w:jc w:val="both"/>
        <w:rPr>
          <w:rFonts w:ascii="Times New Roman" w:hAnsi="Times New Roman" w:cs="Times New Roman"/>
          <w:sz w:val="25"/>
          <w:szCs w:val="25"/>
        </w:rPr>
      </w:pPr>
    </w:p>
    <w:p w:rsidR="002E671C" w:rsidRPr="00851884" w:rsidRDefault="002C5934" w:rsidP="001F26CD">
      <w:pPr>
        <w:pStyle w:val="ListParagraph1"/>
        <w:numPr>
          <w:ilvl w:val="2"/>
          <w:numId w:val="21"/>
        </w:num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Validity and Reliability of Research Instruments</w:t>
      </w:r>
    </w:p>
    <w:p w:rsidR="007927B6" w:rsidRPr="00851884" w:rsidRDefault="007927B6">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Validity and reliability are crucial considerations when choosing a survey instrument. The degree to which an instrument produces the same results throughout numerous trials is referred to as its reliability. The degree to which an instrument measures what it was intended to measure is referred to as validity. According to Kothari (2004), a research instrument's validity is how well it conforms to expectations. This validity was used to assess whether the questionnaire or interview guide's content was appropriate and pertinent to the study. Prior to administration for data collection, the study instrument, a questionnaire, was validated by submission to the project supervisor for confirmation and permission.</w:t>
      </w:r>
      <w:r w:rsidR="002C5934" w:rsidRPr="00851884">
        <w:rPr>
          <w:rFonts w:ascii="Times New Roman" w:hAnsi="Times New Roman" w:cs="Times New Roman"/>
          <w:sz w:val="25"/>
          <w:szCs w:val="25"/>
        </w:rPr>
        <w:t xml:space="preserve"> The researcher used pilot testing method because it was expected that some items or questions would have several </w:t>
      </w:r>
      <w:r w:rsidR="002C5934" w:rsidRPr="00851884">
        <w:rPr>
          <w:rFonts w:ascii="Times New Roman" w:hAnsi="Times New Roman" w:cs="Times New Roman"/>
          <w:sz w:val="25"/>
          <w:szCs w:val="25"/>
        </w:rPr>
        <w:lastRenderedPageBreak/>
        <w:t>possible answers. The researcher established the reliability of the questionnaires by computing the alpha coefficient of the items (questions) in the questionnaire.</w:t>
      </w:r>
    </w:p>
    <w:p w:rsidR="00851884" w:rsidRPr="00851884" w:rsidRDefault="00BA3EEB" w:rsidP="00851884">
      <w:pPr>
        <w:rPr>
          <w:rFonts w:ascii="Times New Roman" w:hAnsi="Times New Roman" w:cs="Times New Roman"/>
          <w:b/>
          <w:sz w:val="25"/>
          <w:szCs w:val="25"/>
        </w:rPr>
      </w:pPr>
      <w:r>
        <w:rPr>
          <w:rFonts w:ascii="Times New Roman" w:hAnsi="Times New Roman" w:cs="Times New Roman"/>
          <w:b/>
          <w:sz w:val="25"/>
          <w:szCs w:val="25"/>
        </w:rPr>
        <w:t>3.7</w:t>
      </w:r>
      <w:r w:rsidR="00851884" w:rsidRPr="00851884">
        <w:rPr>
          <w:rFonts w:ascii="Times New Roman" w:hAnsi="Times New Roman" w:cs="Times New Roman"/>
          <w:b/>
          <w:sz w:val="25"/>
          <w:szCs w:val="25"/>
        </w:rPr>
        <w:t xml:space="preserve"> Method of Data Analysis and Statistical Tool</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In line with the objectives of this study, the analysis of the collected data will employ both descriptive and inferential statistical tools to ensure comprehensive insight into the role of Green Human Resource Management (GHRM) practices in shaping organizational performance in the 21st century.</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Descriptive statistics, such as frequency counts, percentages, means, and standard deviations, will be used to summarize the responses obtained from the questionnaire. These descriptive tools will provide a clear overview of the demographic distribution of respondents and their perceptions regarding various Green HRM practices implemented within the organization. This initial analysis will help in identifying general trends and patterns within the dataset (Saunders, Lewis, &amp; </w:t>
      </w:r>
      <w:proofErr w:type="spellStart"/>
      <w:r w:rsidRPr="00851884">
        <w:rPr>
          <w:rFonts w:ascii="Times New Roman" w:hAnsi="Times New Roman" w:cs="Times New Roman"/>
          <w:sz w:val="25"/>
          <w:szCs w:val="25"/>
        </w:rPr>
        <w:t>Thornhill</w:t>
      </w:r>
      <w:proofErr w:type="spellEnd"/>
      <w:r w:rsidRPr="00851884">
        <w:rPr>
          <w:rFonts w:ascii="Times New Roman" w:hAnsi="Times New Roman" w:cs="Times New Roman"/>
          <w:sz w:val="25"/>
          <w:szCs w:val="25"/>
        </w:rPr>
        <w:t xml:space="preserve">, 2019). To test the research hypotheses and examine the relationship between the independent variables (Green HRM practices such as green recruitment, green training, and green performance management) and the dependent variable (organizational performance), Multiple Linear Regression (MLR) analysis will be employed. MLR is particularly suitable for this study as it allows for the simultaneous analysis of the effect of multiple predictor variables on a single outcome variable, thereby offering a robust understanding of how various dimensions of GHRM influence performance outcomes (Hair, Black, </w:t>
      </w:r>
      <w:proofErr w:type="spellStart"/>
      <w:r w:rsidRPr="00851884">
        <w:rPr>
          <w:rFonts w:ascii="Times New Roman" w:hAnsi="Times New Roman" w:cs="Times New Roman"/>
          <w:sz w:val="25"/>
          <w:szCs w:val="25"/>
        </w:rPr>
        <w:t>Babin</w:t>
      </w:r>
      <w:proofErr w:type="spellEnd"/>
      <w:r w:rsidRPr="00851884">
        <w:rPr>
          <w:rFonts w:ascii="Times New Roman" w:hAnsi="Times New Roman" w:cs="Times New Roman"/>
          <w:sz w:val="25"/>
          <w:szCs w:val="25"/>
        </w:rPr>
        <w:t>, &amp; Anderson, 2014).</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lastRenderedPageBreak/>
        <w:t>The analysis will be conducted using the Statistical Package for the Social Sciences (SPSS), a reliable and widely used software for statistical computation in social science research. SPSS provides advanced data handling capabilities and statistical procedures that enhance the accuracy and efficiency of data analysis (</w:t>
      </w:r>
      <w:proofErr w:type="spellStart"/>
      <w:r w:rsidRPr="00851884">
        <w:rPr>
          <w:rFonts w:ascii="Times New Roman" w:hAnsi="Times New Roman" w:cs="Times New Roman"/>
          <w:sz w:val="25"/>
          <w:szCs w:val="25"/>
        </w:rPr>
        <w:t>Pallant</w:t>
      </w:r>
      <w:proofErr w:type="spellEnd"/>
      <w:r w:rsidRPr="00851884">
        <w:rPr>
          <w:rFonts w:ascii="Times New Roman" w:hAnsi="Times New Roman" w:cs="Times New Roman"/>
          <w:sz w:val="25"/>
          <w:szCs w:val="25"/>
        </w:rPr>
        <w:t>, 2020). This tool will be instrumental in generating both the descriptive summaries and the regression outputs necessary for hypothesis testing.</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The regression models will be developed based on the formulated hypotheses. Specifically, the model will assess the predictive power of selected GHRM practices—such as environmentally-conscious hiring, green employee engagement, and sustainable training programs—on the performance indicators of the case organization, Guaranty Trust Bank (GTB). This approach will provide empirical evidence on the extent to which GHRM contributes to the organization's overall performance in a modern, sustainability-driven context.</w:t>
      </w:r>
    </w:p>
    <w:p w:rsidR="00851884" w:rsidRPr="00851884" w:rsidRDefault="00851884" w:rsidP="0085188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Ho₁: Green Human Resource Management practices do not have any significant influence on the organizational performance of Guaranty Trust Bank.</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hypothesis will be tested through the regression analysis, and the significance level (typically set at 0.05) will guide the decision to either accept or reject the null hypothesis.</w:t>
      </w:r>
    </w:p>
    <w:p w:rsidR="002E671C" w:rsidRPr="00851884" w:rsidRDefault="002C5934" w:rsidP="0085188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 xml:space="preserve">OE = </w:t>
      </w:r>
      <w:proofErr w:type="gramStart"/>
      <w:r w:rsidRPr="00851884">
        <w:rPr>
          <w:rFonts w:ascii="Times New Roman" w:hAnsi="Times New Roman" w:cs="Times New Roman"/>
          <w:i/>
          <w:sz w:val="25"/>
          <w:szCs w:val="25"/>
        </w:rPr>
        <w:t>f</w:t>
      </w:r>
      <w:r w:rsidRPr="00851884">
        <w:rPr>
          <w:rFonts w:ascii="Times New Roman" w:hAnsi="Times New Roman" w:cs="Times New Roman"/>
          <w:sz w:val="25"/>
          <w:szCs w:val="25"/>
        </w:rPr>
        <w:t>(</w:t>
      </w:r>
      <w:proofErr w:type="gramEnd"/>
      <w:r w:rsidRPr="00851884">
        <w:rPr>
          <w:rFonts w:ascii="Times New Roman" w:hAnsi="Times New Roman" w:cs="Times New Roman"/>
          <w:sz w:val="25"/>
          <w:szCs w:val="25"/>
        </w:rPr>
        <w:t>P)</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lastRenderedPageBreak/>
        <w:t>Where:</w:t>
      </w:r>
    </w:p>
    <w:p w:rsidR="002E671C" w:rsidRPr="00851884" w:rsidRDefault="002C5934">
      <w:pPr>
        <w:spacing w:after="0" w:line="480" w:lineRule="auto"/>
        <w:ind w:firstLine="720"/>
        <w:jc w:val="both"/>
        <w:rPr>
          <w:rFonts w:ascii="Times New Roman" w:hAnsi="Times New Roman" w:cs="Times New Roman"/>
          <w:bCs/>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ab/>
        <w:t>= Organizational Effectiveness (OE) – Dependent Variable</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w:t>
      </w:r>
      <w:r w:rsidRPr="00851884">
        <w:rPr>
          <w:rFonts w:ascii="Times New Roman" w:hAnsi="Times New Roman" w:cs="Times New Roman"/>
          <w:sz w:val="25"/>
          <w:szCs w:val="25"/>
        </w:rPr>
        <w:tab/>
        <w:t xml:space="preserve">= Green Human Resource Management Practices (GHRM) – Independent Variable </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 xml:space="preserve"> = Error Terms</w:t>
      </w:r>
    </w:p>
    <w:p w:rsidR="002E671C" w:rsidRPr="00851884" w:rsidRDefault="002C593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II</w:t>
      </w:r>
    </w:p>
    <w:p w:rsidR="002E671C" w:rsidRPr="00851884" w:rsidRDefault="002C5934" w:rsidP="00BA3EEB">
      <w:pPr>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Ho</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There is no relationship between Green Human Resource Management practices and organizational competitiveness of Guaranty Trust Bank;</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OC = </w:t>
      </w:r>
      <w:r w:rsidR="00BA3EEB" w:rsidRPr="00851884">
        <w:rPr>
          <w:rFonts w:ascii="Times New Roman" w:hAnsi="Times New Roman" w:cs="Times New Roman"/>
          <w:i/>
          <w:sz w:val="25"/>
          <w:szCs w:val="25"/>
        </w:rPr>
        <w:t>f</w:t>
      </w:r>
      <w:r w:rsidR="00BA3EEB" w:rsidRPr="00851884">
        <w:rPr>
          <w:rFonts w:ascii="Times New Roman" w:hAnsi="Times New Roman" w:cs="Times New Roman"/>
          <w:sz w:val="25"/>
          <w:szCs w:val="25"/>
        </w:rPr>
        <w:t xml:space="preserve"> (</w:t>
      </w:r>
      <w:r w:rsidRPr="00851884">
        <w:rPr>
          <w:rFonts w:ascii="Times New Roman" w:hAnsi="Times New Roman" w:cs="Times New Roman"/>
          <w:sz w:val="25"/>
          <w:szCs w:val="25"/>
        </w:rPr>
        <w:t>P)</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Where:</w:t>
      </w:r>
    </w:p>
    <w:p w:rsidR="002E671C" w:rsidRPr="00851884" w:rsidRDefault="002C5934">
      <w:pPr>
        <w:spacing w:after="0" w:line="480" w:lineRule="auto"/>
        <w:ind w:left="720"/>
        <w:jc w:val="both"/>
        <w:rPr>
          <w:rFonts w:ascii="Times New Roman" w:hAnsi="Times New Roman" w:cs="Times New Roman"/>
          <w:bCs/>
          <w:sz w:val="25"/>
          <w:szCs w:val="25"/>
        </w:rPr>
      </w:pPr>
      <w:r w:rsidRPr="00851884">
        <w:rPr>
          <w:rFonts w:ascii="Times New Roman" w:hAnsi="Times New Roman" w:cs="Times New Roman"/>
          <w:sz w:val="25"/>
          <w:szCs w:val="25"/>
        </w:rPr>
        <w:t>Y</w:t>
      </w:r>
      <w:r w:rsidRPr="00851884">
        <w:rPr>
          <w:rFonts w:ascii="Times New Roman" w:hAnsi="Times New Roman" w:cs="Times New Roman"/>
          <w:sz w:val="25"/>
          <w:szCs w:val="25"/>
        </w:rPr>
        <w:tab/>
        <w:t>= Organizational Competitiveness (OC) – Dependent Variable</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ab/>
        <w:t xml:space="preserve">= Green Human Resource Management Practices (GHRM) – Independent </w:t>
      </w:r>
      <w:proofErr w:type="gramStart"/>
      <w:r w:rsidRPr="00851884">
        <w:rPr>
          <w:rFonts w:ascii="Times New Roman" w:hAnsi="Times New Roman" w:cs="Times New Roman"/>
          <w:sz w:val="25"/>
          <w:szCs w:val="25"/>
        </w:rPr>
        <w:t>Variable  =</w:t>
      </w:r>
      <w:proofErr w:type="gramEnd"/>
      <w:r w:rsidRPr="00851884">
        <w:rPr>
          <w:rFonts w:ascii="Times New Roman" w:hAnsi="Times New Roman" w:cs="Times New Roman"/>
          <w:sz w:val="25"/>
          <w:szCs w:val="25"/>
        </w:rPr>
        <w:t xml:space="preserve"> Error Terms</w:t>
      </w:r>
    </w:p>
    <w:p w:rsidR="002E671C" w:rsidRPr="00851884" w:rsidRDefault="002C593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III</w:t>
      </w:r>
    </w:p>
    <w:p w:rsidR="002E671C" w:rsidRPr="00851884" w:rsidRDefault="002C5934">
      <w:pPr>
        <w:spacing w:after="0" w:line="480" w:lineRule="auto"/>
        <w:ind w:left="720" w:hanging="720"/>
        <w:jc w:val="both"/>
        <w:rPr>
          <w:rFonts w:ascii="Times New Roman" w:hAnsi="Times New Roman" w:cs="Times New Roman"/>
          <w:sz w:val="25"/>
          <w:szCs w:val="25"/>
        </w:rPr>
      </w:pPr>
      <w:r w:rsidRPr="00851884">
        <w:rPr>
          <w:rFonts w:ascii="Times New Roman" w:hAnsi="Times New Roman" w:cs="Times New Roman"/>
          <w:sz w:val="25"/>
          <w:szCs w:val="25"/>
        </w:rPr>
        <w:t>Ho</w:t>
      </w:r>
      <w:r w:rsidRPr="00851884">
        <w:rPr>
          <w:rFonts w:ascii="Times New Roman" w:hAnsi="Times New Roman" w:cs="Times New Roman"/>
          <w:sz w:val="25"/>
          <w:szCs w:val="25"/>
          <w:vertAlign w:val="subscript"/>
        </w:rPr>
        <w:t>3</w:t>
      </w:r>
      <w:r w:rsidRPr="00851884">
        <w:rPr>
          <w:rFonts w:ascii="Times New Roman" w:hAnsi="Times New Roman" w:cs="Times New Roman"/>
          <w:sz w:val="25"/>
          <w:szCs w:val="25"/>
        </w:rPr>
        <w:t>:</w:t>
      </w:r>
      <w:r w:rsidRPr="00851884">
        <w:rPr>
          <w:rFonts w:ascii="Times New Roman" w:hAnsi="Times New Roman" w:cs="Times New Roman"/>
          <w:sz w:val="25"/>
          <w:szCs w:val="25"/>
        </w:rPr>
        <w:tab/>
        <w:t>Green Human Resource Management practices has no role on organizational resilience of GTB</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OR = </w:t>
      </w:r>
      <w:proofErr w:type="gramStart"/>
      <w:r w:rsidRPr="00851884">
        <w:rPr>
          <w:rFonts w:ascii="Times New Roman" w:hAnsi="Times New Roman" w:cs="Times New Roman"/>
          <w:i/>
          <w:sz w:val="25"/>
          <w:szCs w:val="25"/>
        </w:rPr>
        <w:t>f</w:t>
      </w:r>
      <w:r w:rsidRPr="00851884">
        <w:rPr>
          <w:rFonts w:ascii="Times New Roman" w:hAnsi="Times New Roman" w:cs="Times New Roman"/>
          <w:sz w:val="25"/>
          <w:szCs w:val="25"/>
        </w:rPr>
        <w:t>(</w:t>
      </w:r>
      <w:proofErr w:type="gramEnd"/>
      <w:r w:rsidRPr="00851884">
        <w:rPr>
          <w:rFonts w:ascii="Times New Roman" w:hAnsi="Times New Roman" w:cs="Times New Roman"/>
          <w:sz w:val="25"/>
          <w:szCs w:val="25"/>
        </w:rPr>
        <w:t>P)</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Where:</w:t>
      </w:r>
    </w:p>
    <w:p w:rsidR="002E671C" w:rsidRPr="00851884" w:rsidRDefault="002C5934">
      <w:pPr>
        <w:spacing w:after="0" w:line="480" w:lineRule="auto"/>
        <w:ind w:left="720"/>
        <w:jc w:val="both"/>
        <w:rPr>
          <w:rFonts w:ascii="Times New Roman" w:hAnsi="Times New Roman" w:cs="Times New Roman"/>
          <w:bCs/>
          <w:sz w:val="25"/>
          <w:szCs w:val="25"/>
        </w:rPr>
      </w:pPr>
      <w:r w:rsidRPr="00851884">
        <w:rPr>
          <w:rFonts w:ascii="Times New Roman" w:hAnsi="Times New Roman" w:cs="Times New Roman"/>
          <w:sz w:val="25"/>
          <w:szCs w:val="25"/>
        </w:rPr>
        <w:lastRenderedPageBreak/>
        <w:t xml:space="preserve">Y </w:t>
      </w:r>
      <w:r w:rsidRPr="00851884">
        <w:rPr>
          <w:rFonts w:ascii="Times New Roman" w:hAnsi="Times New Roman" w:cs="Times New Roman"/>
          <w:sz w:val="25"/>
          <w:szCs w:val="25"/>
        </w:rPr>
        <w:tab/>
        <w:t>= Organizational Resilience (OR) – Dependent Variable</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w:t>
      </w:r>
      <w:r w:rsidRPr="00851884">
        <w:rPr>
          <w:rFonts w:ascii="Times New Roman" w:hAnsi="Times New Roman" w:cs="Times New Roman"/>
          <w:sz w:val="25"/>
          <w:szCs w:val="25"/>
        </w:rPr>
        <w:tab/>
        <w:t>= Green Human Resource Management Practices (GHRM) – Independent Variable</w:t>
      </w:r>
    </w:p>
    <w:p w:rsidR="00851884" w:rsidRPr="00851884" w:rsidRDefault="002C5934" w:rsidP="00BA3EEB">
      <w:pPr>
        <w:spacing w:after="0" w:line="480" w:lineRule="auto"/>
        <w:ind w:left="1440" w:hanging="720"/>
        <w:jc w:val="both"/>
        <w:rPr>
          <w:rFonts w:ascii="Times New Roman" w:hAnsi="Times New Roman" w:cs="Times New Roman"/>
          <w:sz w:val="25"/>
          <w:szCs w:val="25"/>
        </w:rPr>
      </w:pPr>
      <w:r w:rsidRPr="00851884">
        <w:rPr>
          <w:rFonts w:ascii="Times New Roman" w:hAnsi="Times New Roman" w:cs="Times New Roman"/>
          <w:sz w:val="25"/>
          <w:szCs w:val="25"/>
        </w:rPr>
        <w:t xml:space="preserve"> = Error Terms </w:t>
      </w:r>
    </w:p>
    <w:p w:rsidR="007927B6" w:rsidRPr="00851884" w:rsidRDefault="00851884" w:rsidP="00BF29C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3.8</w:t>
      </w:r>
      <w:r w:rsidR="00BF29C4" w:rsidRPr="00851884">
        <w:rPr>
          <w:rFonts w:ascii="Times New Roman" w:hAnsi="Times New Roman" w:cs="Times New Roman"/>
          <w:b/>
          <w:sz w:val="25"/>
          <w:szCs w:val="25"/>
        </w:rPr>
        <w:t xml:space="preserve"> Historical Background of the Case Study</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In September 1996, Guaranty Trust Bank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Guaranty Trust Bank undertook its second share offering in 2004 and successfully raised over N11 billion from Nigerian Investors to expand its operations and favourably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Post-consolidation, Guaranty Trust Bank plc made a strategic decision to actively pursue retail banking. A major rebranding exercise followed in June 2005, which saw the Bank emerge with improved service offerings, an aggressive expansion strategy and its vibrant orange identity.</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lastRenderedPageBreak/>
        <w:t>In December 2009, Guaranty Trust Bank plc successfully completed an offering of ₦13.165 Billion Fixed Rate Senior Unsecured Non-Convertible Bonds Due 2014 (Series I), being first tranche under the Bank’s ₦200 Billion Debt Issuance Programme.</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GTBank brand.</w:t>
      </w:r>
    </w:p>
    <w:p w:rsidR="00BF29C4" w:rsidRPr="00851884" w:rsidRDefault="00BF29C4" w:rsidP="00BF29C4">
      <w:pPr>
        <w:pStyle w:val="NormalWeb"/>
        <w:shd w:val="clear" w:color="auto" w:fill="FFFFFF"/>
        <w:spacing w:before="0" w:beforeAutospacing="0"/>
        <w:rPr>
          <w:color w:val="696F73"/>
          <w:sz w:val="25"/>
          <w:szCs w:val="25"/>
        </w:rPr>
      </w:pPr>
      <w:r w:rsidRPr="00851884">
        <w:rPr>
          <w:color w:val="696F73"/>
          <w:sz w:val="25"/>
          <w:szCs w:val="25"/>
        </w:rPr>
        <w:t>In 2013, the Bank issued a USD 400,000,000 Euro bond at a coupon rate of 6%; the least obtained by a Nigerian company in the international capital market. The Eurobond was issued under the USD 2,000,000 Global Medium Term Note Programme, which is registered under both Regulation in the United State of America and Rule 144A in the United Kingdom and sold to investors across Africa, America, Asia and Europe.</w:t>
      </w:r>
    </w:p>
    <w:p w:rsidR="00BF29C4" w:rsidRDefault="00BF29C4">
      <w:pPr>
        <w:spacing w:after="0" w:line="480" w:lineRule="auto"/>
        <w:ind w:left="1440" w:hanging="720"/>
        <w:jc w:val="both"/>
        <w:rPr>
          <w:rFonts w:ascii="Times New Roman" w:hAnsi="Times New Roman" w:cs="Times New Roman"/>
          <w:sz w:val="26"/>
          <w:szCs w:val="26"/>
        </w:rPr>
      </w:pPr>
    </w:p>
    <w:p w:rsidR="00BF29C4" w:rsidRPr="00376F11" w:rsidRDefault="00BF29C4">
      <w:pPr>
        <w:spacing w:after="0" w:line="480" w:lineRule="auto"/>
        <w:ind w:left="1440" w:hanging="720"/>
        <w:jc w:val="both"/>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7927B6" w:rsidRPr="00376F11" w:rsidRDefault="007927B6">
      <w:pPr>
        <w:jc w:val="center"/>
        <w:rPr>
          <w:rFonts w:ascii="Times New Roman" w:hAnsi="Times New Roman" w:cs="Times New Roman"/>
          <w:sz w:val="26"/>
          <w:szCs w:val="26"/>
        </w:rPr>
      </w:pPr>
    </w:p>
    <w:p w:rsidR="007927B6" w:rsidRPr="00376F11" w:rsidRDefault="007927B6">
      <w:pPr>
        <w:jc w:val="center"/>
        <w:rPr>
          <w:rFonts w:ascii="Times New Roman" w:hAnsi="Times New Roman" w:cs="Times New Roman"/>
          <w:sz w:val="26"/>
          <w:szCs w:val="26"/>
        </w:rPr>
      </w:pPr>
    </w:p>
    <w:p w:rsidR="007927B6" w:rsidRPr="00376F11" w:rsidRDefault="007927B6" w:rsidP="00BA3EEB">
      <w:pPr>
        <w:rPr>
          <w:rFonts w:ascii="Times New Roman" w:hAnsi="Times New Roman" w:cs="Times New Roman"/>
          <w:sz w:val="26"/>
          <w:szCs w:val="26"/>
        </w:rPr>
      </w:pPr>
    </w:p>
    <w:p w:rsidR="007927B6" w:rsidRPr="00376F11" w:rsidRDefault="00EA7828" w:rsidP="00EA7828">
      <w:pPr>
        <w:rPr>
          <w:rFonts w:ascii="Times New Roman" w:hAnsi="Times New Roman" w:cs="Times New Roman"/>
          <w:sz w:val="26"/>
          <w:szCs w:val="26"/>
        </w:rPr>
      </w:pPr>
      <w:r>
        <w:rPr>
          <w:rFonts w:ascii="Times New Roman" w:hAnsi="Times New Roman" w:cs="Times New Roman"/>
          <w:sz w:val="26"/>
          <w:szCs w:val="26"/>
        </w:rPr>
        <w:br w:type="page"/>
      </w:r>
    </w:p>
    <w:p w:rsidR="007927B6" w:rsidRPr="00376F11" w:rsidRDefault="007927B6">
      <w:pPr>
        <w:jc w:val="center"/>
        <w:rPr>
          <w:rFonts w:ascii="Times New Roman" w:hAnsi="Times New Roman" w:cs="Times New Roman"/>
          <w:sz w:val="26"/>
          <w:szCs w:val="26"/>
        </w:rPr>
      </w:pPr>
    </w:p>
    <w:p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CHAPTER FOUR</w:t>
      </w:r>
    </w:p>
    <w:p w:rsidR="002E671C" w:rsidRPr="00376F11" w:rsidRDefault="00BA3EEB">
      <w:pPr>
        <w:autoSpaceDE w:val="0"/>
        <w:autoSpaceDN w:val="0"/>
        <w:adjustRightInd w:val="0"/>
        <w:spacing w:after="0"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DATA A</w:t>
      </w:r>
      <w:r>
        <w:rPr>
          <w:rFonts w:ascii="Times New Roman" w:hAnsi="Times New Roman" w:cs="Times New Roman"/>
          <w:b/>
          <w:sz w:val="26"/>
          <w:szCs w:val="26"/>
        </w:rPr>
        <w:t xml:space="preserve">NALYSIS, </w:t>
      </w:r>
      <w:r w:rsidRPr="00376F11">
        <w:rPr>
          <w:rFonts w:ascii="Times New Roman" w:hAnsi="Times New Roman" w:cs="Times New Roman"/>
          <w:b/>
          <w:sz w:val="26"/>
          <w:szCs w:val="26"/>
        </w:rPr>
        <w:t>INTERPRETATION</w:t>
      </w:r>
      <w:r>
        <w:rPr>
          <w:rFonts w:ascii="Times New Roman" w:hAnsi="Times New Roman" w:cs="Times New Roman"/>
          <w:b/>
          <w:sz w:val="26"/>
          <w:szCs w:val="26"/>
        </w:rPr>
        <w:t xml:space="preserve"> AND INTERPRETATION</w:t>
      </w:r>
    </w:p>
    <w:p w:rsidR="002E671C" w:rsidRPr="00EA7828" w:rsidRDefault="002C5934">
      <w:pPr>
        <w:spacing w:after="0" w:line="480" w:lineRule="auto"/>
        <w:rPr>
          <w:rFonts w:ascii="Times New Roman" w:hAnsi="Times New Roman" w:cs="Times New Roman"/>
          <w:b/>
          <w:sz w:val="25"/>
          <w:szCs w:val="25"/>
        </w:rPr>
      </w:pPr>
      <w:r w:rsidRPr="00EA7828">
        <w:rPr>
          <w:rFonts w:ascii="Times New Roman" w:hAnsi="Times New Roman" w:cs="Times New Roman"/>
          <w:b/>
          <w:sz w:val="25"/>
          <w:szCs w:val="25"/>
        </w:rPr>
        <w:t>4.1</w:t>
      </w:r>
      <w:r w:rsidRPr="00EA7828">
        <w:rPr>
          <w:rFonts w:ascii="Times New Roman" w:hAnsi="Times New Roman" w:cs="Times New Roman"/>
          <w:b/>
          <w:sz w:val="25"/>
          <w:szCs w:val="25"/>
        </w:rPr>
        <w:tab/>
        <w:t>Introduction</w:t>
      </w:r>
    </w:p>
    <w:p w:rsidR="007927B6" w:rsidRPr="00EA7828" w:rsidRDefault="007927B6" w:rsidP="007927B6">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The staff of all Guaranty Trust Bank Ilorin, </w:t>
      </w:r>
      <w:proofErr w:type="spellStart"/>
      <w:r w:rsidRPr="00EA7828">
        <w:rPr>
          <w:rFonts w:ascii="Times New Roman" w:hAnsi="Times New Roman" w:cs="Times New Roman"/>
          <w:sz w:val="25"/>
          <w:szCs w:val="25"/>
        </w:rPr>
        <w:t>Kwara</w:t>
      </w:r>
      <w:proofErr w:type="spellEnd"/>
      <w:r w:rsidRPr="00EA7828">
        <w:rPr>
          <w:rFonts w:ascii="Times New Roman" w:hAnsi="Times New Roman" w:cs="Times New Roman"/>
          <w:sz w:val="25"/>
          <w:szCs w:val="25"/>
        </w:rPr>
        <w:t xml:space="preserve"> State, were the subjects of this study, which looked at the effect of green human resource management practices on organizational effectiveness. In this chapter, the statistical methods covered in chapter three will be used to analyze data that was taken from recovered questionnaires. To carry out the research objectives, a total of 50 questionnaires were given out; those that were fully and accurately filled out were retrieved for data analysis. Furthermore, it is important to note that all tests of hypotheses in this study will be conducted with a threshold of significance of 0.05 (or 5%).</w:t>
      </w:r>
    </w:p>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4.2: Sample Size Returned</w:t>
      </w:r>
    </w:p>
    <w:p w:rsidR="002E671C" w:rsidRPr="00EA7828" w:rsidRDefault="002E671C">
      <w:pPr>
        <w:spacing w:after="0"/>
        <w:jc w:val="both"/>
        <w:rPr>
          <w:rFonts w:ascii="Times New Roman" w:hAnsi="Times New Roman" w:cs="Times New Roman"/>
          <w:b/>
          <w:sz w:val="25"/>
          <w:szCs w:val="25"/>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rsidRPr="00EA7828">
        <w:trPr>
          <w:cantSplit/>
        </w:trPr>
        <w:tc>
          <w:tcPr>
            <w:tcW w:w="6990"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4.2.1: Sample Size Returned and Unreturned</w:t>
            </w:r>
          </w:p>
        </w:tc>
      </w:tr>
      <w:tr w:rsidR="002E671C" w:rsidRPr="00EA7828">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99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239"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Returned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9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Unreturned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99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w:t>
            </w:r>
          </w:p>
        </w:tc>
        <w:tc>
          <w:tcPr>
            <w:tcW w:w="1392"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9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F427A3">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7927B6" w:rsidP="00EA7828">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Table 4.2.1 demonstrates that all 50 copies of the questionnaires that were given to a select group of GTB Ilorin employees were returned as duly completed and used for additional </w:t>
      </w:r>
      <w:r w:rsidRPr="00EA7828">
        <w:rPr>
          <w:rFonts w:ascii="Times New Roman" w:hAnsi="Times New Roman" w:cs="Times New Roman"/>
          <w:sz w:val="25"/>
          <w:szCs w:val="25"/>
        </w:rPr>
        <w:lastRenderedPageBreak/>
        <w:t>statistical analysis, indicating that the response rate was very high and improving the validity of the study's findings.</w:t>
      </w:r>
    </w:p>
    <w:p w:rsidR="002E671C" w:rsidRPr="00EA7828" w:rsidRDefault="002C5934">
      <w:pPr>
        <w:pStyle w:val="ListParagraph1"/>
        <w:numPr>
          <w:ilvl w:val="1"/>
          <w:numId w:val="2"/>
        </w:num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DEMOGRAPHIC CHARACTERISTICS</w:t>
      </w:r>
    </w:p>
    <w:p w:rsidR="002E671C" w:rsidRPr="00EA7828" w:rsidRDefault="00F427A3" w:rsidP="00FF159D">
      <w:pPr>
        <w:spacing w:after="0" w:line="480" w:lineRule="auto"/>
        <w:jc w:val="both"/>
        <w:rPr>
          <w:rFonts w:ascii="Times New Roman" w:hAnsi="Times New Roman" w:cs="Times New Roman"/>
          <w:b/>
          <w:sz w:val="25"/>
          <w:szCs w:val="25"/>
        </w:rPr>
      </w:pPr>
      <w:r w:rsidRPr="00EA7828">
        <w:rPr>
          <w:rFonts w:ascii="Times New Roman" w:hAnsi="Times New Roman" w:cs="Times New Roman"/>
          <w:sz w:val="25"/>
          <w:szCs w:val="25"/>
        </w:rPr>
        <w:t>This section presents the respondents' socio-demographic data using frequency tables and percentages. The inclusion of this information was considered important because the backgrounds of the respondents can sometimes indicate factors that may influence the effectiveness of green human resource management practices and organizational effectiveness. The study recognized the significance of providing evidence of demographic data to support its goals. By analyzing the respondents' profiles, the study aimed to determine whether their socioeconomic backgrounds were relevant to the objectives of the research.</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rsidRPr="00EA7828">
        <w:trPr>
          <w:cantSplit/>
        </w:trPr>
        <w:tc>
          <w:tcPr>
            <w:tcW w:w="6776"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4.3.1GEDER</w:t>
            </w:r>
          </w:p>
        </w:tc>
      </w:tr>
      <w:tr w:rsidR="002E671C" w:rsidRPr="00EA7828">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994"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MALE</w:t>
            </w:r>
          </w:p>
        </w:tc>
        <w:tc>
          <w:tcPr>
            <w:tcW w:w="1163"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18</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392"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FEMALE</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64.0</w:t>
            </w:r>
          </w:p>
        </w:tc>
        <w:tc>
          <w:tcPr>
            <w:tcW w:w="1392"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rsidP="00FF159D">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F427A3" w:rsidP="00FF159D">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The study included a sample of respondents, with 18 of them being female (36%) and 32 being male (64%). This indicates that there were more female respondents than male respondents, suggesting that females may be more prevalent in the banking industry, possibly due to their perceived organizational performance in prudence and accountability in the selected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EA7828">
        <w:trPr>
          <w:cantSplit/>
        </w:trPr>
        <w:tc>
          <w:tcPr>
            <w:tcW w:w="7358"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lastRenderedPageBreak/>
              <w:t>Table 4.3.2 AGE</w:t>
            </w:r>
          </w:p>
        </w:tc>
      </w:tr>
      <w:tr w:rsidR="002E671C" w:rsidRPr="00EA7828">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57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21-30 years</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31-40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41-50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51-60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F427A3">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F427A3">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The survey included 16 respondents (32%) between the ages of 21 and 30, 29 respondents (58%) between the ages of 31 and 40, 4 respondents (8%) between the ages of 41 and 50, and 1 respondent (2%) over the age of 51. This data suggests that a majority of the respondents are mature adults older than 30. The implication is that these respondents may have more experience and maturity, potentially enabling them to provide unbiased replies in the survey. This demographic composition is particularly relevant when examining the topic of green human resource management (GHRM) in the context of GTB, as the perspectives of mature respondents can contribute valuable insights to the study.</w:t>
      </w:r>
    </w:p>
    <w:p w:rsidR="00F427A3" w:rsidRPr="00EA7828" w:rsidRDefault="00F427A3">
      <w:pPr>
        <w:autoSpaceDE w:val="0"/>
        <w:autoSpaceDN w:val="0"/>
        <w:adjustRightInd w:val="0"/>
        <w:spacing w:after="0" w:line="400" w:lineRule="atLeast"/>
        <w:rPr>
          <w:rFonts w:ascii="Times New Roman" w:hAnsi="Times New Roman" w:cs="Times New Roman"/>
          <w:sz w:val="25"/>
          <w:szCs w:val="25"/>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EA7828">
        <w:trPr>
          <w:cantSplit/>
        </w:trPr>
        <w:tc>
          <w:tcPr>
            <w:tcW w:w="6899"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4.3.3: Religion Background</w:t>
            </w:r>
          </w:p>
        </w:tc>
      </w:tr>
      <w:tr w:rsidR="002E671C" w:rsidRPr="00EA7828">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11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Islam</w:t>
            </w:r>
          </w:p>
        </w:tc>
        <w:tc>
          <w:tcPr>
            <w:tcW w:w="1163"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Christianity</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Traditional</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AD0371">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FF159D" w:rsidRPr="00EA7828" w:rsidRDefault="00AD0371">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lastRenderedPageBreak/>
        <w:t>According to Table 4.3.3, 30 respondents (60% of the sample) identified themselves as Muslims, while 16 respondents (32% of the sample) identified as Christians. Additionally, four respondents mentioned practicing traditional religion. From this data, it can be inferred that the majority of respondents (60%) in the study identify as Muslims. This suggests that in the chosen area or population, there is a higher prevalence of individuals who identify as Muslims compared to other religious affiliations, specifically Christianity.</w:t>
      </w:r>
    </w:p>
    <w:p w:rsidR="00AD0371" w:rsidRPr="00EA7828" w:rsidRDefault="00AD0371">
      <w:pPr>
        <w:autoSpaceDE w:val="0"/>
        <w:autoSpaceDN w:val="0"/>
        <w:adjustRightInd w:val="0"/>
        <w:spacing w:after="0" w:line="400" w:lineRule="atLeast"/>
        <w:rPr>
          <w:rFonts w:ascii="Times New Roman" w:hAnsi="Times New Roman" w:cs="Times New Roman"/>
          <w:sz w:val="25"/>
          <w:szCs w:val="25"/>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EA7828">
        <w:trPr>
          <w:cantSplit/>
        </w:trPr>
        <w:tc>
          <w:tcPr>
            <w:tcW w:w="6899"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4.3.4: MARITAL_STATUS</w:t>
            </w:r>
          </w:p>
        </w:tc>
      </w:tr>
      <w:tr w:rsidR="002E671C" w:rsidRPr="00EA7828">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11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SINGLE</w:t>
            </w:r>
          </w:p>
        </w:tc>
        <w:tc>
          <w:tcPr>
            <w:tcW w:w="1163"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35</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WIDOW</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FF159D">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w:t>
      </w:r>
      <w:r w:rsidR="00AD0371" w:rsidRPr="00EA7828">
        <w:rPr>
          <w:rFonts w:ascii="Times New Roman" w:hAnsi="Times New Roman" w:cs="Times New Roman"/>
          <w:b/>
          <w:sz w:val="25"/>
          <w:szCs w:val="25"/>
        </w:rPr>
        <w:t xml:space="preserve">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FF159D" w:rsidRPr="00EA7828" w:rsidRDefault="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Table 4.3.4 presents the data on marital status, indicating that 35 respondents (70% of the sample) are single, while 15 respondents (30% of the sample) are married. However, it is important to note that the assumption that the majority of respondents were chosen because they had little interest in family or home responsibilities, thereby improving organizational efficiency, may not be accurate. Marital status alone does not provide a definitive indication of individuals' priorities or commitment to family obligations. Drawing conclusions about respondents' interests or the efficiency of the organization based solely on marital status would require additional supporting evidence and a more comprehensive analysis of relevant factors.</w:t>
      </w:r>
    </w:p>
    <w:p w:rsidR="00A2418F" w:rsidRPr="00EA7828" w:rsidRDefault="00A2418F">
      <w:pPr>
        <w:autoSpaceDE w:val="0"/>
        <w:autoSpaceDN w:val="0"/>
        <w:adjustRightInd w:val="0"/>
        <w:spacing w:after="0" w:line="400" w:lineRule="atLeast"/>
        <w:rPr>
          <w:rFonts w:ascii="Times New Roman" w:hAnsi="Times New Roman" w:cs="Times New Roman"/>
          <w:sz w:val="25"/>
          <w:szCs w:val="25"/>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EA7828">
        <w:trPr>
          <w:cantSplit/>
        </w:trPr>
        <w:tc>
          <w:tcPr>
            <w:tcW w:w="7797"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4.3.5: EDUCATIONAL_QUALIFICATION</w:t>
            </w:r>
          </w:p>
        </w:tc>
      </w:tr>
      <w:tr w:rsidR="002E671C" w:rsidRPr="00EA7828">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27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41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818"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Education Diploma</w:t>
            </w:r>
          </w:p>
        </w:tc>
        <w:tc>
          <w:tcPr>
            <w:tcW w:w="1276"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27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1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276"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Bachelor’s Degree</w:t>
            </w:r>
          </w:p>
        </w:tc>
        <w:tc>
          <w:tcPr>
            <w:tcW w:w="1276"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27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1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276"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Master Degree</w:t>
            </w:r>
          </w:p>
        </w:tc>
        <w:tc>
          <w:tcPr>
            <w:tcW w:w="1276"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276"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276"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275"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18"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276"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A2418F">
      <w:pPr>
        <w:spacing w:after="0"/>
        <w:jc w:val="both"/>
        <w:rPr>
          <w:rFonts w:ascii="Times New Roman" w:hAnsi="Times New Roman" w:cs="Times New Roman"/>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A2418F" w:rsidRPr="00EA7828" w:rsidRDefault="00A2418F" w:rsidP="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Table 4.3.5 provides information on the educational qualifications of the respondents. It shows that 2 respondents (4%) had both a high school diploma and an education degree, 12 respondents (24%) reported having a degree, and 36 respondents (72%) indicated possessing a master's degree.</w:t>
      </w:r>
    </w:p>
    <w:p w:rsidR="002E671C" w:rsidRPr="00EA7828" w:rsidRDefault="00A2418F" w:rsidP="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The data suggests that a significant majority of the respondents in the chosen bank had attained advanced levels of education, with 72% holding a master's degree. This indicates a high level of literacy and suggests that the respondents likely possess a strong knowledge base.</w:t>
      </w:r>
    </w:p>
    <w:p w:rsidR="00A2418F" w:rsidRPr="00EA7828" w:rsidRDefault="00A2418F" w:rsidP="00A2418F">
      <w:pPr>
        <w:autoSpaceDE w:val="0"/>
        <w:autoSpaceDN w:val="0"/>
        <w:adjustRightInd w:val="0"/>
        <w:spacing w:after="0" w:line="400" w:lineRule="atLeast"/>
        <w:rPr>
          <w:rFonts w:ascii="Times New Roman" w:hAnsi="Times New Roman" w:cs="Times New Roman"/>
          <w:sz w:val="25"/>
          <w:szCs w:val="25"/>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EA7828">
        <w:trPr>
          <w:cantSplit/>
        </w:trPr>
        <w:tc>
          <w:tcPr>
            <w:tcW w:w="7797"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4.3.6: CURRENT JOB ROLE</w:t>
            </w:r>
          </w:p>
        </w:tc>
      </w:tr>
      <w:tr w:rsidR="002E671C" w:rsidRPr="00EA7828">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27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41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818"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Managerial</w:t>
            </w:r>
          </w:p>
        </w:tc>
        <w:tc>
          <w:tcPr>
            <w:tcW w:w="1276"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w:t>
            </w:r>
          </w:p>
        </w:tc>
        <w:tc>
          <w:tcPr>
            <w:tcW w:w="127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c>
          <w:tcPr>
            <w:tcW w:w="141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c>
          <w:tcPr>
            <w:tcW w:w="1276"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Non-managerial</w:t>
            </w:r>
          </w:p>
        </w:tc>
        <w:tc>
          <w:tcPr>
            <w:tcW w:w="1276"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276"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276"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275"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18"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276"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1F3411">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spacing w:after="0"/>
        <w:jc w:val="both"/>
        <w:rPr>
          <w:rFonts w:ascii="Times New Roman" w:hAnsi="Times New Roman" w:cs="Times New Roman"/>
          <w:b/>
          <w:sz w:val="25"/>
          <w:szCs w:val="25"/>
        </w:rPr>
      </w:pPr>
    </w:p>
    <w:p w:rsidR="002E671C" w:rsidRPr="00EA7828" w:rsidRDefault="0030440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According to Table 4.3.6, it is evident that 36 respondents (72%) are non-managers, while 14 respondents (28%) hold managerial positions. This data suggests that a greater proportion of non-managerial employees participated in the survey compared to managers.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EA7828">
        <w:trPr>
          <w:cantSplit/>
        </w:trPr>
        <w:tc>
          <w:tcPr>
            <w:tcW w:w="7358"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4.3.7 Length of Service</w:t>
            </w:r>
          </w:p>
        </w:tc>
      </w:tr>
      <w:tr w:rsidR="002E671C" w:rsidRPr="00EA7828">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57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3-5 years</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6-8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9-10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10 years above</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1F3411" w:rsidP="007B7D85">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7B7D85" w:rsidRPr="00EA7828" w:rsidRDefault="007B7D85" w:rsidP="007B7D85">
      <w:pPr>
        <w:spacing w:after="0"/>
        <w:jc w:val="both"/>
        <w:rPr>
          <w:rFonts w:ascii="Times New Roman" w:hAnsi="Times New Roman" w:cs="Times New Roman"/>
          <w:b/>
          <w:sz w:val="25"/>
          <w:szCs w:val="25"/>
        </w:rPr>
      </w:pPr>
    </w:p>
    <w:p w:rsidR="007B7D85" w:rsidRPr="00EA7828" w:rsidRDefault="00DE5F8D" w:rsidP="00BA3EEB">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sz w:val="25"/>
          <w:szCs w:val="25"/>
        </w:rPr>
        <w:t>Table 4.3.7 presents the distribution of respondents' wo</w:t>
      </w:r>
      <w:r w:rsidR="007B7D85" w:rsidRPr="00EA7828">
        <w:rPr>
          <w:rFonts w:ascii="Times New Roman" w:hAnsi="Times New Roman" w:cs="Times New Roman"/>
          <w:sz w:val="25"/>
          <w:szCs w:val="25"/>
        </w:rPr>
        <w:t xml:space="preserve">rk experience. It shows that 29 </w:t>
      </w:r>
      <w:r w:rsidRPr="00EA7828">
        <w:rPr>
          <w:rFonts w:ascii="Times New Roman" w:hAnsi="Times New Roman" w:cs="Times New Roman"/>
          <w:sz w:val="25"/>
          <w:szCs w:val="25"/>
        </w:rPr>
        <w:t>respondents (58%) had between three and five years of work experience, 16 respondents (32%) had between six and eight years of experience, 4 respondents (8%) had between nine and ten years of experience, and 1 respondent (2%) had more than ten years of service.</w:t>
      </w:r>
    </w:p>
    <w:p w:rsidR="007B7D85" w:rsidRPr="00EA7828" w:rsidRDefault="007B7D85" w:rsidP="00BA3EEB">
      <w:pPr>
        <w:pStyle w:val="ListParagraph1"/>
        <w:spacing w:after="0"/>
        <w:ind w:left="0"/>
        <w:jc w:val="both"/>
        <w:rPr>
          <w:rFonts w:ascii="Times New Roman" w:hAnsi="Times New Roman" w:cs="Times New Roman"/>
          <w:b/>
          <w:sz w:val="25"/>
          <w:szCs w:val="25"/>
        </w:rPr>
      </w:pPr>
    </w:p>
    <w:p w:rsidR="002E671C" w:rsidRPr="00EA7828" w:rsidRDefault="002C5934" w:rsidP="00DE5F8D">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b/>
          <w:sz w:val="25"/>
          <w:szCs w:val="25"/>
        </w:rPr>
        <w:t>Presentation and Analysis According to Key Questions</w:t>
      </w:r>
    </w:p>
    <w:p w:rsidR="002E671C" w:rsidRPr="00EA7828" w:rsidRDefault="002E671C">
      <w:pPr>
        <w:spacing w:after="0"/>
        <w:jc w:val="both"/>
        <w:rPr>
          <w:rFonts w:ascii="Times New Roman" w:hAnsi="Times New Roman" w:cs="Times New Roman"/>
          <w:bCs/>
          <w:sz w:val="25"/>
          <w:szCs w:val="25"/>
        </w:rPr>
      </w:pPr>
    </w:p>
    <w:p w:rsidR="00EA7828" w:rsidRPr="00EA7828" w:rsidRDefault="002C5934" w:rsidP="00EA782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Research Question 1: to what extent does GTB GHRM practices affect its organizational effectiveness?</w:t>
      </w:r>
      <w:r w:rsidR="00EA7828">
        <w:br w:type="page"/>
      </w: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2E671C" w:rsidRPr="00EA7828" w:rsidTr="00BA3EEB">
        <w:trPr>
          <w:cantSplit/>
        </w:trPr>
        <w:tc>
          <w:tcPr>
            <w:tcW w:w="9239" w:type="dxa"/>
            <w:gridSpan w:val="7"/>
            <w:shd w:val="clear" w:color="auto" w:fill="FFFFFF"/>
            <w:vAlign w:val="center"/>
          </w:tcPr>
          <w:p w:rsidR="002E671C" w:rsidRPr="00EA7828" w:rsidRDefault="002C5934" w:rsidP="00EA7828">
            <w:pPr>
              <w:spacing w:after="0" w:line="240" w:lineRule="auto"/>
              <w:ind w:right="60"/>
              <w:rPr>
                <w:rFonts w:ascii="Times New Roman" w:hAnsi="Times New Roman" w:cs="Times New Roman"/>
                <w:b/>
                <w:bCs/>
                <w:sz w:val="25"/>
                <w:szCs w:val="25"/>
              </w:rPr>
            </w:pPr>
            <w:bookmarkStart w:id="0" w:name="_GoBack"/>
            <w:bookmarkEnd w:id="0"/>
            <w:r w:rsidRPr="00EA7828">
              <w:rPr>
                <w:rFonts w:ascii="Times New Roman" w:hAnsi="Times New Roman" w:cs="Times New Roman"/>
                <w:b/>
                <w:bCs/>
                <w:color w:val="000000"/>
                <w:sz w:val="25"/>
                <w:szCs w:val="25"/>
              </w:rPr>
              <w:lastRenderedPageBreak/>
              <w:t xml:space="preserve">Table 4.4.1 Perceptions of Respondents in </w:t>
            </w:r>
            <w:r w:rsidRPr="00EA7828">
              <w:rPr>
                <w:rFonts w:ascii="Times New Roman" w:hAnsi="Times New Roman" w:cs="Times New Roman"/>
                <w:b/>
                <w:bCs/>
                <w:sz w:val="25"/>
                <w:szCs w:val="25"/>
              </w:rPr>
              <w:t xml:space="preserve">the influence of GHRM practices on the Organizational Effectiveness of </w:t>
            </w:r>
            <w:proofErr w:type="spellStart"/>
            <w:r w:rsidRPr="00EA7828">
              <w:rPr>
                <w:rFonts w:ascii="Times New Roman" w:hAnsi="Times New Roman" w:cs="Times New Roman"/>
                <w:b/>
                <w:bCs/>
                <w:sz w:val="25"/>
                <w:szCs w:val="25"/>
              </w:rPr>
              <w:t>GTBank</w:t>
            </w:r>
            <w:proofErr w:type="spellEnd"/>
          </w:p>
        </w:tc>
      </w:tr>
      <w:tr w:rsidR="002E671C" w:rsidRPr="00EA7828" w:rsidTr="00BA3EEB">
        <w:trPr>
          <w:cantSplit/>
        </w:trPr>
        <w:tc>
          <w:tcPr>
            <w:tcW w:w="3883" w:type="dxa"/>
            <w:gridSpan w:val="2"/>
            <w:vMerge w:val="restart"/>
            <w:tcBorders>
              <w:top w:val="single" w:sz="16" w:space="0" w:color="000000"/>
              <w:left w:val="single" w:sz="16" w:space="0" w:color="000000"/>
            </w:tcBorders>
            <w:shd w:val="clear" w:color="auto" w:fill="FFFFFF"/>
            <w:vAlign w:val="bottom"/>
          </w:tcPr>
          <w:p w:rsidR="002E671C" w:rsidRPr="00EA7828" w:rsidRDefault="002E671C">
            <w:pPr>
              <w:spacing w:after="0" w:line="240" w:lineRule="auto"/>
              <w:rPr>
                <w:rFonts w:ascii="Times New Roman" w:hAnsi="Times New Roman" w:cs="Times New Roman"/>
                <w:sz w:val="25"/>
                <w:szCs w:val="25"/>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proofErr w:type="spellStart"/>
            <w:r w:rsidRPr="00EA7828">
              <w:rPr>
                <w:rFonts w:ascii="Times New Roman" w:hAnsi="Times New Roman" w:cs="Times New Roman"/>
                <w:color w:val="000000"/>
                <w:sz w:val="25"/>
                <w:szCs w:val="25"/>
              </w:rPr>
              <w:t>Bootstrap</w:t>
            </w:r>
            <w:r w:rsidRPr="00EA7828">
              <w:rPr>
                <w:rFonts w:ascii="Times New Roman" w:hAnsi="Times New Roman" w:cs="Times New Roman"/>
                <w:color w:val="000000"/>
                <w:sz w:val="25"/>
                <w:szCs w:val="25"/>
                <w:vertAlign w:val="superscript"/>
              </w:rPr>
              <w:t>a</w:t>
            </w:r>
            <w:proofErr w:type="spellEnd"/>
          </w:p>
        </w:tc>
      </w:tr>
      <w:tr w:rsidR="002E671C" w:rsidRPr="00EA7828" w:rsidTr="00BA3EEB">
        <w:trPr>
          <w:cantSplit/>
        </w:trPr>
        <w:tc>
          <w:tcPr>
            <w:tcW w:w="3883" w:type="dxa"/>
            <w:gridSpan w:val="2"/>
            <w:vMerge/>
            <w:tcBorders>
              <w:top w:val="single" w:sz="16" w:space="0" w:color="000000"/>
              <w:left w:val="single" w:sz="16"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95% Confidence Interval</w:t>
            </w:r>
          </w:p>
        </w:tc>
      </w:tr>
      <w:tr w:rsidR="002E671C" w:rsidRPr="00EA7828" w:rsidTr="00BA3EEB">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Upper</w:t>
            </w:r>
          </w:p>
        </w:tc>
      </w:tr>
      <w:tr w:rsidR="002E671C" w:rsidRPr="00EA7828" w:rsidTr="00BA3EEB">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6" w:space="0" w:color="000000"/>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4.1435</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-.0027</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.0736</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3.9739</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4.2739</w:t>
            </w: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1.17527</w:t>
            </w:r>
          </w:p>
        </w:tc>
      </w:tr>
      <w:tr w:rsidR="002E671C" w:rsidRPr="00EA7828" w:rsidTr="00BA3EEB">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management of organizational culture.</w:t>
            </w: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4.1304</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-.0009</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.0661</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3.9947</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4.2723</w:t>
            </w:r>
          </w:p>
        </w:tc>
      </w:tr>
      <w:tr w:rsidR="002E671C" w:rsidRPr="00EA7828" w:rsidTr="00BA3EEB">
        <w:trPr>
          <w:cantSplit/>
        </w:trPr>
        <w:tc>
          <w:tcPr>
            <w:tcW w:w="2443" w:type="dxa"/>
            <w:vMerge/>
            <w:tcBorders>
              <w:left w:val="single" w:sz="16" w:space="0" w:color="000000"/>
              <w:bottom w:val="single" w:sz="12" w:space="0" w:color="auto"/>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1.09986</w:t>
            </w:r>
          </w:p>
        </w:tc>
      </w:tr>
      <w:tr w:rsidR="002E671C" w:rsidRPr="00EA7828" w:rsidTr="00BA3EEB">
        <w:trPr>
          <w:cantSplit/>
        </w:trPr>
        <w:tc>
          <w:tcPr>
            <w:tcW w:w="2443" w:type="dxa"/>
            <w:tcBorders>
              <w:top w:val="single" w:sz="12" w:space="0" w:color="auto"/>
              <w:left w:val="single" w:sz="12" w:space="0" w:color="auto"/>
              <w:right w:val="single" w:sz="12" w:space="0" w:color="auto"/>
            </w:tcBorders>
            <w:shd w:val="clear" w:color="auto" w:fill="FFFFFF"/>
          </w:tcPr>
          <w:p w:rsidR="002E671C" w:rsidRPr="00EA7828" w:rsidRDefault="002E671C">
            <w:pPr>
              <w:spacing w:after="0" w:line="240" w:lineRule="auto"/>
              <w:ind w:left="60" w:right="60"/>
              <w:rPr>
                <w:rFonts w:ascii="Times New Roman" w:hAnsi="Times New Roman" w:cs="Times New Roman"/>
                <w:sz w:val="25"/>
                <w:szCs w:val="25"/>
              </w:rPr>
            </w:pPr>
          </w:p>
        </w:tc>
        <w:tc>
          <w:tcPr>
            <w:tcW w:w="1440" w:type="dxa"/>
            <w:tcBorders>
              <w:top w:val="single" w:sz="12" w:space="0" w:color="auto"/>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Green Performance</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Management and</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appraisal</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4.4012</w:t>
            </w:r>
          </w:p>
        </w:tc>
        <w:tc>
          <w:tcPr>
            <w:tcW w:w="978"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-.0015</w:t>
            </w:r>
          </w:p>
        </w:tc>
        <w:tc>
          <w:tcPr>
            <w:tcW w:w="1071"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.0736</w:t>
            </w:r>
          </w:p>
        </w:tc>
        <w:tc>
          <w:tcPr>
            <w:tcW w:w="1162"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3.1061</w:t>
            </w:r>
          </w:p>
        </w:tc>
        <w:tc>
          <w:tcPr>
            <w:tcW w:w="1169"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4.5510</w:t>
            </w:r>
          </w:p>
        </w:tc>
      </w:tr>
      <w:tr w:rsidR="002E671C" w:rsidRPr="00EA7828" w:rsidTr="00BA3EEB">
        <w:trPr>
          <w:cantSplit/>
        </w:trPr>
        <w:tc>
          <w:tcPr>
            <w:tcW w:w="2443" w:type="dxa"/>
            <w:tcBorders>
              <w:left w:val="single" w:sz="12" w:space="0" w:color="auto"/>
              <w:bottom w:val="single" w:sz="12" w:space="0" w:color="auto"/>
              <w:right w:val="single" w:sz="12" w:space="0" w:color="auto"/>
            </w:tcBorders>
            <w:shd w:val="clear" w:color="auto" w:fill="FFFFFF"/>
          </w:tcPr>
          <w:p w:rsidR="002E671C" w:rsidRPr="00EA7828" w:rsidRDefault="002E671C">
            <w:pPr>
              <w:spacing w:after="0" w:line="240" w:lineRule="auto"/>
              <w:ind w:right="60"/>
              <w:rPr>
                <w:rFonts w:ascii="Times New Roman" w:hAnsi="Times New Roman" w:cs="Times New Roman"/>
                <w:sz w:val="25"/>
                <w:szCs w:val="25"/>
              </w:rPr>
            </w:pPr>
          </w:p>
        </w:tc>
        <w:tc>
          <w:tcPr>
            <w:tcW w:w="1440" w:type="dxa"/>
            <w:tcBorders>
              <w:left w:val="single" w:sz="12" w:space="0" w:color="auto"/>
              <w:bottom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1.17527</w:t>
            </w:r>
          </w:p>
        </w:tc>
      </w:tr>
      <w:tr w:rsidR="002E671C" w:rsidRPr="00EA7828" w:rsidTr="00BA3EEB">
        <w:trPr>
          <w:cantSplit/>
        </w:trPr>
        <w:tc>
          <w:tcPr>
            <w:tcW w:w="2443" w:type="dxa"/>
            <w:tcBorders>
              <w:top w:val="single" w:sz="12" w:space="0" w:color="auto"/>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 xml:space="preserve">empowerment and </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participation</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E671C">
            <w:pPr>
              <w:spacing w:after="0" w:line="240" w:lineRule="auto"/>
              <w:ind w:left="60" w:right="60"/>
              <w:rPr>
                <w:rFonts w:ascii="Times New Roman" w:hAnsi="Times New Roman" w:cs="Times New Roman"/>
                <w:sz w:val="25"/>
                <w:szCs w:val="25"/>
              </w:rPr>
            </w:pP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3.9133</w:t>
            </w:r>
          </w:p>
        </w:tc>
        <w:tc>
          <w:tcPr>
            <w:tcW w:w="978"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-.0097</w:t>
            </w:r>
          </w:p>
        </w:tc>
        <w:tc>
          <w:tcPr>
            <w:tcW w:w="1071"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.0325</w:t>
            </w:r>
          </w:p>
        </w:tc>
        <w:tc>
          <w:tcPr>
            <w:tcW w:w="1162"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3.8715</w:t>
            </w:r>
          </w:p>
        </w:tc>
        <w:tc>
          <w:tcPr>
            <w:tcW w:w="1169"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4.1239</w:t>
            </w:r>
          </w:p>
        </w:tc>
      </w:tr>
      <w:tr w:rsidR="002E671C" w:rsidRPr="00EA7828" w:rsidTr="00BA3EEB">
        <w:trPr>
          <w:cantSplit/>
        </w:trPr>
        <w:tc>
          <w:tcPr>
            <w:tcW w:w="2443" w:type="dxa"/>
            <w:tcBorders>
              <w:left w:val="single" w:sz="12" w:space="0" w:color="auto"/>
              <w:bottom w:val="single" w:sz="12" w:space="0" w:color="auto"/>
              <w:right w:val="single" w:sz="12" w:space="0" w:color="auto"/>
            </w:tcBorders>
            <w:shd w:val="clear" w:color="auto" w:fill="FFFFFF"/>
          </w:tcPr>
          <w:p w:rsidR="002E671C" w:rsidRPr="00EA7828" w:rsidRDefault="002E671C">
            <w:pPr>
              <w:spacing w:after="0" w:line="240" w:lineRule="auto"/>
              <w:ind w:right="60"/>
              <w:rPr>
                <w:rFonts w:ascii="Times New Roman" w:hAnsi="Times New Roman" w:cs="Times New Roman"/>
                <w:sz w:val="25"/>
                <w:szCs w:val="25"/>
              </w:rPr>
            </w:pPr>
          </w:p>
        </w:tc>
        <w:tc>
          <w:tcPr>
            <w:tcW w:w="1440" w:type="dxa"/>
            <w:tcBorders>
              <w:left w:val="single" w:sz="12" w:space="0" w:color="auto"/>
              <w:bottom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1.30015</w:t>
            </w:r>
          </w:p>
        </w:tc>
      </w:tr>
      <w:tr w:rsidR="002E671C" w:rsidRPr="00EA7828" w:rsidTr="00BA3EEB">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3.6609</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-.0021</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.0854</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3.4764</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3.8217</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1.36925</w:t>
            </w:r>
          </w:p>
        </w:tc>
      </w:tr>
      <w:tr w:rsidR="002E671C" w:rsidRPr="00EA7828" w:rsidTr="00BA3EEB">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training and development</w:t>
            </w: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3.4609</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.0008</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.0899</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3.3094</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3.6481</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1.46519</w:t>
            </w:r>
          </w:p>
        </w:tc>
      </w:tr>
      <w:tr w:rsidR="002E671C" w:rsidRPr="00EA7828" w:rsidTr="00BA3EEB">
        <w:trPr>
          <w:cantSplit/>
        </w:trPr>
        <w:tc>
          <w:tcPr>
            <w:tcW w:w="2443" w:type="dxa"/>
            <w:tcBorders>
              <w:left w:val="single" w:sz="16" w:space="0" w:color="000000"/>
              <w:bottom w:val="single" w:sz="1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N (</w:t>
            </w:r>
            <w:proofErr w:type="spellStart"/>
            <w:r w:rsidRPr="00EA7828">
              <w:rPr>
                <w:rFonts w:ascii="Times New Roman" w:hAnsi="Times New Roman" w:cs="Times New Roman"/>
                <w:color w:val="000000"/>
                <w:sz w:val="25"/>
                <w:szCs w:val="25"/>
              </w:rPr>
              <w:t>listwise</w:t>
            </w:r>
            <w:proofErr w:type="spellEnd"/>
            <w:r w:rsidRPr="00EA7828">
              <w:rPr>
                <w:rFonts w:ascii="Times New Roman" w:hAnsi="Times New Roman" w:cs="Times New Roman"/>
                <w:color w:val="000000"/>
                <w:sz w:val="25"/>
                <w:szCs w:val="25"/>
              </w:rPr>
              <w:t>)</w:t>
            </w:r>
          </w:p>
        </w:tc>
        <w:tc>
          <w:tcPr>
            <w:tcW w:w="1440" w:type="dxa"/>
            <w:tcBorders>
              <w:left w:val="single" w:sz="12" w:space="0" w:color="auto"/>
              <w:bottom w:val="single" w:sz="1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9239" w:type="dxa"/>
            <w:gridSpan w:val="7"/>
            <w:shd w:val="clear" w:color="auto" w:fill="FFFFFF"/>
          </w:tcPr>
          <w:p w:rsidR="002E671C" w:rsidRPr="00EA7828" w:rsidRDefault="00CF387B">
            <w:pPr>
              <w:spacing w:line="320" w:lineRule="atLeast"/>
              <w:ind w:left="60" w:right="60"/>
              <w:rPr>
                <w:rFonts w:ascii="Times New Roman" w:hAnsi="Times New Roman" w:cs="Times New Roman"/>
                <w:b/>
                <w:bCs/>
                <w:i/>
                <w:iCs/>
                <w:color w:val="000000"/>
                <w:sz w:val="25"/>
                <w:szCs w:val="25"/>
              </w:rPr>
            </w:pPr>
            <w:r w:rsidRPr="00EA7828">
              <w:rPr>
                <w:rFonts w:ascii="Times New Roman" w:hAnsi="Times New Roman" w:cs="Times New Roman"/>
                <w:b/>
                <w:bCs/>
                <w:i/>
                <w:iCs/>
                <w:color w:val="000000"/>
                <w:sz w:val="25"/>
                <w:szCs w:val="25"/>
              </w:rPr>
              <w:t>Sourc</w:t>
            </w:r>
            <w:r w:rsidR="007B7D85" w:rsidRPr="00EA7828">
              <w:rPr>
                <w:rFonts w:ascii="Times New Roman" w:hAnsi="Times New Roman" w:cs="Times New Roman"/>
                <w:b/>
                <w:bCs/>
                <w:i/>
                <w:iCs/>
                <w:color w:val="000000"/>
                <w:sz w:val="25"/>
                <w:szCs w:val="25"/>
              </w:rPr>
              <w:t xml:space="preserve">e: Field Survey, </w:t>
            </w:r>
            <w:r w:rsidR="00EA7828">
              <w:rPr>
                <w:rFonts w:ascii="Times New Roman" w:hAnsi="Times New Roman" w:cs="Times New Roman"/>
                <w:b/>
                <w:bCs/>
                <w:i/>
                <w:iCs/>
                <w:color w:val="000000"/>
                <w:sz w:val="25"/>
                <w:szCs w:val="25"/>
              </w:rPr>
              <w:t>2025</w:t>
            </w:r>
          </w:p>
          <w:p w:rsidR="00CF387B" w:rsidRPr="00EA7828" w:rsidRDefault="00CF387B">
            <w:pPr>
              <w:spacing w:line="320" w:lineRule="atLeast"/>
              <w:ind w:left="60" w:right="60"/>
              <w:rPr>
                <w:rFonts w:ascii="Times New Roman" w:hAnsi="Times New Roman" w:cs="Times New Roman"/>
                <w:color w:val="000000"/>
                <w:sz w:val="25"/>
                <w:szCs w:val="25"/>
              </w:rPr>
            </w:pPr>
          </w:p>
        </w:tc>
      </w:tr>
    </w:tbl>
    <w:p w:rsidR="00BA3EEB" w:rsidRPr="00EA7828" w:rsidRDefault="00BA3EEB" w:rsidP="00BA3EEB">
      <w:pPr>
        <w:spacing w:line="480" w:lineRule="auto"/>
        <w:jc w:val="both"/>
        <w:rPr>
          <w:rFonts w:ascii="Times New Roman" w:hAnsi="Times New Roman" w:cs="Times New Roman"/>
          <w:b/>
          <w:bCs/>
          <w:iCs/>
          <w:color w:val="000000"/>
          <w:sz w:val="25"/>
          <w:szCs w:val="25"/>
        </w:rPr>
      </w:pPr>
      <w:r w:rsidRPr="00EA7828">
        <w:rPr>
          <w:rFonts w:ascii="Times New Roman" w:hAnsi="Times New Roman" w:cs="Times New Roman"/>
          <w:b/>
          <w:bCs/>
          <w:iCs/>
          <w:color w:val="000000"/>
          <w:sz w:val="25"/>
          <w:szCs w:val="25"/>
        </w:rPr>
        <w:t xml:space="preserve">4.4.1 Analysis of Green Human Resource Management Practices in GTB </w:t>
      </w:r>
      <w:proofErr w:type="spellStart"/>
      <w:r w:rsidRPr="00EA7828">
        <w:rPr>
          <w:rFonts w:ascii="Times New Roman" w:hAnsi="Times New Roman" w:cs="Times New Roman"/>
          <w:b/>
          <w:bCs/>
          <w:iCs/>
          <w:color w:val="000000"/>
          <w:sz w:val="25"/>
          <w:szCs w:val="25"/>
        </w:rPr>
        <w:t>Plc</w:t>
      </w:r>
      <w:proofErr w:type="spellEnd"/>
      <w:r w:rsidRPr="00EA7828">
        <w:rPr>
          <w:rFonts w:ascii="Times New Roman" w:hAnsi="Times New Roman" w:cs="Times New Roman"/>
          <w:b/>
          <w:bCs/>
          <w:iCs/>
          <w:color w:val="000000"/>
          <w:sz w:val="25"/>
          <w:szCs w:val="25"/>
        </w:rPr>
        <w:t xml:space="preserve"> Ilorin</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Table 4.4.1 presents the mean rankings of various Green Human Resource Management (GHRM) practices implemented at GTB </w:t>
      </w:r>
      <w:proofErr w:type="spellStart"/>
      <w:r w:rsidRPr="00EA7828">
        <w:rPr>
          <w:rFonts w:ascii="Times New Roman" w:hAnsi="Times New Roman" w:cs="Times New Roman"/>
          <w:bCs/>
          <w:iCs/>
          <w:color w:val="000000"/>
          <w:sz w:val="25"/>
          <w:szCs w:val="25"/>
        </w:rPr>
        <w:t>Plc</w:t>
      </w:r>
      <w:proofErr w:type="spellEnd"/>
      <w:r w:rsidRPr="00EA7828">
        <w:rPr>
          <w:rFonts w:ascii="Times New Roman" w:hAnsi="Times New Roman" w:cs="Times New Roman"/>
          <w:bCs/>
          <w:iCs/>
          <w:color w:val="000000"/>
          <w:sz w:val="25"/>
          <w:szCs w:val="25"/>
        </w:rPr>
        <w:t xml:space="preserve">, Ilorin, categorized by specific constructs. Each construct was measured using a five-point </w:t>
      </w:r>
      <w:proofErr w:type="spellStart"/>
      <w:r w:rsidRPr="00EA7828">
        <w:rPr>
          <w:rFonts w:ascii="Times New Roman" w:hAnsi="Times New Roman" w:cs="Times New Roman"/>
          <w:bCs/>
          <w:iCs/>
          <w:color w:val="000000"/>
          <w:sz w:val="25"/>
          <w:szCs w:val="25"/>
        </w:rPr>
        <w:t>Likert</w:t>
      </w:r>
      <w:proofErr w:type="spellEnd"/>
      <w:r w:rsidRPr="00EA7828">
        <w:rPr>
          <w:rFonts w:ascii="Times New Roman" w:hAnsi="Times New Roman" w:cs="Times New Roman"/>
          <w:bCs/>
          <w:iCs/>
          <w:color w:val="000000"/>
          <w:sz w:val="25"/>
          <w:szCs w:val="25"/>
        </w:rPr>
        <w:t xml:space="preserve"> scale, where 1 represented strong disagreement and 5 represented strong agreement. The midpoint of 3 indicated a neutral stance. This rating scale allowed for a comprehensive evaluation of the extent to which GHRM practices are embedded in the bank’s operations.</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The mean scores, derived through bootstrapping techniques, reflect respondents’ perceptions of the bank’s engagement with green HR practices. The bootstrapped confidence intervals and standard errors support the reliability of the data, indicating a low likelihood that the observed means occurred by chance.</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The analysis reveals a parametric mean of 4.1435 for green recruitment and selection, with a confidence interval between 3.9739 and 4.2739 and a standard error of 0.0736. This suggests that on average, respondents agree that GTB values environmentally conscious hiring </w:t>
      </w:r>
      <w:r w:rsidRPr="00EA7828">
        <w:rPr>
          <w:rFonts w:ascii="Times New Roman" w:hAnsi="Times New Roman" w:cs="Times New Roman"/>
          <w:bCs/>
          <w:iCs/>
          <w:color w:val="000000"/>
          <w:sz w:val="25"/>
          <w:szCs w:val="25"/>
        </w:rPr>
        <w:lastRenderedPageBreak/>
        <w:t>practices, aligning with existing research that emphasizes green recruitment as a cornerstone of sustainable HRM (Renwick et al., 2013).</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Similarly, the construct for green organizational culture recorded a mean of 4.1304, with a confidence interval of 3.9947 to 4.2723 and a standard error of 0.0661. This implies a strong internal alignment of values and practices that support environmental sustainability—an essential driver of long-term organizational performance in the 21st century (</w:t>
      </w:r>
      <w:proofErr w:type="spellStart"/>
      <w:r w:rsidRPr="00EA7828">
        <w:rPr>
          <w:rFonts w:ascii="Times New Roman" w:hAnsi="Times New Roman" w:cs="Times New Roman"/>
          <w:bCs/>
          <w:iCs/>
          <w:color w:val="000000"/>
          <w:sz w:val="25"/>
          <w:szCs w:val="25"/>
        </w:rPr>
        <w:t>Jabbour</w:t>
      </w:r>
      <w:proofErr w:type="spellEnd"/>
      <w:r w:rsidRPr="00EA7828">
        <w:rPr>
          <w:rFonts w:ascii="Times New Roman" w:hAnsi="Times New Roman" w:cs="Times New Roman"/>
          <w:bCs/>
          <w:iCs/>
          <w:color w:val="000000"/>
          <w:sz w:val="25"/>
          <w:szCs w:val="25"/>
        </w:rPr>
        <w:t xml:space="preserve"> &amp; Santos, 2008).</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Green performance management and appraisal showed a parametric mean score of 3.1061 and a relatively low standard error of 0.0651. While this score is slightly lower than those of recruitment and culture, it still exceeds the neutrality threshold of 3.0, indicating a moderate level of implementation. Notably, this construct displayed the lowest standard deviation, suggesting more consistent responses and a potentially greater organizational emphasis on performance metri</w:t>
      </w:r>
      <w:r w:rsidR="00EA7828">
        <w:rPr>
          <w:rFonts w:ascii="Times New Roman" w:hAnsi="Times New Roman" w:cs="Times New Roman"/>
          <w:bCs/>
          <w:iCs/>
          <w:color w:val="000000"/>
          <w:sz w:val="25"/>
          <w:szCs w:val="25"/>
        </w:rPr>
        <w:t>cs that reflect green outcomes.</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The green employee empowerment and engagement dimension scored an average of 3.913, with a narrow confidence range (3.8715–4.1239) and a standard error of 0.0325, demonstrating strong agreement among respondents that GTB supports proactive employee involvement in sustainability efforts. As noted by Dumont et al. (2017), empowerment is a critical enabler of green innovation and contributes significantly to enhanced organizational outcomes.</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lastRenderedPageBreak/>
        <w:t>Furthermore, green reward and compensation management was evaluated with a mean of 3.4764 and a standard error of 0.0854. While not as highly rated as other constructs, it still suggests moderate integration of environmentally linked incentives—a key motivator for sustaining green behavior in employees (Yong et al., 2020).</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The dimension of green training and development yielded a mean of 3.4609, within a confidence interval of 3.3094 to 3.6481, and a standard error of 0.0899. This suggests that while training exists, it may require further strategic alignment to fully enhance employees’ environmental competencies and awareness, consistent with findings by Jackson et al. (2011).</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Overall, the mean scores for all six constructs exceed the baseline value of 3.0, signifying a favorable implementation of GHRM practices across the bank. Despite this, certain constructs—particularly green performance management—may still be susceptible to outliers or variability in interpretation, warranting deeper exploration. The relatively low standard errors across constructs indicate that responses are statistically reliable, strengthening the validity of these findings.</w:t>
      </w:r>
    </w:p>
    <w:p w:rsid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This evidence suggests that GHRM practices play a critical role in shaping organizational performance in modern banking institutions like GTB, supporting the broader argument that sustainable HRM is essential for competitive advantage in the 21st century (Daily &amp; Huang, 2001). However, further empirical investigation is recommended to determine whether the perceived impact of these practices—especially performance appraisal—is indeed translating into measurable organizational success or if it reflects prevailing employee sentiment.</w:t>
      </w:r>
    </w:p>
    <w:p w:rsidR="002E671C" w:rsidRPr="00EA7828" w:rsidRDefault="002C5934"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
          <w:bCs/>
          <w:sz w:val="25"/>
          <w:szCs w:val="25"/>
        </w:rPr>
        <w:lastRenderedPageBreak/>
        <w:t xml:space="preserve">Research Question 2: what is the relationship between GHRM practices and organizational </w:t>
      </w:r>
      <w:proofErr w:type="gramStart"/>
      <w:r w:rsidRPr="00EA7828">
        <w:rPr>
          <w:rFonts w:ascii="Times New Roman" w:hAnsi="Times New Roman" w:cs="Times New Roman"/>
          <w:b/>
          <w:bCs/>
          <w:sz w:val="25"/>
          <w:szCs w:val="25"/>
        </w:rPr>
        <w:t>competitiveness</w:t>
      </w:r>
      <w:proofErr w:type="gramEnd"/>
    </w:p>
    <w:p w:rsidR="002E671C" w:rsidRPr="00EA7828" w:rsidRDefault="002E671C">
      <w:pPr>
        <w:autoSpaceDE w:val="0"/>
        <w:autoSpaceDN w:val="0"/>
        <w:adjustRightInd w:val="0"/>
        <w:spacing w:after="0" w:line="240" w:lineRule="auto"/>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4.4.2 Green job design and analysis are properly practiced in your organization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1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9F4180">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C644D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Based on the provided information, it can be concluded that a majority of the respondents, specifically 86% (43 out of the total respondents), agreed with the statement that Green job design and analysis are properly practiced in the organization. In contrast, only 10% (5 respondents) disagreed with this assertion.</w:t>
      </w:r>
    </w:p>
    <w:p w:rsidR="00C644D5" w:rsidRPr="00EA7828" w:rsidRDefault="00C644D5">
      <w:pPr>
        <w:autoSpaceDE w:val="0"/>
        <w:autoSpaceDN w:val="0"/>
        <w:adjustRightInd w:val="0"/>
        <w:spacing w:after="0" w:line="400" w:lineRule="atLeast"/>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4.4.3: Green human resource planning is involved in your organizational decision making</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5954E7" w:rsidRPr="00EA7828" w:rsidRDefault="00C644D5" w:rsidP="005954E7">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761E1B" w:rsidP="005954E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400" w:lineRule="atLeast"/>
              <w:rPr>
                <w:rFonts w:ascii="Times New Roman" w:hAnsi="Times New Roman" w:cs="Times New Roman"/>
                <w:color w:val="000000"/>
                <w:sz w:val="25"/>
                <w:szCs w:val="25"/>
              </w:rPr>
            </w:pPr>
            <w:r w:rsidRPr="00EA7828">
              <w:rPr>
                <w:rFonts w:ascii="Times New Roman" w:hAnsi="Times New Roman" w:cs="Times New Roman"/>
                <w:sz w:val="25"/>
                <w:szCs w:val="25"/>
              </w:rPr>
              <w:t>Table 4.4.4: Green induction is applied in your organization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9147D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5954E7" w:rsidP="005954E7">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p w:rsidR="002E671C" w:rsidRPr="00EA7828" w:rsidRDefault="002E671C">
      <w:pPr>
        <w:autoSpaceDE w:val="0"/>
        <w:autoSpaceDN w:val="0"/>
        <w:adjustRightInd w:val="0"/>
        <w:spacing w:after="0" w:line="400" w:lineRule="atLeast"/>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pacing w:val="4"/>
                <w:sz w:val="25"/>
                <w:szCs w:val="25"/>
              </w:rPr>
              <w:t xml:space="preserve">Table 4.4.5: </w:t>
            </w:r>
            <w:r w:rsidRPr="00EA7828">
              <w:rPr>
                <w:rFonts w:ascii="Times New Roman" w:hAnsi="Times New Roman" w:cs="Times New Roman"/>
                <w:sz w:val="25"/>
                <w:szCs w:val="25"/>
              </w:rPr>
              <w:t>Green health and safety management are properly practiced in your organization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lastRenderedPageBreak/>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954E7" w:rsidP="00EA782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Source: SPSS Computation</w:t>
      </w:r>
      <w:r w:rsidR="00761E1B" w:rsidRPr="00EA7828">
        <w:rPr>
          <w:rFonts w:ascii="Times New Roman" w:hAnsi="Times New Roman" w:cs="Times New Roman"/>
          <w:b/>
          <w:sz w:val="25"/>
          <w:szCs w:val="25"/>
        </w:rPr>
        <w:t xml:space="preserve">, </w:t>
      </w:r>
      <w:r w:rsidR="00EA7828">
        <w:rPr>
          <w:rFonts w:ascii="Times New Roman" w:hAnsi="Times New Roman" w:cs="Times New Roman"/>
          <w:b/>
          <w:sz w:val="25"/>
          <w:szCs w:val="25"/>
        </w:rPr>
        <w:t>2025</w:t>
      </w:r>
    </w:p>
    <w:p w:rsidR="002E671C" w:rsidRPr="00EA7828" w:rsidRDefault="004761CA">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Based on the information provided, it can be concluded that the majority of respondents, specifically 88% (44 out of the total respondents), agreed with the claim that green health and safety management is properly implemented in the organization. Additionally, 6% (3 respondents) disagreed with this assertion, while another 6% (3 respondents) neither agreed nor disagreed.</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4.4.6: Your organization maintains green employee discipline management</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Source: SP</w:t>
      </w:r>
      <w:r w:rsidR="004761CA" w:rsidRPr="00EA7828">
        <w:rPr>
          <w:rFonts w:ascii="Times New Roman" w:hAnsi="Times New Roman" w:cs="Times New Roman"/>
          <w:b/>
          <w:sz w:val="25"/>
          <w:szCs w:val="25"/>
        </w:rPr>
        <w:t xml:space="preserve">SS Computation, </w:t>
      </w:r>
      <w:r w:rsidR="00EA7828">
        <w:rPr>
          <w:rFonts w:ascii="Times New Roman" w:hAnsi="Times New Roman" w:cs="Times New Roman"/>
          <w:b/>
          <w:sz w:val="25"/>
          <w:szCs w:val="25"/>
        </w:rPr>
        <w:t>2025</w:t>
      </w:r>
    </w:p>
    <w:p w:rsidR="002E671C" w:rsidRPr="00EA7828" w:rsidRDefault="002E671C" w:rsidP="00171AE5">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4761CA" w:rsidP="00171AE5">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 xml:space="preserve">Based on the provided information, it can be inferred that 10% of the respondents (5 out of the total respondents) disagreed with the claim that the bank utilizes green staff discipline management. In contrast, the majority of respondents, specifically 84% (42 respondents), </w:t>
      </w:r>
      <w:r w:rsidRPr="00EA7828">
        <w:rPr>
          <w:rFonts w:ascii="Times New Roman" w:hAnsi="Times New Roman" w:cs="Times New Roman"/>
          <w:sz w:val="25"/>
          <w:szCs w:val="25"/>
        </w:rPr>
        <w:lastRenderedPageBreak/>
        <w:t>agreed with this assertion. Additionally, 6% (3 respondents) were ambivalent about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4.4.7: Your organization develops green employee relations</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4761CA">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171AE5" w:rsidRPr="00EA7828" w:rsidRDefault="00171AE5">
      <w:pPr>
        <w:spacing w:after="0"/>
        <w:jc w:val="both"/>
        <w:rPr>
          <w:rFonts w:ascii="Times New Roman" w:hAnsi="Times New Roman" w:cs="Times New Roman"/>
          <w:b/>
          <w:sz w:val="25"/>
          <w:szCs w:val="25"/>
        </w:rPr>
      </w:pPr>
    </w:p>
    <w:p w:rsidR="004761CA" w:rsidRPr="00EA7828" w:rsidRDefault="00171AE5">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2E671C" w:rsidRPr="00EA7828" w:rsidRDefault="002C5934" w:rsidP="004761CA">
      <w:pPr>
        <w:spacing w:line="480" w:lineRule="auto"/>
        <w:jc w:val="both"/>
        <w:rPr>
          <w:rFonts w:ascii="Times New Roman" w:hAnsi="Times New Roman" w:cs="Times New Roman"/>
          <w:b/>
          <w:bCs/>
          <w:sz w:val="25"/>
          <w:szCs w:val="25"/>
        </w:rPr>
      </w:pPr>
      <w:r w:rsidRPr="00EA7828">
        <w:rPr>
          <w:rFonts w:ascii="Times New Roman" w:hAnsi="Times New Roman" w:cs="Times New Roman"/>
          <w:b/>
          <w:bCs/>
          <w:sz w:val="25"/>
          <w:szCs w:val="25"/>
        </w:rPr>
        <w:t>Research Question 3: what is the role of GHRM practices on organizational resilience in GTB?</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sz w:val="25"/>
                <w:szCs w:val="25"/>
              </w:rPr>
            </w:pPr>
            <w:r w:rsidRPr="00EA7828">
              <w:rPr>
                <w:rFonts w:ascii="Times New Roman" w:hAnsi="Times New Roman" w:cs="Times New Roman"/>
                <w:sz w:val="25"/>
                <w:szCs w:val="25"/>
              </w:rPr>
              <w:t>Table 4.4.8: Promote social responsibility towards environment</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18</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171AE5" w:rsidRPr="00EA7828" w:rsidRDefault="004761CA" w:rsidP="00171AE5">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833387" w:rsidRPr="00EA7828" w:rsidRDefault="00833387" w:rsidP="0083338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 information provided, it can be concluded that 80% of the respondents (40 out of the total respondents) agreed with the statement that GHRM promotes societal responsibility for the environment. In contrast, 10% of the respondents (5 respondents) disagreed with this assertion, while another 10% (5 responden</w:t>
      </w:r>
      <w:r w:rsidR="002B322E" w:rsidRPr="00EA7828">
        <w:rPr>
          <w:rFonts w:ascii="Times New Roman" w:hAnsi="Times New Roman" w:cs="Times New Roman"/>
          <w:sz w:val="25"/>
          <w:szCs w:val="25"/>
        </w:rPr>
        <w:t>ts) did not express an opinion.</w:t>
      </w:r>
    </w:p>
    <w:p w:rsidR="002E671C" w:rsidRPr="00EA7828" w:rsidRDefault="00833387" w:rsidP="0083338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This indicates that the majority of survey participants hold a positive view and agree that GHRM promotes social responsibility toward the environment in the chosen bank. The organization's commitment to promoting environmental responsibility can be seen as a sign of resilience and adaptability in the face of challenges present in the working environment.</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4.4.9: Creating a competitive advantage</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9147D8">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37160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lastRenderedPageBreak/>
        <w:t>Based on the information you provided, it appears that the majority of respondents (90%) agreed that GHRM (presumably referring to Human Resource Management) has a role in generating a competitive advantage. This acceptance of the notion suggests that the organization's ability to handle challenges in the working environment is significantly improved, leading to increased organizational resilience.</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4.4.10: Increase employee loyalty and retention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132B9F" w:rsidRPr="00EA7828" w:rsidRDefault="00132B9F" w:rsidP="00132B9F">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132B9F" w:rsidRPr="00EA7828" w:rsidRDefault="00132B9F" w:rsidP="00132B9F">
      <w:pPr>
        <w:spacing w:after="0" w:line="480" w:lineRule="auto"/>
        <w:jc w:val="both"/>
        <w:rPr>
          <w:rFonts w:ascii="Times New Roman" w:hAnsi="Times New Roman" w:cs="Times New Roman"/>
          <w:b/>
          <w:sz w:val="25"/>
          <w:szCs w:val="25"/>
        </w:rPr>
      </w:pPr>
      <w:r w:rsidRPr="00EA7828">
        <w:rPr>
          <w:rFonts w:ascii="Times New Roman" w:hAnsi="Times New Roman" w:cs="Times New Roman"/>
          <w:sz w:val="25"/>
          <w:szCs w:val="25"/>
        </w:rPr>
        <w:t>Based on the information provided, it seems that the majority of respondents (86%) agreed with the claim that GHRM practices promote employee loyalty and retention. This suggests that there is a prevailing belief among the respondents that GHRM should play a role in boosting employee retention and loyalty.</w:t>
      </w:r>
    </w:p>
    <w:p w:rsidR="00132B9F" w:rsidRPr="00EA7828" w:rsidRDefault="00132B9F" w:rsidP="00132B9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It's worth noting that 10% of the respondents disagreed with the statement, and 4% were undecided. While these numbers indicate some dissenting and undecided views, the majority agreement suggests that the majority of respondents recognize the importance of GHRM practices in enhancing employee loyalty and retention.</w:t>
      </w:r>
    </w:p>
    <w:p w:rsidR="002E671C" w:rsidRPr="00EA7828" w:rsidRDefault="00171AE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w:t>
      </w:r>
    </w:p>
    <w:p w:rsidR="00EA7828" w:rsidRDefault="00EA7828">
      <w:r>
        <w:br w:type="page"/>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rsidT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lastRenderedPageBreak/>
              <w:t>Table 4.4.11: Increase profitability and reduce cost</w:t>
            </w:r>
          </w:p>
        </w:tc>
      </w:tr>
      <w:tr w:rsidR="002E671C" w:rsidRPr="00EA7828" w:rsidT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rsidT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19</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132B9F">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5256F6" w:rsidRPr="00EA7828" w:rsidRDefault="00B162B4">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According to the information in the table, 4 respondents (8%) disputed the claim that customers felt free to interact with the business. Additionally, 2 respondents (4%) were undecided, while 44 respondents (88%) agreed with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E671C">
            <w:pPr>
              <w:spacing w:after="0"/>
              <w:jc w:val="both"/>
              <w:rPr>
                <w:rFonts w:ascii="Times New Roman" w:hAnsi="Times New Roman" w:cs="Times New Roman"/>
                <w:sz w:val="25"/>
                <w:szCs w:val="25"/>
              </w:rPr>
            </w:pPr>
          </w:p>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4.4.12: Create a culture of having concern for the wellbeing and health of fellow workers</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A7DF9">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In the table above, 5 respondents (10%) disagreed that GHRM foster a culture of concern for the wellbeing and health of coworkers, 2 respondents (4%), were neither agree nor disagree, </w:t>
      </w:r>
      <w:r w:rsidRPr="00EA7828">
        <w:rPr>
          <w:rFonts w:ascii="Times New Roman" w:hAnsi="Times New Roman" w:cs="Times New Roman"/>
          <w:sz w:val="25"/>
          <w:szCs w:val="25"/>
        </w:rPr>
        <w:lastRenderedPageBreak/>
        <w:t>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E671C">
            <w:pPr>
              <w:spacing w:after="0"/>
              <w:jc w:val="both"/>
              <w:rPr>
                <w:rFonts w:ascii="Times New Roman" w:hAnsi="Times New Roman" w:cs="Times New Roman"/>
                <w:sz w:val="25"/>
                <w:szCs w:val="25"/>
              </w:rPr>
            </w:pPr>
          </w:p>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4.4.13: Helps in achieving higher employee job satisfaction and commitment</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spacing w:after="0" w:line="480" w:lineRule="auto"/>
        <w:jc w:val="both"/>
        <w:rPr>
          <w:rFonts w:ascii="Times New Roman" w:hAnsi="Times New Roman" w:cs="Times New Roman"/>
          <w:sz w:val="25"/>
          <w:szCs w:val="25"/>
        </w:rPr>
      </w:pPr>
    </w:p>
    <w:p w:rsidR="002E671C" w:rsidRPr="00EA7828" w:rsidRDefault="002C5934">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E671C">
            <w:pPr>
              <w:spacing w:after="0"/>
              <w:jc w:val="both"/>
              <w:rPr>
                <w:rFonts w:ascii="Times New Roman" w:hAnsi="Times New Roman" w:cs="Times New Roman"/>
                <w:sz w:val="25"/>
                <w:szCs w:val="25"/>
              </w:rPr>
            </w:pPr>
          </w:p>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4.4.14: Encourage employees through training and compensation to reduce the use of environmental damaging materials</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spacing w:after="0" w:line="480" w:lineRule="auto"/>
        <w:jc w:val="both"/>
        <w:rPr>
          <w:rFonts w:ascii="Times New Roman" w:hAnsi="Times New Roman" w:cs="Times New Roman"/>
          <w:sz w:val="25"/>
          <w:szCs w:val="25"/>
        </w:rPr>
      </w:pPr>
    </w:p>
    <w:p w:rsidR="002E671C" w:rsidRPr="00EA7828" w:rsidRDefault="002A7DF9">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2E671C" w:rsidRPr="00EA7828" w:rsidRDefault="002E671C">
      <w:pPr>
        <w:spacing w:after="0"/>
        <w:jc w:val="both"/>
        <w:rPr>
          <w:rFonts w:ascii="Times New Roman" w:hAnsi="Times New Roman" w:cs="Times New Roman"/>
          <w:b/>
          <w:sz w:val="25"/>
          <w:szCs w:val="25"/>
        </w:rPr>
      </w:pPr>
    </w:p>
    <w:p w:rsidR="002E671C" w:rsidRPr="00EA7828" w:rsidRDefault="002C5934">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b/>
          <w:sz w:val="25"/>
          <w:szCs w:val="25"/>
        </w:rPr>
        <w:t>Hypotheses Testing</w:t>
      </w:r>
    </w:p>
    <w:p w:rsidR="002E671C" w:rsidRPr="00EA7828" w:rsidRDefault="002E671C">
      <w:pPr>
        <w:spacing w:after="0"/>
        <w:jc w:val="both"/>
        <w:rPr>
          <w:rFonts w:ascii="Times New Roman" w:hAnsi="Times New Roman" w:cs="Times New Roman"/>
          <w:b/>
          <w:sz w:val="25"/>
          <w:szCs w:val="25"/>
        </w:rPr>
      </w:pPr>
    </w:p>
    <w:p w:rsidR="002E671C" w:rsidRPr="00EA7828" w:rsidRDefault="002C5934">
      <w:pPr>
        <w:spacing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H</w:t>
      </w:r>
      <w:r w:rsidRPr="00EA7828">
        <w:rPr>
          <w:rFonts w:ascii="Times New Roman" w:hAnsi="Times New Roman" w:cs="Times New Roman"/>
          <w:b/>
          <w:sz w:val="25"/>
          <w:szCs w:val="25"/>
          <w:vertAlign w:val="subscript"/>
        </w:rPr>
        <w:t>01</w:t>
      </w:r>
      <w:r w:rsidRPr="00EA7828">
        <w:rPr>
          <w:rFonts w:ascii="Times New Roman" w:hAnsi="Times New Roman" w:cs="Times New Roman"/>
          <w:b/>
          <w:sz w:val="25"/>
          <w:szCs w:val="25"/>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rsidRPr="00EA7828">
        <w:trPr>
          <w:cantSplit/>
        </w:trPr>
        <w:tc>
          <w:tcPr>
            <w:tcW w:w="5843" w:type="dxa"/>
            <w:gridSpan w:val="5"/>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4.5.1: </w:t>
            </w:r>
            <w:r w:rsidRPr="00EA7828">
              <w:rPr>
                <w:rFonts w:ascii="Times New Roman" w:hAnsi="Times New Roman" w:cs="Times New Roman"/>
                <w:b/>
                <w:bCs/>
                <w:color w:val="000000"/>
                <w:sz w:val="25"/>
                <w:szCs w:val="25"/>
              </w:rPr>
              <w:t>Model Summary</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 of the Estimate</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.663</w:t>
            </w:r>
            <w:r w:rsidRPr="00EA7828">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.57610</w:t>
            </w:r>
          </w:p>
        </w:tc>
      </w:tr>
      <w:tr w:rsidR="002E671C" w:rsidRPr="00EA7828">
        <w:trPr>
          <w:cantSplit/>
        </w:trPr>
        <w:tc>
          <w:tcPr>
            <w:tcW w:w="5843" w:type="dxa"/>
            <w:gridSpan w:val="5"/>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Predictors: (Constant), GHRM (Performance MGT Appraisal)</w:t>
            </w:r>
          </w:p>
        </w:tc>
      </w:tr>
    </w:tbl>
    <w:p w:rsidR="002E671C" w:rsidRPr="00EA7828" w:rsidRDefault="002E671C">
      <w:pPr>
        <w:autoSpaceDE w:val="0"/>
        <w:autoSpaceDN w:val="0"/>
        <w:adjustRightInd w:val="0"/>
        <w:spacing w:after="0" w:line="400" w:lineRule="atLeast"/>
        <w:rPr>
          <w:rFonts w:ascii="Times New Roman" w:hAnsi="Times New Roman" w:cs="Times New Roman"/>
          <w:sz w:val="25"/>
          <w:szCs w:val="25"/>
        </w:rPr>
      </w:pPr>
    </w:p>
    <w:p w:rsidR="00281E2F"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The analysis conducted was a simple linear regression to examine the relationship between GHRM (</w:t>
      </w:r>
      <w:proofErr w:type="spellStart"/>
      <w:r w:rsidRPr="00EA7828">
        <w:rPr>
          <w:rFonts w:ascii="Times New Roman" w:hAnsi="Times New Roman" w:cs="Times New Roman"/>
          <w:sz w:val="25"/>
          <w:szCs w:val="25"/>
        </w:rPr>
        <w:t>proxied</w:t>
      </w:r>
      <w:proofErr w:type="spellEnd"/>
      <w:r w:rsidRPr="00EA7828">
        <w:rPr>
          <w:rFonts w:ascii="Times New Roman" w:hAnsi="Times New Roman" w:cs="Times New Roman"/>
          <w:sz w:val="25"/>
          <w:szCs w:val="25"/>
        </w:rPr>
        <w:t xml:space="preserve"> by Performance Management Appraisal) and Organizational Effectiveness. </w:t>
      </w:r>
      <w:r w:rsidRPr="00EA7828">
        <w:rPr>
          <w:rFonts w:ascii="Times New Roman" w:hAnsi="Times New Roman" w:cs="Times New Roman"/>
          <w:sz w:val="25"/>
          <w:szCs w:val="25"/>
        </w:rPr>
        <w:lastRenderedPageBreak/>
        <w:t>The model summary indicates that the correlation coefficient (R) is 0.663. The adjusted R-square is 0.439, which is very close to the R-square value of 0.440. This suggests that if the model were derived from the entire population rather than a sample, it would account for approximately 0.1</w:t>
      </w:r>
      <w:r w:rsidR="007E2816" w:rsidRPr="00EA7828">
        <w:rPr>
          <w:rFonts w:ascii="Times New Roman" w:hAnsi="Times New Roman" w:cs="Times New Roman"/>
          <w:sz w:val="25"/>
          <w:szCs w:val="25"/>
        </w:rPr>
        <w:t>% less variance in the outcome.</w:t>
      </w:r>
    </w:p>
    <w:p w:rsidR="00281E2F"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these results, it can be concluded that GHRM (</w:t>
      </w:r>
      <w:proofErr w:type="spellStart"/>
      <w:r w:rsidRPr="00EA7828">
        <w:rPr>
          <w:rFonts w:ascii="Times New Roman" w:hAnsi="Times New Roman" w:cs="Times New Roman"/>
          <w:sz w:val="25"/>
          <w:szCs w:val="25"/>
        </w:rPr>
        <w:t>proxied</w:t>
      </w:r>
      <w:proofErr w:type="spellEnd"/>
      <w:r w:rsidRPr="00EA7828">
        <w:rPr>
          <w:rFonts w:ascii="Times New Roman" w:hAnsi="Times New Roman" w:cs="Times New Roman"/>
          <w:sz w:val="25"/>
          <w:szCs w:val="25"/>
        </w:rPr>
        <w:t xml:space="preserve"> by Performance Management Appraisal) explains about 44% of the improvement in organizational effectiveness. The remaining 56% is likely influenced by other factors not included in the model, such as the GHRM environment, training and development, compensation, recrui</w:t>
      </w:r>
      <w:r w:rsidR="007E2816" w:rsidRPr="00EA7828">
        <w:rPr>
          <w:rFonts w:ascii="Times New Roman" w:hAnsi="Times New Roman" w:cs="Times New Roman"/>
          <w:sz w:val="25"/>
          <w:szCs w:val="25"/>
        </w:rPr>
        <w:t>tment and selection, and so on.</w:t>
      </w:r>
    </w:p>
    <w:p w:rsidR="002A7DF9"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It's important to note that these findings are specific to the selected bank and may not be generalizable to other organizations or contexts. Additionally, the limitations of the regression analysis and the specific variables included in the model should be considered when interpreting the results.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rsidRPr="00EA7828">
        <w:trPr>
          <w:cantSplit/>
        </w:trPr>
        <w:tc>
          <w:tcPr>
            <w:tcW w:w="7969"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4.5.2: </w:t>
            </w:r>
            <w:proofErr w:type="spellStart"/>
            <w:r w:rsidRPr="00EA7828">
              <w:rPr>
                <w:rFonts w:ascii="Times New Roman" w:hAnsi="Times New Roman" w:cs="Times New Roman"/>
                <w:b/>
                <w:bCs/>
                <w:color w:val="000000"/>
                <w:sz w:val="25"/>
                <w:szCs w:val="25"/>
              </w:rPr>
              <w:t>ANOVA</w:t>
            </w:r>
            <w:r w:rsidRPr="00EA7828">
              <w:rPr>
                <w:rFonts w:ascii="Times New Roman" w:hAnsi="Times New Roman" w:cs="Times New Roman"/>
                <w:b/>
                <w:bCs/>
                <w:color w:val="000000"/>
                <w:sz w:val="25"/>
                <w:szCs w:val="25"/>
                <w:vertAlign w:val="superscript"/>
              </w:rPr>
              <w:t>a</w:t>
            </w:r>
            <w:proofErr w:type="spellEnd"/>
          </w:p>
        </w:tc>
      </w:tr>
      <w:tr w:rsidR="002E671C" w:rsidRPr="00EA782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proofErr w:type="spellStart"/>
            <w:r w:rsidRPr="00EA7828">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24.360</w:t>
            </w:r>
          </w:p>
        </w:tc>
        <w:tc>
          <w:tcPr>
            <w:tcW w:w="102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24.360</w:t>
            </w:r>
          </w:p>
        </w:tc>
        <w:tc>
          <w:tcPr>
            <w:tcW w:w="102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37.768</w:t>
            </w:r>
          </w:p>
        </w:tc>
        <w:tc>
          <w:tcPr>
            <w:tcW w:w="1025"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r w:rsidRPr="00EA7828">
              <w:rPr>
                <w:rFonts w:ascii="Times New Roman" w:hAnsi="Times New Roman" w:cs="Times New Roman"/>
                <w:color w:val="000000"/>
                <w:sz w:val="25"/>
                <w:szCs w:val="25"/>
                <w:vertAlign w:val="superscript"/>
              </w:rPr>
              <w:t>b</w:t>
            </w:r>
          </w:p>
        </w:tc>
      </w:tr>
      <w:tr w:rsidR="002E671C" w:rsidRPr="00EA782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30.978</w:t>
            </w:r>
          </w:p>
        </w:tc>
        <w:tc>
          <w:tcPr>
            <w:tcW w:w="102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.645</w:t>
            </w:r>
          </w:p>
        </w:tc>
        <w:tc>
          <w:tcPr>
            <w:tcW w:w="1025" w:type="dxa"/>
            <w:tcBorders>
              <w:top w:val="nil"/>
              <w:bottom w:val="nil"/>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r w:rsidR="002E671C" w:rsidRPr="00EA782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55.338</w:t>
            </w:r>
          </w:p>
        </w:tc>
        <w:tc>
          <w:tcPr>
            <w:tcW w:w="1025"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Effectiveness</w:t>
            </w: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 Predictors: (Constant), GHRM (Performance MGT Appraisal)</w:t>
            </w:r>
          </w:p>
        </w:tc>
      </w:tr>
    </w:tbl>
    <w:p w:rsidR="002E671C" w:rsidRPr="00EA7828" w:rsidRDefault="002E671C">
      <w:pPr>
        <w:autoSpaceDE w:val="0"/>
        <w:autoSpaceDN w:val="0"/>
        <w:adjustRightInd w:val="0"/>
        <w:spacing w:after="0" w:line="400" w:lineRule="atLeast"/>
        <w:rPr>
          <w:rFonts w:ascii="Times New Roman" w:hAnsi="Times New Roman" w:cs="Times New Roman"/>
          <w:sz w:val="25"/>
          <w:szCs w:val="25"/>
        </w:rPr>
      </w:pPr>
    </w:p>
    <w:p w:rsidR="002E671C" w:rsidRPr="00EA7828" w:rsidRDefault="007E2816">
      <w:pPr>
        <w:tabs>
          <w:tab w:val="left" w:pos="4107"/>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lastRenderedPageBreak/>
        <w:t>ANOVA was used to assess whether the model, compared to mean ranking, significantly improved the prediction of organizational efficiency. The F-ratio (37.768) measures the improvement in prediction resulting from model fitting. The regression sum of square value divided by the total sum of square yielded an R2 value of 0.440, indicating a substantial association and improved forecasting capacity of GHRM in relation to organizational efficiency. The p-value (0.000) is less than the significance level of 0.05, suggesting a direct, positive association between the independent variable (GHRM) and the dependent variable (Organizational Effectiveness). Therefore, it is hypothesized that there is a significant association between GHRM and organizational effectiveness at a 5% level of significance</w:t>
      </w:r>
      <w:proofErr w:type="gramStart"/>
      <w:r w:rsidRPr="00EA7828">
        <w:rPr>
          <w:rFonts w:ascii="Times New Roman" w:hAnsi="Times New Roman" w:cs="Times New Roman"/>
          <w:sz w:val="25"/>
          <w:szCs w:val="25"/>
        </w:rPr>
        <w:t>.</w:t>
      </w:r>
      <w:r w:rsidR="002A7DF9" w:rsidRPr="00EA7828">
        <w:rPr>
          <w:rFonts w:ascii="Times New Roman" w:hAnsi="Times New Roman" w:cs="Times New Roman"/>
          <w:sz w:val="25"/>
          <w:szCs w:val="25"/>
        </w:rPr>
        <w:t>.</w:t>
      </w:r>
      <w:proofErr w:type="gramEnd"/>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rsidRPr="00EA7828">
        <w:trPr>
          <w:cantSplit/>
        </w:trPr>
        <w:tc>
          <w:tcPr>
            <w:tcW w:w="8280"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4.5.3: </w:t>
            </w:r>
            <w:r w:rsidRPr="00EA7828">
              <w:rPr>
                <w:rFonts w:ascii="Times New Roman" w:hAnsi="Times New Roman" w:cs="Times New Roman"/>
                <w:b/>
                <w:bCs/>
                <w:color w:val="000000"/>
                <w:sz w:val="25"/>
                <w:szCs w:val="25"/>
              </w:rPr>
              <w:t xml:space="preserve">Regression </w:t>
            </w:r>
            <w:proofErr w:type="spellStart"/>
            <w:r w:rsidRPr="00EA7828">
              <w:rPr>
                <w:rFonts w:ascii="Times New Roman" w:hAnsi="Times New Roman" w:cs="Times New Roman"/>
                <w:b/>
                <w:bCs/>
                <w:color w:val="000000"/>
                <w:sz w:val="25"/>
                <w:szCs w:val="25"/>
              </w:rPr>
              <w:t>Coefficients</w:t>
            </w:r>
            <w:r w:rsidRPr="00EA7828">
              <w:rPr>
                <w:rFonts w:ascii="Times New Roman" w:hAnsi="Times New Roman" w:cs="Times New Roman"/>
                <w:b/>
                <w:bCs/>
                <w:color w:val="000000"/>
                <w:sz w:val="25"/>
                <w:szCs w:val="25"/>
                <w:vertAlign w:val="superscript"/>
              </w:rPr>
              <w:t>a</w:t>
            </w:r>
            <w:proofErr w:type="spellEnd"/>
          </w:p>
        </w:tc>
      </w:tr>
      <w:tr w:rsidR="002E671C" w:rsidRPr="00EA7828">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800" w:type="dxa"/>
            <w:gridSpan w:val="2"/>
            <w:tcBorders>
              <w:top w:val="single" w:sz="16" w:space="0" w:color="000000"/>
              <w:lef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Unstandardized Coefficients</w:t>
            </w:r>
          </w:p>
        </w:tc>
        <w:tc>
          <w:tcPr>
            <w:tcW w:w="1530" w:type="dxa"/>
            <w:tcBorders>
              <w:top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Standardized Coefficients</w:t>
            </w:r>
          </w:p>
        </w:tc>
        <w:tc>
          <w:tcPr>
            <w:tcW w:w="900" w:type="dxa"/>
            <w:vMerge w:val="restart"/>
            <w:tcBorders>
              <w:top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t</w:t>
            </w:r>
          </w:p>
        </w:tc>
        <w:tc>
          <w:tcPr>
            <w:tcW w:w="810" w:type="dxa"/>
            <w:vMerge w:val="restart"/>
            <w:tcBorders>
              <w:top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00" w:type="dxa"/>
            <w:tcBorders>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w:t>
            </w:r>
          </w:p>
        </w:tc>
        <w:tc>
          <w:tcPr>
            <w:tcW w:w="900"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1530"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Beta</w:t>
            </w:r>
          </w:p>
        </w:tc>
        <w:tc>
          <w:tcPr>
            <w:tcW w:w="900" w:type="dxa"/>
            <w:vMerge/>
            <w:tcBorders>
              <w:top w:val="single" w:sz="16" w:space="0" w:color="000000"/>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810" w:type="dxa"/>
            <w:vMerge/>
            <w:tcBorders>
              <w:top w:val="single" w:sz="16" w:space="0" w:color="000000"/>
              <w:right w:val="single" w:sz="16" w:space="0" w:color="000000"/>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r>
      <w:tr w:rsidR="002E671C" w:rsidRPr="00EA782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2507"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(Constant)</w:t>
            </w:r>
          </w:p>
        </w:tc>
        <w:tc>
          <w:tcPr>
            <w:tcW w:w="900"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-.381</w:t>
            </w:r>
          </w:p>
        </w:tc>
        <w:tc>
          <w:tcPr>
            <w:tcW w:w="900"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.150</w:t>
            </w:r>
          </w:p>
        </w:tc>
        <w:tc>
          <w:tcPr>
            <w:tcW w:w="1530" w:type="dxa"/>
            <w:tcBorders>
              <w:top w:val="single" w:sz="16" w:space="0" w:color="000000"/>
              <w:bottom w:val="nil"/>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900"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-2.495</w:t>
            </w:r>
          </w:p>
        </w:tc>
        <w:tc>
          <w:tcPr>
            <w:tcW w:w="810"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p>
        </w:tc>
      </w:tr>
      <w:tr w:rsidR="002E671C" w:rsidRPr="00EA782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507"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.702</w:t>
            </w:r>
          </w:p>
        </w:tc>
        <w:tc>
          <w:tcPr>
            <w:tcW w:w="90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.162</w:t>
            </w:r>
          </w:p>
        </w:tc>
        <w:tc>
          <w:tcPr>
            <w:tcW w:w="153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.663</w:t>
            </w:r>
          </w:p>
        </w:tc>
        <w:tc>
          <w:tcPr>
            <w:tcW w:w="90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4.333</w:t>
            </w:r>
          </w:p>
        </w:tc>
        <w:tc>
          <w:tcPr>
            <w:tcW w:w="810" w:type="dxa"/>
            <w:tcBorders>
              <w:top w:val="nil"/>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w:t>
            </w:r>
          </w:p>
        </w:tc>
      </w:tr>
      <w:tr w:rsidR="002E671C" w:rsidRPr="00EA7828">
        <w:trPr>
          <w:cantSplit/>
        </w:trPr>
        <w:tc>
          <w:tcPr>
            <w:tcW w:w="8280"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Effectiveness</w:t>
            </w:r>
          </w:p>
          <w:p w:rsidR="002E671C" w:rsidRPr="00EA7828" w:rsidRDefault="002E671C">
            <w:pPr>
              <w:autoSpaceDE w:val="0"/>
              <w:autoSpaceDN w:val="0"/>
              <w:adjustRightInd w:val="0"/>
              <w:spacing w:after="0" w:line="320" w:lineRule="atLeast"/>
              <w:ind w:left="60" w:right="60"/>
              <w:rPr>
                <w:rFonts w:ascii="Times New Roman" w:hAnsi="Times New Roman" w:cs="Times New Roman"/>
                <w:color w:val="000000"/>
                <w:sz w:val="25"/>
                <w:szCs w:val="25"/>
              </w:rPr>
            </w:pPr>
          </w:p>
        </w:tc>
      </w:tr>
    </w:tbl>
    <w:p w:rsidR="002E671C" w:rsidRPr="00EA7828" w:rsidRDefault="002C5934" w:rsidP="00B97670">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 R square explained above, the GHRM explain 44% of the variance of dependent variable “Organizational Effectiveness”. Using non- standardized weight of regression, simple regression of equation was fitted for the model below:</w:t>
      </w:r>
    </w:p>
    <w:p w:rsidR="002E671C" w:rsidRPr="00EA7828" w:rsidRDefault="002C5934">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Ŷ = -0.381 + 0.702</w:t>
      </w:r>
      <w:r w:rsidRPr="00EA7828">
        <w:rPr>
          <w:rFonts w:ascii="Times New Roman" w:hAnsi="Times New Roman" w:cs="Times New Roman"/>
          <w:i/>
          <w:iCs/>
          <w:sz w:val="25"/>
          <w:szCs w:val="25"/>
        </w:rPr>
        <w:t>x</w:t>
      </w:r>
      <w:r w:rsidRPr="00EA7828">
        <w:rPr>
          <w:rFonts w:ascii="Times New Roman" w:hAnsi="Times New Roman" w:cs="Times New Roman"/>
          <w:sz w:val="25"/>
          <w:szCs w:val="25"/>
          <w:vertAlign w:val="subscript"/>
        </w:rPr>
        <w:t>1</w:t>
      </w:r>
      <w:r w:rsidRPr="00EA7828">
        <w:rPr>
          <w:rFonts w:ascii="Times New Roman" w:hAnsi="Times New Roman" w:cs="Times New Roman"/>
          <w:sz w:val="25"/>
          <w:szCs w:val="25"/>
        </w:rPr>
        <w:t xml:space="preserve"> </w:t>
      </w:r>
    </w:p>
    <w:p w:rsidR="002E671C" w:rsidRPr="00EA7828" w:rsidRDefault="002A7DF9" w:rsidP="00B97670">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lastRenderedPageBreak/>
        <w:t xml:space="preserve">According to the equation above, organizational effectiveness is calculated as the product of non-standardized beta coefficients with the applicable method's average and a non-standardized weight constant. The GHRM (Performance MGT Appraisal) is statistically significant for the model based on the findings of the regression study. Given that the regression coefficient is positive (=0.702), the rise in GHRM as measured by the performance management appraisal will be accompanied by an increase in organizational </w:t>
      </w:r>
      <w:proofErr w:type="spellStart"/>
      <w:r w:rsidRPr="00EA7828">
        <w:rPr>
          <w:rFonts w:ascii="Times New Roman" w:hAnsi="Times New Roman" w:cs="Times New Roman"/>
          <w:sz w:val="25"/>
          <w:szCs w:val="25"/>
        </w:rPr>
        <w:t>effectiveness.The</w:t>
      </w:r>
      <w:proofErr w:type="spellEnd"/>
      <w:r w:rsidRPr="00EA7828">
        <w:rPr>
          <w:rFonts w:ascii="Times New Roman" w:hAnsi="Times New Roman" w:cs="Times New Roman"/>
          <w:sz w:val="25"/>
          <w:szCs w:val="25"/>
        </w:rPr>
        <w:t xml:space="preserve"> findings of the statistical test for the beta coefficient control demonstrate that GHRM (Performance Management Appraisal) has a substantial impact on the model's ability to increase organizational effectiveness at the 5% level of significance (t1= 17.825 and p=0.0010.05). The vector-error correction of the regression line's constant (c=-0.381) in the model indicates that if the chosen bank disregarded the GHRM practices, it is likely that organizational effectiveness would decrease by 38.1%, which might have an impact on the organization's goals and functional approach development. As a result, the alternative hypothesis—that there is a significant impact of GHRM practice on organizational effectiveness at a 95% confidence level—was accepted and the null hypothesis was rejected. This result was consistent with earlier research by </w:t>
      </w:r>
      <w:proofErr w:type="spellStart"/>
      <w:r w:rsidRPr="00EA7828">
        <w:rPr>
          <w:rFonts w:ascii="Times New Roman" w:hAnsi="Times New Roman" w:cs="Times New Roman"/>
          <w:sz w:val="25"/>
          <w:szCs w:val="25"/>
        </w:rPr>
        <w:t>Sharifa</w:t>
      </w:r>
      <w:proofErr w:type="spellEnd"/>
      <w:r w:rsidRPr="00EA7828">
        <w:rPr>
          <w:rFonts w:ascii="Times New Roman" w:hAnsi="Times New Roman" w:cs="Times New Roman"/>
          <w:sz w:val="25"/>
          <w:szCs w:val="25"/>
        </w:rPr>
        <w:t xml:space="preserve"> </w:t>
      </w:r>
      <w:proofErr w:type="spellStart"/>
      <w:r w:rsidRPr="00EA7828">
        <w:rPr>
          <w:rFonts w:ascii="Times New Roman" w:hAnsi="Times New Roman" w:cs="Times New Roman"/>
          <w:sz w:val="25"/>
          <w:szCs w:val="25"/>
        </w:rPr>
        <w:t>Mousa</w:t>
      </w:r>
      <w:proofErr w:type="spellEnd"/>
      <w:r w:rsidRPr="00EA7828">
        <w:rPr>
          <w:rFonts w:ascii="Times New Roman" w:hAnsi="Times New Roman" w:cs="Times New Roman"/>
          <w:sz w:val="25"/>
          <w:szCs w:val="25"/>
        </w:rPr>
        <w:t xml:space="preserve"> and Mohammed Othman (2020), who discovered that the identification and prioritization of green performance management methods differed depending on the type of business. Although, as in the case of this study, considerably more needed in the banking sector than the healthcare delivery sector.</w:t>
      </w:r>
    </w:p>
    <w:p w:rsidR="002E671C" w:rsidRPr="00EA7828" w:rsidRDefault="002C5934">
      <w:pPr>
        <w:spacing w:line="480" w:lineRule="auto"/>
        <w:jc w:val="both"/>
        <w:rPr>
          <w:rFonts w:ascii="Times New Roman" w:hAnsi="Times New Roman" w:cs="Times New Roman"/>
          <w:b/>
          <w:sz w:val="25"/>
          <w:szCs w:val="25"/>
        </w:rPr>
      </w:pPr>
      <w:r w:rsidRPr="00EA7828">
        <w:rPr>
          <w:rFonts w:ascii="Times New Roman" w:hAnsi="Times New Roman" w:cs="Times New Roman"/>
          <w:b/>
          <w:sz w:val="25"/>
          <w:szCs w:val="25"/>
        </w:rPr>
        <w:lastRenderedPageBreak/>
        <w:t>H</w:t>
      </w:r>
      <w:r w:rsidRPr="00EA7828">
        <w:rPr>
          <w:rFonts w:ascii="Times New Roman" w:hAnsi="Times New Roman" w:cs="Times New Roman"/>
          <w:b/>
          <w:sz w:val="25"/>
          <w:szCs w:val="25"/>
          <w:vertAlign w:val="subscript"/>
        </w:rPr>
        <w:t>02</w:t>
      </w:r>
      <w:r w:rsidRPr="00EA7828">
        <w:rPr>
          <w:rFonts w:ascii="Times New Roman" w:hAnsi="Times New Roman" w:cs="Times New Roman"/>
          <w:b/>
          <w:sz w:val="25"/>
          <w:szCs w:val="25"/>
        </w:rPr>
        <w:t>: there is no relationship between GHRM practices and organizational competitiveness</w:t>
      </w:r>
    </w:p>
    <w:tbl>
      <w:tblPr>
        <w:tblW w:w="9990" w:type="dxa"/>
        <w:tblLayout w:type="fixed"/>
        <w:tblCellMar>
          <w:left w:w="0" w:type="dxa"/>
          <w:right w:w="0" w:type="dxa"/>
        </w:tblCellMar>
        <w:tblLook w:val="04A0" w:firstRow="1" w:lastRow="0" w:firstColumn="1" w:lastColumn="0" w:noHBand="0" w:noVBand="1"/>
      </w:tblPr>
      <w:tblGrid>
        <w:gridCol w:w="2161"/>
        <w:gridCol w:w="1888"/>
        <w:gridCol w:w="1530"/>
        <w:gridCol w:w="1439"/>
        <w:gridCol w:w="1440"/>
        <w:gridCol w:w="1532"/>
      </w:tblGrid>
      <w:tr w:rsidR="002E671C" w:rsidRPr="00EA7828">
        <w:trPr>
          <w:cantSplit/>
        </w:trPr>
        <w:tc>
          <w:tcPr>
            <w:tcW w:w="9990" w:type="dxa"/>
            <w:gridSpan w:val="6"/>
            <w:shd w:val="clear" w:color="auto" w:fill="FFFFFF"/>
            <w:vAlign w:val="center"/>
          </w:tcPr>
          <w:p w:rsidR="002E671C" w:rsidRPr="00EA7828" w:rsidRDefault="002C5934">
            <w:pPr>
              <w:spacing w:line="320" w:lineRule="atLeast"/>
              <w:ind w:left="60" w:right="60"/>
              <w:jc w:val="center"/>
              <w:rPr>
                <w:rFonts w:ascii="Times New Roman" w:hAnsi="Times New Roman" w:cs="Times New Roman"/>
                <w:sz w:val="25"/>
                <w:szCs w:val="25"/>
              </w:rPr>
            </w:pPr>
            <w:r w:rsidRPr="00EA7828">
              <w:rPr>
                <w:rFonts w:ascii="Times New Roman" w:eastAsia="Calibri" w:hAnsi="Times New Roman" w:cs="Times New Roman"/>
                <w:b/>
                <w:bCs/>
                <w:color w:val="000000"/>
                <w:sz w:val="25"/>
                <w:szCs w:val="25"/>
              </w:rPr>
              <w:t>Table 4.5.4: Bivariate Correlations Matrix showing the relationship between Dimension of Compensation management (CM) and Worker’s Productivity (WP)</w:t>
            </w:r>
          </w:p>
        </w:tc>
      </w:tr>
      <w:tr w:rsidR="002E671C" w:rsidRPr="00EA7828">
        <w:trPr>
          <w:cantSplit/>
        </w:trPr>
        <w:tc>
          <w:tcPr>
            <w:tcW w:w="2161" w:type="dxa"/>
            <w:vMerge w:val="restart"/>
            <w:tcBorders>
              <w:top w:val="single" w:sz="16" w:space="0" w:color="000000"/>
              <w:left w:val="single" w:sz="16" w:space="0" w:color="000000"/>
              <w:bottom w:val="single" w:sz="8" w:space="0" w:color="000000"/>
            </w:tcBorders>
            <w:shd w:val="clear" w:color="auto" w:fill="FFFFFF"/>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888" w:type="dxa"/>
            <w:tcBorders>
              <w:top w:val="single" w:sz="16" w:space="0" w:color="000000"/>
              <w:right w:val="single" w:sz="16" w:space="0" w:color="000000"/>
            </w:tcBorders>
            <w:shd w:val="clear" w:color="auto" w:fill="FFFFFF"/>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0" w:type="dxa"/>
            <w:tcBorders>
              <w:top w:val="single" w:sz="16" w:space="0" w:color="000000"/>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Organizational Competitiveness</w:t>
            </w:r>
          </w:p>
        </w:tc>
        <w:tc>
          <w:tcPr>
            <w:tcW w:w="1439"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Recruitment and Selection</w:t>
            </w:r>
          </w:p>
        </w:tc>
        <w:tc>
          <w:tcPr>
            <w:tcW w:w="1440"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Training and Dev.</w:t>
            </w:r>
          </w:p>
        </w:tc>
        <w:tc>
          <w:tcPr>
            <w:tcW w:w="1532"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Reward and Compensation MGT</w:t>
            </w:r>
          </w:p>
        </w:tc>
      </w:tr>
      <w:tr w:rsidR="002E671C" w:rsidRPr="00EA7828">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0" w:type="dxa"/>
            <w:tcBorders>
              <w:left w:val="single" w:sz="16" w:space="0" w:color="000000"/>
              <w:right w:val="single" w:sz="8" w:space="0" w:color="000000"/>
            </w:tcBorders>
            <w:shd w:val="clear" w:color="auto" w:fill="FFFFFF"/>
            <w:vAlign w:val="center"/>
          </w:tcPr>
          <w:p w:rsidR="002E671C" w:rsidRPr="00EA7828" w:rsidRDefault="002E671C">
            <w:pPr>
              <w:rPr>
                <w:rFonts w:ascii="Times New Roman" w:eastAsia="Calibri" w:hAnsi="Times New Roman" w:cs="Times New Roman"/>
                <w:sz w:val="25"/>
                <w:szCs w:val="25"/>
              </w:rPr>
            </w:pPr>
          </w:p>
        </w:tc>
        <w:tc>
          <w:tcPr>
            <w:tcW w:w="1439"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Model</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8"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Organizational Competitiveness</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.1</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right="60"/>
              <w:jc w:val="right"/>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w:t>
            </w:r>
          </w:p>
        </w:tc>
        <w:tc>
          <w:tcPr>
            <w:tcW w:w="1439" w:type="dxa"/>
            <w:tcBorders>
              <w:left w:val="single" w:sz="8" w:space="0" w:color="000000"/>
              <w:right w:val="single" w:sz="8" w:space="0" w:color="000000"/>
            </w:tcBorders>
            <w:shd w:val="clear" w:color="auto" w:fill="FFFFFF"/>
            <w:vAlign w:val="center"/>
          </w:tcPr>
          <w:p w:rsidR="002E671C" w:rsidRPr="00EA7828" w:rsidRDefault="002E671C">
            <w:pPr>
              <w:rPr>
                <w:rFonts w:ascii="Times New Roman" w:eastAsia="Calibri" w:hAnsi="Times New Roman" w:cs="Times New Roman"/>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8"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Recruitment and Selection</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.667</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rPr>
                <w:rFonts w:ascii="Times New Roman" w:eastAsia="Calibri" w:hAnsi="Times New Roman" w:cs="Times New Roman"/>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8" w:space="0" w:color="000000"/>
            </w:tcBorders>
            <w:shd w:val="clear" w:color="auto" w:fill="FFFFFF"/>
          </w:tcPr>
          <w:p w:rsidR="002E671C" w:rsidRPr="00EA7828" w:rsidRDefault="002C5934">
            <w:pPr>
              <w:spacing w:line="320" w:lineRule="atLeast"/>
              <w:ind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xml:space="preserve"> Green Training and Dev.</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.807</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.508</w:t>
            </w:r>
            <w:r w:rsidRPr="00EA7828">
              <w:rPr>
                <w:rFonts w:ascii="Times New Roman" w:eastAsia="Calibri" w:hAnsi="Times New Roman" w:cs="Times New Roman"/>
                <w:color w:val="000000"/>
                <w:sz w:val="25"/>
                <w:szCs w:val="25"/>
                <w:vertAlign w:val="superscript"/>
              </w:rPr>
              <w:t>*</w:t>
            </w:r>
          </w:p>
        </w:tc>
        <w:tc>
          <w:tcPr>
            <w:tcW w:w="1440"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.016</w:t>
            </w: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Reward and Compensation MGT</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.775</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.741</w:t>
            </w:r>
            <w:r w:rsidRPr="00EA7828">
              <w:rPr>
                <w:rFonts w:ascii="Times New Roman" w:eastAsia="Calibri" w:hAnsi="Times New Roman" w:cs="Times New Roman"/>
                <w:color w:val="000000"/>
                <w:sz w:val="25"/>
                <w:szCs w:val="25"/>
                <w:vertAlign w:val="superscript"/>
              </w:rPr>
              <w:t>**</w:t>
            </w:r>
          </w:p>
        </w:tc>
        <w:tc>
          <w:tcPr>
            <w:tcW w:w="1440"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.747</w:t>
            </w:r>
            <w:r w:rsidRPr="00EA7828">
              <w:rPr>
                <w:rFonts w:ascii="Times New Roman" w:eastAsia="Calibri" w:hAnsi="Times New Roman" w:cs="Times New Roman"/>
                <w:color w:val="000000"/>
                <w:sz w:val="25"/>
                <w:szCs w:val="25"/>
                <w:vertAlign w:val="superscript"/>
              </w:rPr>
              <w:t>**</w:t>
            </w:r>
          </w:p>
        </w:tc>
        <w:tc>
          <w:tcPr>
            <w:tcW w:w="1532"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r>
      <w:tr w:rsidR="002E671C" w:rsidRPr="00EA7828">
        <w:trPr>
          <w:cantSplit/>
        </w:trPr>
        <w:tc>
          <w:tcPr>
            <w:tcW w:w="2161" w:type="dxa"/>
            <w:vMerge/>
            <w:tcBorders>
              <w:left w:val="single" w:sz="16" w:space="0" w:color="000000"/>
              <w:bottom w:val="single" w:sz="16"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40"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532"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w:t>
            </w:r>
          </w:p>
        </w:tc>
      </w:tr>
      <w:tr w:rsidR="002E671C" w:rsidRPr="00EA7828">
        <w:trPr>
          <w:cantSplit/>
        </w:trPr>
        <w:tc>
          <w:tcPr>
            <w:tcW w:w="2161" w:type="dxa"/>
            <w:vMerge/>
            <w:tcBorders>
              <w:left w:val="single" w:sz="16" w:space="0" w:color="000000"/>
              <w:bottom w:val="single" w:sz="16"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16"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532"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r>
      <w:tr w:rsidR="002E671C" w:rsidRPr="00EA7828">
        <w:trPr>
          <w:cantSplit/>
        </w:trPr>
        <w:tc>
          <w:tcPr>
            <w:tcW w:w="9990" w:type="dxa"/>
            <w:gridSpan w:val="6"/>
            <w:shd w:val="clear" w:color="auto" w:fill="FFFFFF"/>
          </w:tcPr>
          <w:p w:rsidR="002E671C" w:rsidRPr="00EA7828" w:rsidRDefault="002C5934">
            <w:pPr>
              <w:spacing w:after="0" w:line="240" w:lineRule="auto"/>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Correlation is significant at the 0.01 level (2-tailed).</w:t>
            </w:r>
          </w:p>
        </w:tc>
      </w:tr>
      <w:tr w:rsidR="002E671C" w:rsidRPr="00EA7828">
        <w:trPr>
          <w:cantSplit/>
        </w:trPr>
        <w:tc>
          <w:tcPr>
            <w:tcW w:w="9990" w:type="dxa"/>
            <w:gridSpan w:val="6"/>
            <w:shd w:val="clear" w:color="auto" w:fill="FFFFFF"/>
          </w:tcPr>
          <w:p w:rsidR="002E671C" w:rsidRPr="00EA7828" w:rsidRDefault="002C5934">
            <w:pPr>
              <w:spacing w:after="0" w:line="240" w:lineRule="auto"/>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Correlation is significant at the 0.05 level (2-tailed).</w:t>
            </w:r>
          </w:p>
        </w:tc>
      </w:tr>
    </w:tbl>
    <w:p w:rsidR="009D13FE" w:rsidRDefault="009D13FE" w:rsidP="002A7DF9">
      <w:pPr>
        <w:spacing w:line="480" w:lineRule="auto"/>
        <w:jc w:val="both"/>
        <w:rPr>
          <w:rStyle w:val="fontstyle01"/>
          <w:rFonts w:ascii="Times New Roman" w:eastAsia="Times New Roman" w:hAnsi="Times New Roman" w:cs="Times New Roman"/>
          <w:b/>
          <w:bCs/>
          <w:sz w:val="25"/>
          <w:szCs w:val="25"/>
        </w:rPr>
      </w:pPr>
    </w:p>
    <w:p w:rsidR="002A7DF9" w:rsidRPr="00EA7828" w:rsidRDefault="002A7DF9" w:rsidP="002A7DF9">
      <w:pPr>
        <w:spacing w:line="480" w:lineRule="auto"/>
        <w:jc w:val="both"/>
        <w:rPr>
          <w:rFonts w:ascii="Times New Roman" w:eastAsia="Times New Roman" w:hAnsi="Times New Roman" w:cs="Times New Roman"/>
          <w:color w:val="1C1C1C"/>
          <w:sz w:val="25"/>
          <w:szCs w:val="25"/>
        </w:rPr>
      </w:pPr>
      <w:r w:rsidRPr="00EA7828">
        <w:rPr>
          <w:rStyle w:val="fontstyle01"/>
          <w:rFonts w:ascii="Times New Roman" w:eastAsia="Times New Roman" w:hAnsi="Times New Roman" w:cs="Times New Roman"/>
          <w:color w:val="1C1C1C"/>
          <w:sz w:val="25"/>
          <w:szCs w:val="25"/>
        </w:rPr>
        <w:t xml:space="preserve">Table 4.5.4 shows the component dominion of green human resource management's correlation coefficients, which show that reward and compensation management (r=0.775), training and development (r=0.807), and recruitment and selection (r=0.667) have all been found to positively impact organizational competitiveness in the relationship model of the chosen bank. This suggests that GHRM relationships are effective predictors of organizational competitiveness and that an increase in each GHRM factor's dimension will increase organizational competitiveness in goal and functional approaches, while a decrease in the GHRM factors of green recruitment and selection, training and development, reward and compensation management will result in an organizational competitiveness decrease at a level of significance of 5%. This finding supports earlier research by Ahmed Zaid, </w:t>
      </w:r>
      <w:proofErr w:type="spellStart"/>
      <w:r w:rsidRPr="00EA7828">
        <w:rPr>
          <w:rStyle w:val="fontstyle01"/>
          <w:rFonts w:ascii="Times New Roman" w:eastAsia="Times New Roman" w:hAnsi="Times New Roman" w:cs="Times New Roman"/>
          <w:color w:val="1C1C1C"/>
          <w:sz w:val="25"/>
          <w:szCs w:val="25"/>
        </w:rPr>
        <w:t>Ayham</w:t>
      </w:r>
      <w:proofErr w:type="spellEnd"/>
      <w:r w:rsidRPr="00EA7828">
        <w:rPr>
          <w:rStyle w:val="fontstyle01"/>
          <w:rFonts w:ascii="Times New Roman" w:eastAsia="Times New Roman" w:hAnsi="Times New Roman" w:cs="Times New Roman"/>
          <w:color w:val="1C1C1C"/>
          <w:sz w:val="25"/>
          <w:szCs w:val="25"/>
        </w:rPr>
        <w:t xml:space="preserve"> </w:t>
      </w:r>
      <w:proofErr w:type="spellStart"/>
      <w:r w:rsidRPr="00EA7828">
        <w:rPr>
          <w:rStyle w:val="fontstyle01"/>
          <w:rFonts w:ascii="Times New Roman" w:eastAsia="Times New Roman" w:hAnsi="Times New Roman" w:cs="Times New Roman"/>
          <w:color w:val="1C1C1C"/>
          <w:sz w:val="25"/>
          <w:szCs w:val="25"/>
        </w:rPr>
        <w:t>Jaaron</w:t>
      </w:r>
      <w:proofErr w:type="spellEnd"/>
      <w:r w:rsidRPr="00EA7828">
        <w:rPr>
          <w:rStyle w:val="fontstyle01"/>
          <w:rFonts w:ascii="Times New Roman" w:eastAsia="Times New Roman" w:hAnsi="Times New Roman" w:cs="Times New Roman"/>
          <w:color w:val="1C1C1C"/>
          <w:sz w:val="25"/>
          <w:szCs w:val="25"/>
        </w:rPr>
        <w:t xml:space="preserve">, and Abdul </w:t>
      </w:r>
      <w:proofErr w:type="spellStart"/>
      <w:r w:rsidRPr="00EA7828">
        <w:rPr>
          <w:rStyle w:val="fontstyle01"/>
          <w:rFonts w:ascii="Times New Roman" w:eastAsia="Times New Roman" w:hAnsi="Times New Roman" w:cs="Times New Roman"/>
          <w:color w:val="1C1C1C"/>
          <w:sz w:val="25"/>
          <w:szCs w:val="25"/>
        </w:rPr>
        <w:t>Talib</w:t>
      </w:r>
      <w:proofErr w:type="spellEnd"/>
      <w:r w:rsidRPr="00EA7828">
        <w:rPr>
          <w:rStyle w:val="fontstyle01"/>
          <w:rFonts w:ascii="Times New Roman" w:eastAsia="Times New Roman" w:hAnsi="Times New Roman" w:cs="Times New Roman"/>
          <w:color w:val="1C1C1C"/>
          <w:sz w:val="25"/>
          <w:szCs w:val="25"/>
        </w:rPr>
        <w:t xml:space="preserve"> Bon (2018), who discovered that green human resource management techniques have a favorable impact on the long-term success of a firm.</w:t>
      </w:r>
    </w:p>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H</w:t>
      </w:r>
      <w:r w:rsidRPr="00EA7828">
        <w:rPr>
          <w:rFonts w:ascii="Times New Roman" w:hAnsi="Times New Roman" w:cs="Times New Roman"/>
          <w:b/>
          <w:sz w:val="25"/>
          <w:szCs w:val="25"/>
          <w:vertAlign w:val="subscript"/>
        </w:rPr>
        <w:t>03</w:t>
      </w:r>
      <w:r w:rsidRPr="00EA7828">
        <w:rPr>
          <w:rFonts w:ascii="Times New Roman" w:hAnsi="Times New Roman" w:cs="Times New Roman"/>
          <w:b/>
          <w:sz w:val="25"/>
          <w:szCs w:val="25"/>
        </w:rPr>
        <w:t xml:space="preserve">: Green Human Resource Management practices has no role on organizational resilience of GTB </w:t>
      </w:r>
    </w:p>
    <w:p w:rsidR="002E671C" w:rsidRPr="00EA7828" w:rsidRDefault="002E671C">
      <w:pPr>
        <w:autoSpaceDE w:val="0"/>
        <w:autoSpaceDN w:val="0"/>
        <w:adjustRightInd w:val="0"/>
        <w:spacing w:after="0" w:line="360" w:lineRule="auto"/>
        <w:rPr>
          <w:rFonts w:ascii="Times New Roman" w:hAnsi="Times New Roman" w:cs="Times New Roman"/>
          <w:b/>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rsidRPr="00EA7828">
        <w:trPr>
          <w:cantSplit/>
        </w:trPr>
        <w:tc>
          <w:tcPr>
            <w:tcW w:w="5828" w:type="dxa"/>
            <w:gridSpan w:val="5"/>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4.5.7: Model Summary</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 of the Estimate</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.919</w:t>
            </w:r>
            <w:r w:rsidRPr="00EA7828">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.845</w:t>
            </w:r>
          </w:p>
        </w:tc>
        <w:tc>
          <w:tcPr>
            <w:tcW w:w="1469"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.67711</w:t>
            </w:r>
          </w:p>
        </w:tc>
      </w:tr>
      <w:tr w:rsidR="002E671C" w:rsidRPr="00EA7828">
        <w:trPr>
          <w:cantSplit/>
        </w:trPr>
        <w:tc>
          <w:tcPr>
            <w:tcW w:w="5828" w:type="dxa"/>
            <w:gridSpan w:val="5"/>
            <w:tcBorders>
              <w:top w:val="nil"/>
              <w:left w:val="nil"/>
              <w:bottom w:val="nil"/>
              <w:right w:val="nil"/>
            </w:tcBorders>
            <w:shd w:val="clear" w:color="auto" w:fill="FFFFFF"/>
          </w:tcPr>
          <w:p w:rsidR="002E671C" w:rsidRPr="00EA7828" w:rsidRDefault="002C5934">
            <w:pPr>
              <w:pStyle w:val="ListParagraph1"/>
              <w:numPr>
                <w:ilvl w:val="0"/>
                <w:numId w:val="3"/>
              </w:numPr>
              <w:autoSpaceDE w:val="0"/>
              <w:autoSpaceDN w:val="0"/>
              <w:adjustRightInd w:val="0"/>
              <w:spacing w:after="0" w:line="360" w:lineRule="auto"/>
              <w:ind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Predictors: (Constant), GHRM</w:t>
            </w:r>
          </w:p>
        </w:tc>
      </w:tr>
    </w:tbl>
    <w:p w:rsidR="002E671C" w:rsidRPr="00EA7828" w:rsidRDefault="002E671C">
      <w:pPr>
        <w:spacing w:line="480" w:lineRule="auto"/>
        <w:ind w:firstLine="720"/>
        <w:jc w:val="both"/>
        <w:rPr>
          <w:rFonts w:ascii="Times New Roman" w:hAnsi="Times New Roman" w:cs="Times New Roman"/>
          <w:sz w:val="25"/>
          <w:szCs w:val="25"/>
        </w:rPr>
      </w:pPr>
    </w:p>
    <w:p w:rsidR="002E671C" w:rsidRPr="00EA7828" w:rsidRDefault="00D06D68">
      <w:pPr>
        <w:spacing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w:t>
      </w:r>
      <w:r w:rsidR="002C5934" w:rsidRPr="00EA7828">
        <w:rPr>
          <w:rFonts w:ascii="Times New Roman" w:hAnsi="Times New Roman" w:cs="Times New Roman"/>
          <w:sz w:val="25"/>
          <w:szCs w:val="25"/>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rsidRPr="00EA7828">
        <w:trPr>
          <w:cantSplit/>
        </w:trPr>
        <w:tc>
          <w:tcPr>
            <w:tcW w:w="7969"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 xml:space="preserve">Table 4.5.8: </w:t>
            </w:r>
            <w:proofErr w:type="spellStart"/>
            <w:r w:rsidRPr="00EA7828">
              <w:rPr>
                <w:rFonts w:ascii="Times New Roman" w:hAnsi="Times New Roman" w:cs="Times New Roman"/>
                <w:b/>
                <w:bCs/>
                <w:color w:val="000000"/>
                <w:sz w:val="25"/>
                <w:szCs w:val="25"/>
              </w:rPr>
              <w:t>ANOVA</w:t>
            </w:r>
            <w:r w:rsidRPr="00EA7828">
              <w:rPr>
                <w:rFonts w:ascii="Times New Roman" w:hAnsi="Times New Roman" w:cs="Times New Roman"/>
                <w:b/>
                <w:bCs/>
                <w:color w:val="000000"/>
                <w:sz w:val="25"/>
                <w:szCs w:val="25"/>
                <w:vertAlign w:val="superscript"/>
              </w:rPr>
              <w:t>a</w:t>
            </w:r>
            <w:proofErr w:type="spellEnd"/>
          </w:p>
        </w:tc>
      </w:tr>
      <w:tr w:rsidR="002E671C" w:rsidRPr="00EA782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proofErr w:type="spellStart"/>
            <w:r w:rsidRPr="00EA7828">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Mean Square</w:t>
            </w:r>
          </w:p>
        </w:tc>
        <w:tc>
          <w:tcPr>
            <w:tcW w:w="108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160.901</w:t>
            </w:r>
          </w:p>
        </w:tc>
        <w:tc>
          <w:tcPr>
            <w:tcW w:w="99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160.901</w:t>
            </w:r>
          </w:p>
        </w:tc>
        <w:tc>
          <w:tcPr>
            <w:tcW w:w="108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261.203</w:t>
            </w:r>
          </w:p>
        </w:tc>
        <w:tc>
          <w:tcPr>
            <w:tcW w:w="994"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r w:rsidRPr="00EA7828">
              <w:rPr>
                <w:rFonts w:ascii="Times New Roman" w:hAnsi="Times New Roman" w:cs="Times New Roman"/>
                <w:color w:val="000000"/>
                <w:sz w:val="25"/>
                <w:szCs w:val="25"/>
                <w:vertAlign w:val="superscript"/>
              </w:rPr>
              <w:t>b</w:t>
            </w:r>
          </w:p>
        </w:tc>
      </w:tr>
      <w:tr w:rsidR="002E671C" w:rsidRPr="00EA782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29.580</w:t>
            </w:r>
          </w:p>
        </w:tc>
        <w:tc>
          <w:tcPr>
            <w:tcW w:w="994" w:type="dxa"/>
            <w:tcBorders>
              <w:top w:val="nil"/>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.616</w:t>
            </w:r>
          </w:p>
        </w:tc>
        <w:tc>
          <w:tcPr>
            <w:tcW w:w="1085" w:type="dxa"/>
            <w:tcBorders>
              <w:top w:val="nil"/>
              <w:bottom w:val="nil"/>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r>
      <w:tr w:rsidR="002E671C" w:rsidRPr="00EA782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190.481</w:t>
            </w:r>
          </w:p>
        </w:tc>
        <w:tc>
          <w:tcPr>
            <w:tcW w:w="99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1085"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Resilience (Environmental Effectiveness)</w:t>
            </w: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 Predictors: (Constant), GHRM</w:t>
            </w:r>
          </w:p>
        </w:tc>
      </w:tr>
    </w:tbl>
    <w:p w:rsidR="002E671C" w:rsidRPr="00EA7828" w:rsidRDefault="002E671C">
      <w:pPr>
        <w:autoSpaceDE w:val="0"/>
        <w:autoSpaceDN w:val="0"/>
        <w:adjustRightInd w:val="0"/>
        <w:spacing w:after="0" w:line="360" w:lineRule="auto"/>
        <w:rPr>
          <w:rFonts w:ascii="Times New Roman" w:hAnsi="Times New Roman" w:cs="Times New Roman"/>
          <w:sz w:val="25"/>
          <w:szCs w:val="25"/>
        </w:rPr>
      </w:pPr>
    </w:p>
    <w:p w:rsidR="002E671C" w:rsidRPr="00EA7828" w:rsidRDefault="00D06D68">
      <w:pPr>
        <w:tabs>
          <w:tab w:val="left" w:pos="4107"/>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2E671C" w:rsidRPr="00EA7828">
        <w:trPr>
          <w:cantSplit/>
        </w:trPr>
        <w:tc>
          <w:tcPr>
            <w:tcW w:w="9040"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 xml:space="preserve">Regression </w:t>
            </w:r>
            <w:proofErr w:type="spellStart"/>
            <w:r w:rsidRPr="00EA7828">
              <w:rPr>
                <w:rFonts w:ascii="Times New Roman" w:hAnsi="Times New Roman" w:cs="Times New Roman"/>
                <w:b/>
                <w:bCs/>
                <w:color w:val="000000"/>
                <w:sz w:val="25"/>
                <w:szCs w:val="25"/>
              </w:rPr>
              <w:t>Coefficients</w:t>
            </w:r>
            <w:r w:rsidRPr="00EA7828">
              <w:rPr>
                <w:rFonts w:ascii="Times New Roman" w:hAnsi="Times New Roman" w:cs="Times New Roman"/>
                <w:b/>
                <w:bCs/>
                <w:color w:val="000000"/>
                <w:sz w:val="25"/>
                <w:szCs w:val="25"/>
                <w:vertAlign w:val="superscript"/>
              </w:rPr>
              <w:t>a</w:t>
            </w:r>
            <w:proofErr w:type="spellEnd"/>
          </w:p>
        </w:tc>
      </w:tr>
      <w:tr w:rsidR="002E671C" w:rsidRPr="00EA7828">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r>
      <w:tr w:rsidR="002E671C" w:rsidRPr="00EA782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2189"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.210</w:t>
            </w:r>
          </w:p>
        </w:tc>
        <w:tc>
          <w:tcPr>
            <w:tcW w:w="1330"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.054</w:t>
            </w:r>
          </w:p>
        </w:tc>
        <w:tc>
          <w:tcPr>
            <w:tcW w:w="1468" w:type="dxa"/>
            <w:tcBorders>
              <w:top w:val="single" w:sz="16" w:space="0" w:color="000000"/>
              <w:bottom w:val="nil"/>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3.889</w:t>
            </w:r>
          </w:p>
        </w:tc>
        <w:tc>
          <w:tcPr>
            <w:tcW w:w="994"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.007</w:t>
            </w:r>
          </w:p>
        </w:tc>
      </w:tr>
      <w:tr w:rsidR="002E671C" w:rsidRPr="00EA782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2189"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GHRM</w:t>
            </w:r>
          </w:p>
        </w:tc>
        <w:tc>
          <w:tcPr>
            <w:tcW w:w="1330"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.952</w:t>
            </w:r>
          </w:p>
        </w:tc>
        <w:tc>
          <w:tcPr>
            <w:tcW w:w="133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.028</w:t>
            </w:r>
          </w:p>
        </w:tc>
        <w:tc>
          <w:tcPr>
            <w:tcW w:w="1468"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.919</w:t>
            </w:r>
          </w:p>
        </w:tc>
        <w:tc>
          <w:tcPr>
            <w:tcW w:w="99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33.636</w:t>
            </w:r>
          </w:p>
        </w:tc>
        <w:tc>
          <w:tcPr>
            <w:tcW w:w="994" w:type="dxa"/>
            <w:tcBorders>
              <w:top w:val="nil"/>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p>
        </w:tc>
      </w:tr>
      <w:tr w:rsidR="002E671C" w:rsidRPr="00EA7828">
        <w:trPr>
          <w:cantSplit/>
        </w:trPr>
        <w:tc>
          <w:tcPr>
            <w:tcW w:w="9040"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Resilience (Environmental Effectiveness)</w:t>
            </w:r>
          </w:p>
        </w:tc>
      </w:tr>
    </w:tbl>
    <w:p w:rsidR="002E671C" w:rsidRPr="00EA7828" w:rsidRDefault="002E671C">
      <w:pPr>
        <w:spacing w:line="480" w:lineRule="auto"/>
        <w:ind w:firstLine="720"/>
        <w:jc w:val="both"/>
        <w:rPr>
          <w:rFonts w:ascii="Times New Roman" w:hAnsi="Times New Roman" w:cs="Times New Roman"/>
          <w:sz w:val="25"/>
          <w:szCs w:val="25"/>
        </w:rPr>
      </w:pPr>
    </w:p>
    <w:p w:rsidR="002E671C" w:rsidRPr="00EA7828" w:rsidRDefault="002C5934" w:rsidP="00BA3EEB">
      <w:pPr>
        <w:spacing w:after="0" w:line="480" w:lineRule="auto"/>
        <w:jc w:val="both"/>
        <w:outlineLvl w:val="0"/>
        <w:rPr>
          <w:rFonts w:ascii="Times New Roman" w:hAnsi="Times New Roman" w:cs="Times New Roman"/>
          <w:sz w:val="25"/>
          <w:szCs w:val="25"/>
          <w:shd w:val="clear" w:color="auto" w:fill="FFFFFF"/>
        </w:rPr>
      </w:pPr>
      <w:r w:rsidRPr="00EA7828">
        <w:rPr>
          <w:rFonts w:ascii="Times New Roman" w:hAnsi="Times New Roman" w:cs="Times New Roman"/>
          <w:sz w:val="25"/>
          <w:szCs w:val="25"/>
        </w:rPr>
        <w:t xml:space="preserve">The regression coefficient of the model in table above indicates the significant role of the constant is β=0.210 whereas; the beta value for the predictor variable (GHRM) is 0.952. The t-value of 33.636 and the p-value of .000 indicates the model is significant at p&lt;0.05. Therefore, the regression coefficient (Beta= 0.952) implies the level of organizational resilience in environmental effectiveness is increase by 95.2% as the GHRM practice increase by 1%. With the value of constant (0.210) in the regression coefficients above, it is predicted that the removing the GHRM practice from the model has significant effect on organizational effectiveness because of the significant reduction in organizational resilience of the selected bank. Therefore, it is concluded that there is a significant role of GHRM practice on the resilience activities of the organizational effectiveness. This aligned with the previous work of </w:t>
      </w:r>
      <w:proofErr w:type="spellStart"/>
      <w:r w:rsidRPr="00EA7828">
        <w:rPr>
          <w:rFonts w:ascii="Times New Roman" w:eastAsia="Times New Roman" w:hAnsi="Times New Roman" w:cs="Times New Roman"/>
          <w:kern w:val="36"/>
          <w:sz w:val="25"/>
          <w:szCs w:val="25"/>
          <w:lang w:eastAsia="zh-CN"/>
        </w:rPr>
        <w:t>Nosheen</w:t>
      </w:r>
      <w:proofErr w:type="spellEnd"/>
      <w:r w:rsidRPr="00EA7828">
        <w:rPr>
          <w:rFonts w:ascii="Times New Roman" w:eastAsia="Times New Roman" w:hAnsi="Times New Roman" w:cs="Times New Roman"/>
          <w:kern w:val="36"/>
          <w:sz w:val="25"/>
          <w:szCs w:val="25"/>
          <w:lang w:eastAsia="zh-CN"/>
        </w:rPr>
        <w:t xml:space="preserve"> Anwar, </w:t>
      </w:r>
      <w:proofErr w:type="spellStart"/>
      <w:r w:rsidRPr="00EA7828">
        <w:rPr>
          <w:rFonts w:ascii="Times New Roman" w:eastAsia="Times New Roman" w:hAnsi="Times New Roman" w:cs="Times New Roman"/>
          <w:kern w:val="36"/>
          <w:sz w:val="25"/>
          <w:szCs w:val="25"/>
          <w:lang w:eastAsia="zh-CN"/>
        </w:rPr>
        <w:t>Nik</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Hasnaa</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Nik</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Mahmood</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Mohd</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Yousoff</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Yusliza</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Ramayah</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Juhari</w:t>
      </w:r>
      <w:proofErr w:type="spellEnd"/>
      <w:r w:rsidRPr="00EA7828">
        <w:rPr>
          <w:rFonts w:ascii="Times New Roman" w:eastAsia="Times New Roman" w:hAnsi="Times New Roman" w:cs="Times New Roman"/>
          <w:kern w:val="36"/>
          <w:sz w:val="25"/>
          <w:szCs w:val="25"/>
          <w:lang w:eastAsia="zh-CN"/>
        </w:rPr>
        <w:t xml:space="preserve">, Noor </w:t>
      </w:r>
      <w:proofErr w:type="spellStart"/>
      <w:r w:rsidRPr="00EA7828">
        <w:rPr>
          <w:rFonts w:ascii="Times New Roman" w:eastAsia="Times New Roman" w:hAnsi="Times New Roman" w:cs="Times New Roman"/>
          <w:kern w:val="36"/>
          <w:sz w:val="25"/>
          <w:szCs w:val="25"/>
          <w:lang w:eastAsia="zh-CN"/>
        </w:rPr>
        <w:t>Faezah</w:t>
      </w:r>
      <w:proofErr w:type="spellEnd"/>
      <w:r w:rsidRPr="00EA7828">
        <w:rPr>
          <w:rFonts w:ascii="Times New Roman" w:eastAsia="Times New Roman" w:hAnsi="Times New Roman" w:cs="Times New Roman"/>
          <w:kern w:val="36"/>
          <w:sz w:val="25"/>
          <w:szCs w:val="25"/>
          <w:lang w:eastAsia="zh-CN"/>
        </w:rPr>
        <w:t xml:space="preserve"> and </w:t>
      </w:r>
      <w:proofErr w:type="spellStart"/>
      <w:r w:rsidRPr="00EA7828">
        <w:rPr>
          <w:rFonts w:ascii="Times New Roman" w:eastAsia="Times New Roman" w:hAnsi="Times New Roman" w:cs="Times New Roman"/>
          <w:kern w:val="36"/>
          <w:sz w:val="25"/>
          <w:szCs w:val="25"/>
          <w:lang w:eastAsia="zh-CN"/>
        </w:rPr>
        <w:t>Waqas</w:t>
      </w:r>
      <w:proofErr w:type="spellEnd"/>
      <w:r w:rsidRPr="00EA7828">
        <w:rPr>
          <w:rFonts w:ascii="Times New Roman" w:eastAsia="Times New Roman" w:hAnsi="Times New Roman" w:cs="Times New Roman"/>
          <w:kern w:val="36"/>
          <w:sz w:val="25"/>
          <w:szCs w:val="25"/>
          <w:lang w:eastAsia="zh-CN"/>
        </w:rPr>
        <w:t xml:space="preserve"> Khalid, (2020) who found that </w:t>
      </w:r>
      <w:r w:rsidRPr="00EA7828">
        <w:rPr>
          <w:rFonts w:ascii="Times New Roman" w:hAnsi="Times New Roman" w:cs="Times New Roman"/>
          <w:sz w:val="25"/>
          <w:szCs w:val="25"/>
          <w:shd w:val="clear" w:color="auto" w:fill="FFFFFF"/>
        </w:rPr>
        <w:t>staff acted as a means through which the Green HRM practices can positively influence the environmental performance; which this current findings have highlighting the critical role of management and non-management staff’s environmentally friendly behavior for improving the resilience in environmental performance of a bank.</w:t>
      </w:r>
    </w:p>
    <w:p w:rsidR="00BA3EEB" w:rsidRPr="00EA7828" w:rsidRDefault="00BA3EEB" w:rsidP="00BA3EEB">
      <w:pPr>
        <w:autoSpaceDE w:val="0"/>
        <w:autoSpaceDN w:val="0"/>
        <w:adjustRightInd w:val="0"/>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lastRenderedPageBreak/>
        <w:t>4.5 Discussion of Findings</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This study set out to investigate the role of Green Human Resource Management (GHRM) practices in shaping organizational performance in the 21st century, using Guaranty Trust Bank (GTB) in Ilorin, </w:t>
      </w:r>
      <w:proofErr w:type="spellStart"/>
      <w:r w:rsidRPr="00EA7828">
        <w:rPr>
          <w:rFonts w:ascii="Times New Roman" w:hAnsi="Times New Roman" w:cs="Times New Roman"/>
          <w:sz w:val="25"/>
          <w:szCs w:val="25"/>
        </w:rPr>
        <w:t>Kwara</w:t>
      </w:r>
      <w:proofErr w:type="spellEnd"/>
      <w:r w:rsidRPr="00EA7828">
        <w:rPr>
          <w:rFonts w:ascii="Times New Roman" w:hAnsi="Times New Roman" w:cs="Times New Roman"/>
          <w:sz w:val="25"/>
          <w:szCs w:val="25"/>
        </w:rPr>
        <w:t xml:space="preserve"> State as a case study. The findings provide empirical evidence supporting the notion that GHRM practices significantly contribute to organizational effectiveness, a key component of performance in contemporary organizations.</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The analysis of the first hypothesis revealed that approximately 44% of the variance in organizational effectiveness could be attributed directly to Green Human Resource Management, as operationalized through performance management appraisal practices. This implies that while GHRM practices play a substantial role, 56% of organizational effectiveness is still influenced by other factors not captured in this model, indicating that GHRM is a significant but not solitary contributor to performance.</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The regression analysis demonstrated that GHRM, as measured through performance management appraisal, was statistically significant (β = 0.702), confirming that an increase in GHRM initiatives correlates with an increase in organizational effectiveness. This finding is consistent with the work of </w:t>
      </w:r>
      <w:proofErr w:type="spellStart"/>
      <w:r w:rsidRPr="00EA7828">
        <w:rPr>
          <w:rFonts w:ascii="Times New Roman" w:hAnsi="Times New Roman" w:cs="Times New Roman"/>
          <w:sz w:val="25"/>
          <w:szCs w:val="25"/>
        </w:rPr>
        <w:t>Mousa</w:t>
      </w:r>
      <w:proofErr w:type="spellEnd"/>
      <w:r w:rsidRPr="00EA7828">
        <w:rPr>
          <w:rFonts w:ascii="Times New Roman" w:hAnsi="Times New Roman" w:cs="Times New Roman"/>
          <w:sz w:val="25"/>
          <w:szCs w:val="25"/>
        </w:rPr>
        <w:t xml:space="preserve"> and Othman (2020), who argued that the adoption of green performance management methods varies by industry, with a more pronounced impact observed in sectors such as banking compared to others like healthcare.</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lastRenderedPageBreak/>
        <w:t>Moreover, the statistical significance of the regression coefficient (t = 17.825, p = 0.001 &lt; 0.05) at the 5% level affirms the robustness of the model. The vector error correction (c = -0.381) suggests that if GTB were to neglect GHRM practices, organizational effectiveness could decline by approximately 38.1%, potentially affecting strategic goal achievement and overall operational sustainability.</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Further analysis explored the relationship between key GHRM dimensions—green recruitment and selection (r = 0.667), training and development (r = 0.807), and reward and compensation management (r = 0.775)—and organizational competitiveness. These strong positive correlations indicate that improvements in each of these green HR components are likely to enhance the bank’s competitive position. This supports the findings of Zaid, </w:t>
      </w:r>
      <w:proofErr w:type="spellStart"/>
      <w:r w:rsidRPr="00EA7828">
        <w:rPr>
          <w:rFonts w:ascii="Times New Roman" w:hAnsi="Times New Roman" w:cs="Times New Roman"/>
          <w:sz w:val="25"/>
          <w:szCs w:val="25"/>
        </w:rPr>
        <w:t>Jaaron</w:t>
      </w:r>
      <w:proofErr w:type="spellEnd"/>
      <w:r w:rsidRPr="00EA7828">
        <w:rPr>
          <w:rFonts w:ascii="Times New Roman" w:hAnsi="Times New Roman" w:cs="Times New Roman"/>
          <w:sz w:val="25"/>
          <w:szCs w:val="25"/>
        </w:rPr>
        <w:t>, and Bon (2018), who highlighted the positive impact of GHRM practices on long-term organizational success.</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Finally, the regression coefficient (Beta = 0.952) indicated that a 1% increase in GHRM practices leads to a 95.2% increase in organizational resilience concerning environmental effectiveness. Conversely, the removal of GHRM practices is predicted to lead to a significant drop in resilience, as shown by the constant value (0.210) in the regression model. These insights align with the findings of Anwar et al. (2020), who emphasized that environmentally responsible behaviors among staff are crucial mediators through which GHRM enhances environmental performance and resilience.</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lastRenderedPageBreak/>
        <w:t>Overall, the findings underscore the pivotal role that GHRM practices play in shaping not only the operational but also the strategic performance of organizations in the 21st century. The incorporation of green values into HR functions enhances not just immediate efficiency but also long-term sustainability, competitiveness, and organizational resilience.</w:t>
      </w:r>
    </w:p>
    <w:p w:rsidR="00BA3EEB" w:rsidRDefault="00BA3EEB">
      <w:pPr>
        <w:rPr>
          <w:rFonts w:ascii="Times New Roman" w:hAnsi="Times New Roman" w:cs="Times New Roman"/>
          <w:b/>
          <w:sz w:val="26"/>
          <w:szCs w:val="26"/>
        </w:rPr>
      </w:pPr>
      <w:r>
        <w:rPr>
          <w:rFonts w:ascii="Times New Roman" w:hAnsi="Times New Roman" w:cs="Times New Roman"/>
          <w:b/>
          <w:sz w:val="26"/>
          <w:szCs w:val="26"/>
        </w:rPr>
        <w:br w:type="page"/>
      </w:r>
    </w:p>
    <w:p w:rsidR="00D06D68" w:rsidRPr="00376F11" w:rsidRDefault="00D06D68" w:rsidP="00D06D68">
      <w:pPr>
        <w:autoSpaceDE w:val="0"/>
        <w:autoSpaceDN w:val="0"/>
        <w:adjustRightInd w:val="0"/>
        <w:spacing w:after="0" w:line="480" w:lineRule="auto"/>
        <w:ind w:firstLine="720"/>
        <w:jc w:val="both"/>
        <w:rPr>
          <w:rFonts w:ascii="Times New Roman" w:hAnsi="Times New Roman" w:cs="Times New Roman"/>
          <w:b/>
          <w:sz w:val="26"/>
          <w:szCs w:val="26"/>
        </w:rPr>
      </w:pPr>
    </w:p>
    <w:p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CHAPTER FIVE</w:t>
      </w:r>
    </w:p>
    <w:p w:rsidR="00BA3EEB" w:rsidRDefault="00BA3EEB" w:rsidP="00BA3EEB">
      <w:pPr>
        <w:spacing w:line="480" w:lineRule="auto"/>
        <w:jc w:val="center"/>
        <w:rPr>
          <w:rFonts w:ascii="Times New Roman" w:hAnsi="Times New Roman" w:cs="Times New Roman"/>
          <w:sz w:val="26"/>
          <w:szCs w:val="26"/>
        </w:rPr>
      </w:pPr>
      <w:r w:rsidRPr="00376F11">
        <w:rPr>
          <w:rFonts w:ascii="Times New Roman" w:hAnsi="Times New Roman" w:cs="Times New Roman"/>
          <w:b/>
          <w:sz w:val="26"/>
          <w:szCs w:val="26"/>
        </w:rPr>
        <w:t>SUMMARY, CONCLUSION AND RECOMMENDATIONS</w:t>
      </w:r>
    </w:p>
    <w:p w:rsidR="00BA3EEB" w:rsidRPr="00EA7828" w:rsidRDefault="00BA3EEB" w:rsidP="00BA3EEB">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Summary of Findings</w:t>
      </w:r>
    </w:p>
    <w:p w:rsidR="00BA3EEB" w:rsidRPr="00EA7828" w:rsidRDefault="00BA3EEB" w:rsidP="00BA3EEB">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This study, conducted using Guaranty Trust Bank (GTB) </w:t>
      </w:r>
      <w:proofErr w:type="spellStart"/>
      <w:r w:rsidRPr="00EA7828">
        <w:rPr>
          <w:rFonts w:ascii="Times New Roman" w:eastAsia="Times New Roman" w:hAnsi="Times New Roman" w:cs="Times New Roman"/>
          <w:sz w:val="25"/>
          <w:szCs w:val="25"/>
        </w:rPr>
        <w:t>Plc</w:t>
      </w:r>
      <w:proofErr w:type="spellEnd"/>
      <w:r w:rsidRPr="00EA7828">
        <w:rPr>
          <w:rFonts w:ascii="Times New Roman" w:eastAsia="Times New Roman" w:hAnsi="Times New Roman" w:cs="Times New Roman"/>
          <w:sz w:val="25"/>
          <w:szCs w:val="25"/>
        </w:rPr>
        <w:t xml:space="preserve">, Ilorin, </w:t>
      </w:r>
      <w:proofErr w:type="spellStart"/>
      <w:r w:rsidRPr="00EA7828">
        <w:rPr>
          <w:rFonts w:ascii="Times New Roman" w:eastAsia="Times New Roman" w:hAnsi="Times New Roman" w:cs="Times New Roman"/>
          <w:sz w:val="25"/>
          <w:szCs w:val="25"/>
        </w:rPr>
        <w:t>Kwara</w:t>
      </w:r>
      <w:proofErr w:type="spellEnd"/>
      <w:r w:rsidRPr="00EA7828">
        <w:rPr>
          <w:rFonts w:ascii="Times New Roman" w:eastAsia="Times New Roman" w:hAnsi="Times New Roman" w:cs="Times New Roman"/>
          <w:sz w:val="25"/>
          <w:szCs w:val="25"/>
        </w:rPr>
        <w:t xml:space="preserve"> State as a case study, examined the role of Green Human Resource Management (GHRM) practices in shaping organizational performance in the 21st century. The findings reveal that employees at GTB value and positively respond to key GHRM elements such as green recruitment and selection, performance appraisal, training and development, as well as rewards and compensation systems. These practices contribute significantly to the bank’s organizational effectiveness, competitiveness, and overall functional performance.</w:t>
      </w:r>
    </w:p>
    <w:p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 xml:space="preserve">Despite challenges, particularly during critical periods such as the COVID-19 pandemic, GHRM practices have proven to be vital to GTB’s operations. Employees acknowledge the importance of integrating environmental sustainability into human resource functions, especially in the areas of performance appraisal, talent acquisition, training, and rewards management. These practices have enhanced employee engagement and performance, ultimately improving organizational outcomes (Renwick et al., 2013; </w:t>
      </w:r>
      <w:proofErr w:type="spellStart"/>
      <w:r w:rsidRPr="00BA3EEB">
        <w:rPr>
          <w:rFonts w:ascii="Times New Roman" w:eastAsia="Times New Roman" w:hAnsi="Times New Roman" w:cs="Times New Roman"/>
          <w:sz w:val="25"/>
          <w:szCs w:val="25"/>
        </w:rPr>
        <w:t>Jabbour</w:t>
      </w:r>
      <w:proofErr w:type="spellEnd"/>
      <w:r w:rsidRPr="00BA3EEB">
        <w:rPr>
          <w:rFonts w:ascii="Times New Roman" w:eastAsia="Times New Roman" w:hAnsi="Times New Roman" w:cs="Times New Roman"/>
          <w:sz w:val="25"/>
          <w:szCs w:val="25"/>
        </w:rPr>
        <w:t xml:space="preserve"> &amp; de Sousa </w:t>
      </w:r>
      <w:proofErr w:type="spellStart"/>
      <w:r w:rsidRPr="00BA3EEB">
        <w:rPr>
          <w:rFonts w:ascii="Times New Roman" w:eastAsia="Times New Roman" w:hAnsi="Times New Roman" w:cs="Times New Roman"/>
          <w:sz w:val="25"/>
          <w:szCs w:val="25"/>
        </w:rPr>
        <w:t>Jabbour</w:t>
      </w:r>
      <w:proofErr w:type="spellEnd"/>
      <w:r w:rsidRPr="00BA3EEB">
        <w:rPr>
          <w:rFonts w:ascii="Times New Roman" w:eastAsia="Times New Roman" w:hAnsi="Times New Roman" w:cs="Times New Roman"/>
          <w:sz w:val="25"/>
          <w:szCs w:val="25"/>
        </w:rPr>
        <w:t>, 2016).</w:t>
      </w:r>
    </w:p>
    <w:p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lastRenderedPageBreak/>
        <w:t>The study further identifies three key GHRM domains—green performance management, training and development, and rewards systems—as pivotal in shaping staff productivity in GTB. It confirms that these practices not only foster environmental consciousness among employees but also directly influence operational efficiency in the banking sector (Jackson et al., 2011).</w:t>
      </w:r>
    </w:p>
    <w:p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The study's empirical analysis, conducted at a 95% confidence level, concludes that:</w:t>
      </w:r>
    </w:p>
    <w:p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GHRM practices significantly influence GTB’s organizational effectiveness.</w:t>
      </w:r>
    </w:p>
    <w:p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A statistically significant relationship exists between GHRM and the bank’s competitiveness.</w:t>
      </w:r>
    </w:p>
    <w:p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However, GHRM practices show no statistically significant impact on GTB’s organizational resilience.</w:t>
      </w:r>
    </w:p>
    <w:p w:rsidR="002D5825" w:rsidRPr="00EA7828" w:rsidRDefault="00BA3EEB" w:rsidP="00BA3EEB">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These findings reinforce the idea that the broader implementation of GHRM contributes meaningfully to organizational goals while offering a sustainable pathway to improved performance.</w:t>
      </w:r>
    </w:p>
    <w:p w:rsidR="002D5825" w:rsidRPr="00EA7828" w:rsidRDefault="002D5825" w:rsidP="002D5825">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C</w:t>
      </w:r>
      <w:r w:rsidR="00BA3EEB" w:rsidRPr="00EA7828">
        <w:rPr>
          <w:rFonts w:ascii="Times New Roman" w:eastAsia="Times New Roman" w:hAnsi="Times New Roman" w:cs="Times New Roman"/>
          <w:b/>
          <w:bCs/>
          <w:sz w:val="25"/>
          <w:szCs w:val="25"/>
        </w:rPr>
        <w:t>onclusion</w:t>
      </w:r>
    </w:p>
    <w:p w:rsidR="002D5825" w:rsidRPr="00EA7828" w:rsidRDefault="00BA3EEB" w:rsidP="002D5825">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The results of this study indicate that the implementation of GHRM practices is integral to enhancing organizational performance in the contemporary banking sector. Elements such as sustainable performance appraisals, green recruitment, employee development, and incentive-based reward systems collectively play a key role in improving both functional and </w:t>
      </w:r>
      <w:r w:rsidRPr="00EA7828">
        <w:rPr>
          <w:rFonts w:ascii="Times New Roman" w:eastAsia="Times New Roman" w:hAnsi="Times New Roman" w:cs="Times New Roman"/>
          <w:sz w:val="25"/>
          <w:szCs w:val="25"/>
        </w:rPr>
        <w:lastRenderedPageBreak/>
        <w:t>systemic performance within GTB. These practices align with system resource and goal attainment models of organizational effectiveness (</w:t>
      </w:r>
      <w:proofErr w:type="spellStart"/>
      <w:r w:rsidRPr="00EA7828">
        <w:rPr>
          <w:rFonts w:ascii="Times New Roman" w:eastAsia="Times New Roman" w:hAnsi="Times New Roman" w:cs="Times New Roman"/>
          <w:sz w:val="25"/>
          <w:szCs w:val="25"/>
        </w:rPr>
        <w:t>Yusliza</w:t>
      </w:r>
      <w:proofErr w:type="spellEnd"/>
      <w:r w:rsidRPr="00EA7828">
        <w:rPr>
          <w:rFonts w:ascii="Times New Roman" w:eastAsia="Times New Roman" w:hAnsi="Times New Roman" w:cs="Times New Roman"/>
          <w:sz w:val="25"/>
          <w:szCs w:val="25"/>
        </w:rPr>
        <w:t xml:space="preserve"> et al., 2017).</w:t>
      </w:r>
      <w:r w:rsidR="002D5825" w:rsidRPr="00EA7828">
        <w:rPr>
          <w:rFonts w:ascii="Times New Roman" w:hAnsi="Times New Roman" w:cs="Times New Roman"/>
          <w:sz w:val="25"/>
          <w:szCs w:val="25"/>
        </w:rPr>
        <w:t xml:space="preserve"> </w:t>
      </w:r>
      <w:r w:rsidRPr="00BA3EEB">
        <w:rPr>
          <w:rFonts w:ascii="Times New Roman" w:eastAsia="Times New Roman" w:hAnsi="Times New Roman" w:cs="Times New Roman"/>
          <w:sz w:val="25"/>
          <w:szCs w:val="25"/>
        </w:rPr>
        <w:t xml:space="preserve">In an industry as dynamic and demanding as banking, GHRM also contributes to organizational adaptability and resilience by promoting sustainable behavior and proactive change management among staff (Zaid, </w:t>
      </w:r>
      <w:proofErr w:type="spellStart"/>
      <w:r w:rsidRPr="00BA3EEB">
        <w:rPr>
          <w:rFonts w:ascii="Times New Roman" w:eastAsia="Times New Roman" w:hAnsi="Times New Roman" w:cs="Times New Roman"/>
          <w:sz w:val="25"/>
          <w:szCs w:val="25"/>
        </w:rPr>
        <w:t>Jaaron</w:t>
      </w:r>
      <w:proofErr w:type="spellEnd"/>
      <w:r w:rsidRPr="00BA3EEB">
        <w:rPr>
          <w:rFonts w:ascii="Times New Roman" w:eastAsia="Times New Roman" w:hAnsi="Times New Roman" w:cs="Times New Roman"/>
          <w:sz w:val="25"/>
          <w:szCs w:val="25"/>
        </w:rPr>
        <w:t>, &amp; Bon, 2018). Notably, the green performance appraisal mechanism has emerged as particularly effective in motivating employees, a result amplified when supported by equitable compensation and development opportunities.</w:t>
      </w:r>
    </w:p>
    <w:p w:rsidR="002D5825" w:rsidRPr="00EA7828" w:rsidRDefault="00BA3EEB" w:rsidP="002D5825">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GHRM is thus not merely a corporate trend but a strategic imperative. Its integrated implementation strengthens internal capabilities and supports sustainable growth. For the banking sector, it is essential that top management recognize and embed GHRM elements as part of strategic human resource management to achieve superior performance outcomes in the 21st century.</w:t>
      </w:r>
    </w:p>
    <w:p w:rsidR="002D5825" w:rsidRPr="00EA7828" w:rsidRDefault="00BA3EEB" w:rsidP="002D5825">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Ultimately, organizations aiming for excellence must pursue strategic, inclusive, and sustainable HR practices. In doing so, both managerial and non-managerial personnel must collaboratively drive GHRM initiatives that benefit the environment, the workforce,</w:t>
      </w:r>
      <w:r w:rsidRPr="00EA7828">
        <w:rPr>
          <w:rFonts w:ascii="Times New Roman" w:eastAsia="Times New Roman" w:hAnsi="Times New Roman" w:cs="Times New Roman"/>
          <w:sz w:val="25"/>
          <w:szCs w:val="25"/>
        </w:rPr>
        <w:t xml:space="preserve"> and the institution as a whole</w:t>
      </w:r>
    </w:p>
    <w:p w:rsidR="002D5825" w:rsidRPr="00EA7828" w:rsidRDefault="00BA3EEB" w:rsidP="002D5825">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Recommendations</w:t>
      </w:r>
    </w:p>
    <w:p w:rsidR="002D5825" w:rsidRPr="00EA7828" w:rsidRDefault="00BA3EEB" w:rsidP="002D5825">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Based on the findings, the following recommendations are proposed to further embed and maximize the impact of GHRM within the banking industry:</w:t>
      </w:r>
    </w:p>
    <w:p w:rsidR="002D5825"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lastRenderedPageBreak/>
        <w:t>Enhance Performance Management Practices</w:t>
      </w:r>
      <w:r w:rsidRPr="00EA7828">
        <w:rPr>
          <w:rFonts w:ascii="Times New Roman" w:eastAsia="Times New Roman" w:hAnsi="Times New Roman" w:cs="Times New Roman"/>
          <w:sz w:val="25"/>
          <w:szCs w:val="25"/>
        </w:rPr>
        <w:t>: Banks should refine their performance appraisal systems by integrating sustainability metrics and employee-driven environmental goals. This aligns human resource outputs with the green strategic objectives of the organization (Renwick et al., 2013).</w:t>
      </w:r>
    </w:p>
    <w:p w:rsidR="002D5825"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Implement Regular Assessments of GHRM Initiatives</w:t>
      </w:r>
      <w:r w:rsidRPr="00EA7828">
        <w:rPr>
          <w:rFonts w:ascii="Times New Roman" w:eastAsia="Times New Roman" w:hAnsi="Times New Roman" w:cs="Times New Roman"/>
          <w:sz w:val="25"/>
          <w:szCs w:val="25"/>
        </w:rPr>
        <w:t>: Continuous evaluation mechanisms should be introduced to assess the relevance and effectiveness of GHRM programs. This ensures adaptability and ongoing alignment with organizational performance metrics and employee expectations.</w:t>
      </w:r>
    </w:p>
    <w:p w:rsidR="00BA3EEB"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Balance Green Rewards with Workload Demands</w:t>
      </w:r>
      <w:r w:rsidRPr="00EA7828">
        <w:rPr>
          <w:rFonts w:ascii="Times New Roman" w:eastAsia="Times New Roman" w:hAnsi="Times New Roman" w:cs="Times New Roman"/>
          <w:sz w:val="25"/>
          <w:szCs w:val="25"/>
        </w:rPr>
        <w:t>: To encourage sustained green behavior, the banking industry should establish fair and motivating reward structures.</w:t>
      </w:r>
      <w:r w:rsidR="002D5825" w:rsidRPr="00EA7828">
        <w:rPr>
          <w:rFonts w:ascii="Times New Roman" w:eastAsia="Times New Roman" w:hAnsi="Times New Roman" w:cs="Times New Roman"/>
          <w:sz w:val="25"/>
          <w:szCs w:val="25"/>
        </w:rPr>
        <w:t xml:space="preserve"> </w:t>
      </w:r>
      <w:r w:rsidRPr="00EA7828">
        <w:rPr>
          <w:rFonts w:ascii="Times New Roman" w:eastAsia="Times New Roman" w:hAnsi="Times New Roman" w:cs="Times New Roman"/>
          <w:sz w:val="25"/>
          <w:szCs w:val="25"/>
        </w:rPr>
        <w:t>These should consider sector-specific demands while supporting the long-term sustainability goals of the organization.</w:t>
      </w: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EA7828" w:rsidP="00EA7828">
      <w:pPr>
        <w:rPr>
          <w:rFonts w:ascii="Times New Roman" w:hAnsi="Times New Roman" w:cs="Times New Roman"/>
          <w:b/>
          <w:bCs/>
          <w:sz w:val="26"/>
          <w:szCs w:val="26"/>
        </w:rPr>
      </w:pPr>
      <w:r>
        <w:rPr>
          <w:rFonts w:ascii="Times New Roman" w:hAnsi="Times New Roman" w:cs="Times New Roman"/>
          <w:b/>
          <w:bCs/>
          <w:sz w:val="26"/>
          <w:szCs w:val="26"/>
        </w:rPr>
        <w:br w:type="page"/>
      </w:r>
    </w:p>
    <w:p w:rsidR="004F167A" w:rsidRPr="00376F11" w:rsidRDefault="004F167A">
      <w:pPr>
        <w:spacing w:line="480" w:lineRule="auto"/>
        <w:jc w:val="both"/>
        <w:rPr>
          <w:rFonts w:ascii="Times New Roman" w:hAnsi="Times New Roman" w:cs="Times New Roman"/>
          <w:sz w:val="26"/>
          <w:szCs w:val="26"/>
        </w:rPr>
      </w:pPr>
    </w:p>
    <w:p w:rsidR="004F167A" w:rsidRPr="00376F11" w:rsidRDefault="002D5825" w:rsidP="002D5825">
      <w:pPr>
        <w:spacing w:line="480" w:lineRule="auto"/>
        <w:jc w:val="center"/>
        <w:rPr>
          <w:rFonts w:ascii="Times New Roman" w:hAnsi="Times New Roman" w:cs="Times New Roman"/>
          <w:sz w:val="26"/>
          <w:szCs w:val="26"/>
        </w:rPr>
      </w:pPr>
      <w:r w:rsidRPr="00376F11">
        <w:rPr>
          <w:rFonts w:ascii="Times New Roman" w:hAnsi="Times New Roman" w:cs="Times New Roman"/>
          <w:sz w:val="26"/>
          <w:szCs w:val="26"/>
        </w:rPr>
        <w:t>REFERENCES</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Backhaus, K. B. (2002). Corporate social responsibility: Applying a theory-based framework. Springer Science &amp; Business Media.</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Behrend</w:t>
      </w:r>
      <w:proofErr w:type="spellEnd"/>
      <w:r w:rsidRPr="00EA7828">
        <w:rPr>
          <w:rFonts w:ascii="Times New Roman" w:hAnsi="Times New Roman" w:cs="Times New Roman"/>
          <w:sz w:val="26"/>
          <w:szCs w:val="26"/>
        </w:rPr>
        <w:t>, T. S. (2009). The impact of environmental performance on firm-level outcomes: A longitudinal analysis of environmental reputation and financial performance. Journal of Applied Psychology, 94(4), 1325–1339. https://doi.org/10.1037/a0016687",</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Jackson, S. E., Renwick, D. W. S.,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C. J. C., &amp; Müller-</w:t>
      </w:r>
      <w:proofErr w:type="spellStart"/>
      <w:r w:rsidRPr="00EA7828">
        <w:rPr>
          <w:rFonts w:ascii="Times New Roman" w:hAnsi="Times New Roman" w:cs="Times New Roman"/>
          <w:sz w:val="26"/>
          <w:szCs w:val="26"/>
        </w:rPr>
        <w:t>Camen</w:t>
      </w:r>
      <w:proofErr w:type="spellEnd"/>
      <w:r w:rsidRPr="00EA7828">
        <w:rPr>
          <w:rFonts w:ascii="Times New Roman" w:hAnsi="Times New Roman" w:cs="Times New Roman"/>
          <w:sz w:val="26"/>
          <w:szCs w:val="26"/>
        </w:rPr>
        <w:t xml:space="preserve">, M. (2011). State-of-the-art and future directions for green human resource management: Introduction to the special issue. </w:t>
      </w:r>
      <w:proofErr w:type="spellStart"/>
      <w:r w:rsidRPr="00EA7828">
        <w:rPr>
          <w:rFonts w:ascii="Times New Roman" w:hAnsi="Times New Roman" w:cs="Times New Roman"/>
          <w:sz w:val="26"/>
          <w:szCs w:val="26"/>
        </w:rPr>
        <w:t>Zeitschrift</w:t>
      </w:r>
      <w:proofErr w:type="spellEnd"/>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für</w:t>
      </w:r>
      <w:proofErr w:type="spellEnd"/>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Personalforschung</w:t>
      </w:r>
      <w:proofErr w:type="spellEnd"/>
      <w:r w:rsidRPr="00EA7828">
        <w:rPr>
          <w:rFonts w:ascii="Times New Roman" w:hAnsi="Times New Roman" w:cs="Times New Roman"/>
          <w:sz w:val="26"/>
          <w:szCs w:val="26"/>
        </w:rPr>
        <w:t>, 25(2), 99–116. https://doi.org/10.1177/239700221102500203",</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C. J. C. (2010). Green human resource management: A comparative qualitative case study of a United States multinational corporation. Industrial and Corporate Change, 19(3), 751–779. https://doi.org/10.1093/icc/dtq001",</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xml:space="preserve">, C. J. C., &amp; de Sousa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A. B. L. (2016). Green human resource management and green supply chain management: Linking two emerging agendas. Journal of Cleaner Production, 112, 1824–1833. https://doi.org/10.1016/j.jclepro.2015.01.052",</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lastRenderedPageBreak/>
        <w:t xml:space="preserve">    </w:t>
      </w:r>
      <w:proofErr w:type="spellStart"/>
      <w:r w:rsidRPr="00EA7828">
        <w:rPr>
          <w:rFonts w:ascii="Times New Roman" w:hAnsi="Times New Roman" w:cs="Times New Roman"/>
          <w:sz w:val="26"/>
          <w:szCs w:val="26"/>
        </w:rPr>
        <w:t>Liebowitz</w:t>
      </w:r>
      <w:proofErr w:type="spellEnd"/>
      <w:r w:rsidRPr="00EA7828">
        <w:rPr>
          <w:rFonts w:ascii="Times New Roman" w:hAnsi="Times New Roman" w:cs="Times New Roman"/>
          <w:sz w:val="26"/>
          <w:szCs w:val="26"/>
        </w:rPr>
        <w:t>, J. (2010). Knowledge management and its link to artificial intelligence. Expert Systems with Applications, 37(2), 1096–1103. https://doi.org/10.1016/j.eswa.2009.06.064",</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Lii</w:t>
      </w:r>
      <w:proofErr w:type="spellEnd"/>
      <w:r w:rsidRPr="00EA7828">
        <w:rPr>
          <w:rFonts w:ascii="Times New Roman" w:hAnsi="Times New Roman" w:cs="Times New Roman"/>
          <w:sz w:val="26"/>
          <w:szCs w:val="26"/>
        </w:rPr>
        <w:t>, Y. S., &amp; Lee, M. (2012). Doing right leads to doing well: When the type of CSR and reputation interact to affect consumer evaluations of the firm. Journal of Business Ethics, 105(1), 69–81. https://doi.org/10.1007/s10551-011-0948-0",</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Mandip</w:t>
      </w:r>
      <w:proofErr w:type="spellEnd"/>
      <w:r w:rsidRPr="00EA7828">
        <w:rPr>
          <w:rFonts w:ascii="Times New Roman" w:hAnsi="Times New Roman" w:cs="Times New Roman"/>
          <w:sz w:val="26"/>
          <w:szCs w:val="26"/>
        </w:rPr>
        <w:t>, G. (2012). Green human resource management: Policies and practices. Springer Science &amp; Business Media.</w:t>
      </w:r>
      <w:proofErr w:type="gramStart"/>
      <w:r w:rsidRPr="00EA7828">
        <w:rPr>
          <w:rFonts w:ascii="Times New Roman" w:hAnsi="Times New Roman" w:cs="Times New Roman"/>
          <w:sz w:val="26"/>
          <w:szCs w:val="26"/>
        </w:rPr>
        <w:t>",</w:t>
      </w:r>
      <w:proofErr w:type="gramEnd"/>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Phillips, J. M. (2007). Stakeholder theory and organizational ethics. </w:t>
      </w:r>
      <w:proofErr w:type="spellStart"/>
      <w:r w:rsidRPr="00EA7828">
        <w:rPr>
          <w:rFonts w:ascii="Times New Roman" w:hAnsi="Times New Roman" w:cs="Times New Roman"/>
          <w:sz w:val="26"/>
          <w:szCs w:val="26"/>
        </w:rPr>
        <w:t>Berrett</w:t>
      </w:r>
      <w:proofErr w:type="spellEnd"/>
      <w:r w:rsidRPr="00EA7828">
        <w:rPr>
          <w:rFonts w:ascii="Times New Roman" w:hAnsi="Times New Roman" w:cs="Times New Roman"/>
          <w:sz w:val="26"/>
          <w:szCs w:val="26"/>
        </w:rPr>
        <w:t>-Koehler Publishers.</w:t>
      </w:r>
      <w:proofErr w:type="gramStart"/>
      <w:r w:rsidRPr="00EA7828">
        <w:rPr>
          <w:rFonts w:ascii="Times New Roman" w:hAnsi="Times New Roman" w:cs="Times New Roman"/>
          <w:sz w:val="26"/>
          <w:szCs w:val="26"/>
        </w:rPr>
        <w:t>",</w:t>
      </w:r>
      <w:proofErr w:type="gramEnd"/>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Renwick, D. W. S. (2008). Green human resource management: A review and research agenda. International Journal of Management Reviews, 10(1), 1–14. https://doi.org/10.1111/j.1468-2370.2007.00202.x",</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Renwick, D. W. S., Redman, T., &amp; Maguire, S. (2013). Green human resource management: A review and research agenda. International Journal of Management Reviews, 15(1), 1–14. https://doi.org/10.1111/j.1468-2370.2011.00328.x",</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lastRenderedPageBreak/>
        <w:t xml:space="preserve">    Renwick, D. W. S. (2013). Green HRM: A review, process model, and research agenda. Business Strategy and the Environment, 22(4), 263–276. https://doi.org/10.1002/bse.1761",</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Stringer, C. (2009). Greening the global economy. MIT Press.",</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Wehrmeyer</w:t>
      </w:r>
      <w:proofErr w:type="spellEnd"/>
      <w:r w:rsidRPr="00EA7828">
        <w:rPr>
          <w:rFonts w:ascii="Times New Roman" w:hAnsi="Times New Roman" w:cs="Times New Roman"/>
          <w:sz w:val="26"/>
          <w:szCs w:val="26"/>
        </w:rPr>
        <w:t>, W. (1996). Environmental management and business strategy: Leadership skills for the 21st century. Prentice Hall.</w:t>
      </w:r>
      <w:proofErr w:type="gramStart"/>
      <w:r w:rsidRPr="00EA7828">
        <w:rPr>
          <w:rFonts w:ascii="Times New Roman" w:hAnsi="Times New Roman" w:cs="Times New Roman"/>
          <w:sz w:val="26"/>
          <w:szCs w:val="26"/>
        </w:rPr>
        <w:t>",</w:t>
      </w:r>
      <w:proofErr w:type="gramEnd"/>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Williamson, I. O. (2003). Corporate social and environmental reporting: A comprehensive review. Corporate Social Responsibility and Environmental Management, 10(1), 14–26. https://doi.org/10.1002/csr.3",</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Yusliza</w:t>
      </w:r>
      <w:proofErr w:type="spellEnd"/>
      <w:r w:rsidRPr="00EA7828">
        <w:rPr>
          <w:rFonts w:ascii="Times New Roman" w:hAnsi="Times New Roman" w:cs="Times New Roman"/>
          <w:sz w:val="26"/>
          <w:szCs w:val="26"/>
        </w:rPr>
        <w:t xml:space="preserve">, M. Y., </w:t>
      </w:r>
      <w:proofErr w:type="spellStart"/>
      <w:r w:rsidRPr="00EA7828">
        <w:rPr>
          <w:rFonts w:ascii="Times New Roman" w:hAnsi="Times New Roman" w:cs="Times New Roman"/>
          <w:sz w:val="26"/>
          <w:szCs w:val="26"/>
        </w:rPr>
        <w:t>Ramayah</w:t>
      </w:r>
      <w:proofErr w:type="spellEnd"/>
      <w:r w:rsidRPr="00EA7828">
        <w:rPr>
          <w:rFonts w:ascii="Times New Roman" w:hAnsi="Times New Roman" w:cs="Times New Roman"/>
          <w:sz w:val="26"/>
          <w:szCs w:val="26"/>
        </w:rPr>
        <w:t>, T., &amp; Othman, N. (2017). HR roles and green HRM practices: Employee adoption and environmental sustainability. International Journal of Manpower, 38(7), 1036–1051. https://doi.org/10.1108/IJM-08-2015-0125",</w:t>
      </w:r>
    </w:p>
    <w:p w:rsidR="007E244E" w:rsidRPr="00376F11"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Zakaria</w:t>
      </w:r>
      <w:proofErr w:type="spellEnd"/>
      <w:r w:rsidRPr="00EA7828">
        <w:rPr>
          <w:rFonts w:ascii="Times New Roman" w:hAnsi="Times New Roman" w:cs="Times New Roman"/>
          <w:sz w:val="26"/>
          <w:szCs w:val="26"/>
        </w:rPr>
        <w:t>, N. (2012). The impact of training and development on organizational performance. International Journal of Academic Research in Business and Social Sciences, 2(1), 222–240.",</w:t>
      </w:r>
    </w:p>
    <w:sectPr w:rsidR="007E244E" w:rsidRPr="00376F11" w:rsidSect="00EA7828">
      <w:footerReference w:type="default" r:id="rId8"/>
      <w:pgSz w:w="12240" w:h="15840"/>
      <w:pgMar w:top="1440" w:right="1440" w:bottom="1440" w:left="1440" w:header="720" w:footer="21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FDC" w:rsidRDefault="00951FDC">
      <w:pPr>
        <w:spacing w:after="0" w:line="240" w:lineRule="auto"/>
      </w:pPr>
      <w:r>
        <w:separator/>
      </w:r>
    </w:p>
  </w:endnote>
  <w:endnote w:type="continuationSeparator" w:id="0">
    <w:p w:rsidR="00951FDC" w:rsidRDefault="0095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67743"/>
      <w:docPartObj>
        <w:docPartGallery w:val="Page Numbers (Bottom of Page)"/>
        <w:docPartUnique/>
      </w:docPartObj>
    </w:sdtPr>
    <w:sdtEndPr>
      <w:rPr>
        <w:noProof/>
      </w:rPr>
    </w:sdtEndPr>
    <w:sdtContent>
      <w:p w:rsidR="000C57BE" w:rsidRDefault="000C57BE">
        <w:pPr>
          <w:pStyle w:val="Footer"/>
          <w:jc w:val="center"/>
        </w:pPr>
        <w:r>
          <w:fldChar w:fldCharType="begin"/>
        </w:r>
        <w:r>
          <w:instrText xml:space="preserve"> PAGE   \* MERGEFORMAT </w:instrText>
        </w:r>
        <w:r>
          <w:fldChar w:fldCharType="separate"/>
        </w:r>
        <w:r w:rsidR="00512C04">
          <w:rPr>
            <w:noProof/>
          </w:rPr>
          <w:t>74</w:t>
        </w:r>
        <w:r>
          <w:rPr>
            <w:noProof/>
          </w:rPr>
          <w:fldChar w:fldCharType="end"/>
        </w:r>
      </w:p>
    </w:sdtContent>
  </w:sdt>
  <w:p w:rsidR="000C57BE" w:rsidRDefault="000C5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FDC" w:rsidRDefault="00951FDC">
      <w:pPr>
        <w:spacing w:after="0" w:line="240" w:lineRule="auto"/>
      </w:pPr>
      <w:r>
        <w:separator/>
      </w:r>
    </w:p>
  </w:footnote>
  <w:footnote w:type="continuationSeparator" w:id="0">
    <w:p w:rsidR="00951FDC" w:rsidRDefault="00951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528AC"/>
    <w:multiLevelType w:val="hybridMultilevel"/>
    <w:tmpl w:val="0DFC0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8B5CF5"/>
    <w:multiLevelType w:val="hybridMultilevel"/>
    <w:tmpl w:val="465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A099B"/>
    <w:multiLevelType w:val="multilevel"/>
    <w:tmpl w:val="3F6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045CC"/>
    <w:multiLevelType w:val="hybridMultilevel"/>
    <w:tmpl w:val="AA54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829AA"/>
    <w:multiLevelType w:val="hybridMultilevel"/>
    <w:tmpl w:val="B824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AB1195"/>
    <w:multiLevelType w:val="hybridMultilevel"/>
    <w:tmpl w:val="4892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D0219"/>
    <w:multiLevelType w:val="hybridMultilevel"/>
    <w:tmpl w:val="5E2A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63A68"/>
    <w:multiLevelType w:val="hybridMultilevel"/>
    <w:tmpl w:val="B71C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4126E"/>
    <w:multiLevelType w:val="hybridMultilevel"/>
    <w:tmpl w:val="122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25A87"/>
    <w:multiLevelType w:val="hybridMultilevel"/>
    <w:tmpl w:val="8314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D4274"/>
    <w:multiLevelType w:val="hybridMultilevel"/>
    <w:tmpl w:val="3FD64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D66B1"/>
    <w:multiLevelType w:val="multilevel"/>
    <w:tmpl w:val="3CE23A5A"/>
    <w:lvl w:ilvl="0">
      <w:start w:val="1"/>
      <w:numFmt w:val="decimal"/>
      <w:lvlText w:val="%1."/>
      <w:lvlJc w:val="left"/>
      <w:pPr>
        <w:ind w:left="720" w:hanging="360"/>
      </w:pPr>
    </w:lvl>
    <w:lvl w:ilvl="1">
      <w:start w:val="1"/>
      <w:numFmt w:val="decimal"/>
      <w:isLgl/>
      <w:lvlText w:val="%1.%2"/>
      <w:lvlJc w:val="left"/>
      <w:pPr>
        <w:ind w:left="735" w:hanging="375"/>
      </w:pPr>
      <w:rPr>
        <w:rFonts w:hint="default"/>
        <w:sz w:val="25"/>
      </w:rPr>
    </w:lvl>
    <w:lvl w:ilvl="2">
      <w:start w:val="1"/>
      <w:numFmt w:val="decimal"/>
      <w:isLgl/>
      <w:lvlText w:val="%1.%2.%3"/>
      <w:lvlJc w:val="left"/>
      <w:pPr>
        <w:ind w:left="1080" w:hanging="720"/>
      </w:pPr>
      <w:rPr>
        <w:rFonts w:hint="default"/>
        <w:sz w:val="25"/>
      </w:rPr>
    </w:lvl>
    <w:lvl w:ilvl="3">
      <w:start w:val="1"/>
      <w:numFmt w:val="decimal"/>
      <w:isLgl/>
      <w:lvlText w:val="%1.%2.%3.%4"/>
      <w:lvlJc w:val="left"/>
      <w:pPr>
        <w:ind w:left="1080" w:hanging="720"/>
      </w:pPr>
      <w:rPr>
        <w:rFonts w:hint="default"/>
        <w:sz w:val="25"/>
      </w:rPr>
    </w:lvl>
    <w:lvl w:ilvl="4">
      <w:start w:val="1"/>
      <w:numFmt w:val="decimal"/>
      <w:isLgl/>
      <w:lvlText w:val="%1.%2.%3.%4.%5"/>
      <w:lvlJc w:val="left"/>
      <w:pPr>
        <w:ind w:left="1440" w:hanging="1080"/>
      </w:pPr>
      <w:rPr>
        <w:rFonts w:hint="default"/>
        <w:sz w:val="25"/>
      </w:rPr>
    </w:lvl>
    <w:lvl w:ilvl="5">
      <w:start w:val="1"/>
      <w:numFmt w:val="decimal"/>
      <w:isLgl/>
      <w:lvlText w:val="%1.%2.%3.%4.%5.%6"/>
      <w:lvlJc w:val="left"/>
      <w:pPr>
        <w:ind w:left="1800" w:hanging="1440"/>
      </w:pPr>
      <w:rPr>
        <w:rFonts w:hint="default"/>
        <w:sz w:val="25"/>
      </w:rPr>
    </w:lvl>
    <w:lvl w:ilvl="6">
      <w:start w:val="1"/>
      <w:numFmt w:val="decimal"/>
      <w:isLgl/>
      <w:lvlText w:val="%1.%2.%3.%4.%5.%6.%7"/>
      <w:lvlJc w:val="left"/>
      <w:pPr>
        <w:ind w:left="1800" w:hanging="1440"/>
      </w:pPr>
      <w:rPr>
        <w:rFonts w:hint="default"/>
        <w:sz w:val="25"/>
      </w:rPr>
    </w:lvl>
    <w:lvl w:ilvl="7">
      <w:start w:val="1"/>
      <w:numFmt w:val="decimal"/>
      <w:isLgl/>
      <w:lvlText w:val="%1.%2.%3.%4.%5.%6.%7.%8"/>
      <w:lvlJc w:val="left"/>
      <w:pPr>
        <w:ind w:left="2160" w:hanging="1800"/>
      </w:pPr>
      <w:rPr>
        <w:rFonts w:hint="default"/>
        <w:sz w:val="25"/>
      </w:rPr>
    </w:lvl>
    <w:lvl w:ilvl="8">
      <w:start w:val="1"/>
      <w:numFmt w:val="decimal"/>
      <w:isLgl/>
      <w:lvlText w:val="%1.%2.%3.%4.%5.%6.%7.%8.%9"/>
      <w:lvlJc w:val="left"/>
      <w:pPr>
        <w:ind w:left="2160" w:hanging="1800"/>
      </w:pPr>
      <w:rPr>
        <w:rFonts w:hint="default"/>
        <w:sz w:val="25"/>
      </w:rPr>
    </w:lvl>
  </w:abstractNum>
  <w:abstractNum w:abstractNumId="15">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nsid w:val="4DA74396"/>
    <w:multiLevelType w:val="hybridMultilevel"/>
    <w:tmpl w:val="FDDC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784BA8"/>
    <w:multiLevelType w:val="hybridMultilevel"/>
    <w:tmpl w:val="3F0C3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22">
    <w:nsid w:val="6D010FA3"/>
    <w:multiLevelType w:val="multilevel"/>
    <w:tmpl w:val="2246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122912"/>
    <w:multiLevelType w:val="hybridMultilevel"/>
    <w:tmpl w:val="A8A41EE6"/>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3E86B7C"/>
    <w:multiLevelType w:val="multilevel"/>
    <w:tmpl w:val="FABEF1B6"/>
    <w:lvl w:ilvl="0">
      <w:start w:val="1"/>
      <w:numFmt w:val="decimal"/>
      <w:lvlText w:val="%1."/>
      <w:lvlJc w:val="left"/>
      <w:pPr>
        <w:ind w:left="720" w:hanging="360"/>
      </w:pPr>
    </w:lvl>
    <w:lvl w:ilvl="1">
      <w:start w:val="1"/>
      <w:numFmt w:val="decimal"/>
      <w:isLgl/>
      <w:lvlText w:val="%1.%2"/>
      <w:lvlJc w:val="left"/>
      <w:pPr>
        <w:ind w:left="765" w:hanging="405"/>
      </w:pPr>
      <w:rPr>
        <w:rFonts w:eastAsia="Times New Roman" w:hint="default"/>
        <w:b/>
        <w:sz w:val="27"/>
      </w:rPr>
    </w:lvl>
    <w:lvl w:ilvl="2">
      <w:start w:val="1"/>
      <w:numFmt w:val="decimal"/>
      <w:isLgl/>
      <w:lvlText w:val="%1.%2.%3"/>
      <w:lvlJc w:val="left"/>
      <w:pPr>
        <w:ind w:left="1080" w:hanging="720"/>
      </w:pPr>
      <w:rPr>
        <w:rFonts w:eastAsia="Times New Roman" w:hint="default"/>
        <w:b/>
        <w:sz w:val="27"/>
      </w:rPr>
    </w:lvl>
    <w:lvl w:ilvl="3">
      <w:start w:val="1"/>
      <w:numFmt w:val="decimal"/>
      <w:isLgl/>
      <w:lvlText w:val="%1.%2.%3.%4"/>
      <w:lvlJc w:val="left"/>
      <w:pPr>
        <w:ind w:left="1080" w:hanging="720"/>
      </w:pPr>
      <w:rPr>
        <w:rFonts w:eastAsia="Times New Roman" w:hint="default"/>
        <w:b/>
        <w:sz w:val="27"/>
      </w:rPr>
    </w:lvl>
    <w:lvl w:ilvl="4">
      <w:start w:val="1"/>
      <w:numFmt w:val="decimal"/>
      <w:isLgl/>
      <w:lvlText w:val="%1.%2.%3.%4.%5"/>
      <w:lvlJc w:val="left"/>
      <w:pPr>
        <w:ind w:left="1440" w:hanging="1080"/>
      </w:pPr>
      <w:rPr>
        <w:rFonts w:eastAsia="Times New Roman" w:hint="default"/>
        <w:b/>
        <w:sz w:val="27"/>
      </w:rPr>
    </w:lvl>
    <w:lvl w:ilvl="5">
      <w:start w:val="1"/>
      <w:numFmt w:val="decimal"/>
      <w:isLgl/>
      <w:lvlText w:val="%1.%2.%3.%4.%5.%6"/>
      <w:lvlJc w:val="left"/>
      <w:pPr>
        <w:ind w:left="1800" w:hanging="1440"/>
      </w:pPr>
      <w:rPr>
        <w:rFonts w:eastAsia="Times New Roman" w:hint="default"/>
        <w:b/>
        <w:sz w:val="27"/>
      </w:rPr>
    </w:lvl>
    <w:lvl w:ilvl="6">
      <w:start w:val="1"/>
      <w:numFmt w:val="decimal"/>
      <w:isLgl/>
      <w:lvlText w:val="%1.%2.%3.%4.%5.%6.%7"/>
      <w:lvlJc w:val="left"/>
      <w:pPr>
        <w:ind w:left="1800" w:hanging="1440"/>
      </w:pPr>
      <w:rPr>
        <w:rFonts w:eastAsia="Times New Roman" w:hint="default"/>
        <w:b/>
        <w:sz w:val="27"/>
      </w:rPr>
    </w:lvl>
    <w:lvl w:ilvl="7">
      <w:start w:val="1"/>
      <w:numFmt w:val="decimal"/>
      <w:isLgl/>
      <w:lvlText w:val="%1.%2.%3.%4.%5.%6.%7.%8"/>
      <w:lvlJc w:val="left"/>
      <w:pPr>
        <w:ind w:left="2160" w:hanging="1800"/>
      </w:pPr>
      <w:rPr>
        <w:rFonts w:eastAsia="Times New Roman" w:hint="default"/>
        <w:b/>
        <w:sz w:val="27"/>
      </w:rPr>
    </w:lvl>
    <w:lvl w:ilvl="8">
      <w:start w:val="1"/>
      <w:numFmt w:val="decimal"/>
      <w:isLgl/>
      <w:lvlText w:val="%1.%2.%3.%4.%5.%6.%7.%8.%9"/>
      <w:lvlJc w:val="left"/>
      <w:pPr>
        <w:ind w:left="2160" w:hanging="1800"/>
      </w:pPr>
      <w:rPr>
        <w:rFonts w:eastAsia="Times New Roman" w:hint="default"/>
        <w:b/>
        <w:sz w:val="27"/>
      </w:rPr>
    </w:lvl>
  </w:abstractNum>
  <w:abstractNum w:abstractNumId="25">
    <w:nsid w:val="76850D41"/>
    <w:multiLevelType w:val="multilevel"/>
    <w:tmpl w:val="68CCB6F8"/>
    <w:lvl w:ilvl="0">
      <w:start w:val="1"/>
      <w:numFmt w:val="decimal"/>
      <w:lvlText w:val="%1."/>
      <w:lvlJc w:val="left"/>
      <w:pPr>
        <w:ind w:left="720" w:hanging="360"/>
      </w:p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DA56693"/>
    <w:multiLevelType w:val="hybridMultilevel"/>
    <w:tmpl w:val="2598B150"/>
    <w:lvl w:ilvl="0" w:tplc="85A47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6"/>
  </w:num>
  <w:num w:numId="4">
    <w:abstractNumId w:val="15"/>
  </w:num>
  <w:num w:numId="5">
    <w:abstractNumId w:val="1"/>
  </w:num>
  <w:num w:numId="6">
    <w:abstractNumId w:val="19"/>
  </w:num>
  <w:num w:numId="7">
    <w:abstractNumId w:val="7"/>
  </w:num>
  <w:num w:numId="8">
    <w:abstractNumId w:val="21"/>
  </w:num>
  <w:num w:numId="9">
    <w:abstractNumId w:val="26"/>
  </w:num>
  <w:num w:numId="10">
    <w:abstractNumId w:val="0"/>
  </w:num>
  <w:num w:numId="11">
    <w:abstractNumId w:val="20"/>
  </w:num>
  <w:num w:numId="12">
    <w:abstractNumId w:val="8"/>
  </w:num>
  <w:num w:numId="13">
    <w:abstractNumId w:val="14"/>
  </w:num>
  <w:num w:numId="14">
    <w:abstractNumId w:val="24"/>
  </w:num>
  <w:num w:numId="15">
    <w:abstractNumId w:val="2"/>
  </w:num>
  <w:num w:numId="16">
    <w:abstractNumId w:val="11"/>
  </w:num>
  <w:num w:numId="17">
    <w:abstractNumId w:val="5"/>
  </w:num>
  <w:num w:numId="18">
    <w:abstractNumId w:val="23"/>
  </w:num>
  <w:num w:numId="19">
    <w:abstractNumId w:val="13"/>
  </w:num>
  <w:num w:numId="20">
    <w:abstractNumId w:val="9"/>
  </w:num>
  <w:num w:numId="21">
    <w:abstractNumId w:val="25"/>
  </w:num>
  <w:num w:numId="22">
    <w:abstractNumId w:val="10"/>
  </w:num>
  <w:num w:numId="23">
    <w:abstractNumId w:val="17"/>
  </w:num>
  <w:num w:numId="24">
    <w:abstractNumId w:val="3"/>
  </w:num>
  <w:num w:numId="25">
    <w:abstractNumId w:val="22"/>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1C"/>
    <w:rsid w:val="00096388"/>
    <w:rsid w:val="000C57BE"/>
    <w:rsid w:val="000E07B3"/>
    <w:rsid w:val="00105C8D"/>
    <w:rsid w:val="00132B9F"/>
    <w:rsid w:val="00134DCE"/>
    <w:rsid w:val="00171AE5"/>
    <w:rsid w:val="00190DFE"/>
    <w:rsid w:val="001F26CD"/>
    <w:rsid w:val="001F3411"/>
    <w:rsid w:val="002448D1"/>
    <w:rsid w:val="00281E2F"/>
    <w:rsid w:val="002A7DF9"/>
    <w:rsid w:val="002B322E"/>
    <w:rsid w:val="002C5934"/>
    <w:rsid w:val="002D20FE"/>
    <w:rsid w:val="002D5825"/>
    <w:rsid w:val="002E13BD"/>
    <w:rsid w:val="002E671C"/>
    <w:rsid w:val="00300578"/>
    <w:rsid w:val="00304405"/>
    <w:rsid w:val="00307755"/>
    <w:rsid w:val="00355AB5"/>
    <w:rsid w:val="003605E4"/>
    <w:rsid w:val="0037160F"/>
    <w:rsid w:val="00376F11"/>
    <w:rsid w:val="003F6AB5"/>
    <w:rsid w:val="004178BA"/>
    <w:rsid w:val="00447468"/>
    <w:rsid w:val="004761CA"/>
    <w:rsid w:val="004A4DB9"/>
    <w:rsid w:val="004B3CD9"/>
    <w:rsid w:val="004F167A"/>
    <w:rsid w:val="00512C04"/>
    <w:rsid w:val="005256F6"/>
    <w:rsid w:val="005720B9"/>
    <w:rsid w:val="005954E7"/>
    <w:rsid w:val="005D7349"/>
    <w:rsid w:val="005F592B"/>
    <w:rsid w:val="006356DD"/>
    <w:rsid w:val="00661993"/>
    <w:rsid w:val="006749F4"/>
    <w:rsid w:val="00684C48"/>
    <w:rsid w:val="006D007B"/>
    <w:rsid w:val="00717CE3"/>
    <w:rsid w:val="00726894"/>
    <w:rsid w:val="00761E1B"/>
    <w:rsid w:val="00766A2F"/>
    <w:rsid w:val="0077143D"/>
    <w:rsid w:val="00774BFD"/>
    <w:rsid w:val="007927B6"/>
    <w:rsid w:val="007A386C"/>
    <w:rsid w:val="007B7D85"/>
    <w:rsid w:val="007E244E"/>
    <w:rsid w:val="007E2816"/>
    <w:rsid w:val="00833387"/>
    <w:rsid w:val="0083616C"/>
    <w:rsid w:val="00851884"/>
    <w:rsid w:val="00867D0D"/>
    <w:rsid w:val="008C443E"/>
    <w:rsid w:val="008C6835"/>
    <w:rsid w:val="009147D8"/>
    <w:rsid w:val="00951FDC"/>
    <w:rsid w:val="009617EB"/>
    <w:rsid w:val="009D13FE"/>
    <w:rsid w:val="009D545C"/>
    <w:rsid w:val="009F4180"/>
    <w:rsid w:val="00A2418F"/>
    <w:rsid w:val="00A33CE2"/>
    <w:rsid w:val="00A9624D"/>
    <w:rsid w:val="00AA56F9"/>
    <w:rsid w:val="00AD0371"/>
    <w:rsid w:val="00B00A9F"/>
    <w:rsid w:val="00B162B4"/>
    <w:rsid w:val="00B22816"/>
    <w:rsid w:val="00B33E36"/>
    <w:rsid w:val="00B63660"/>
    <w:rsid w:val="00B9714E"/>
    <w:rsid w:val="00B97670"/>
    <w:rsid w:val="00BA3EEB"/>
    <w:rsid w:val="00BE1B34"/>
    <w:rsid w:val="00BF29C4"/>
    <w:rsid w:val="00C42C7D"/>
    <w:rsid w:val="00C644D5"/>
    <w:rsid w:val="00C9422C"/>
    <w:rsid w:val="00CA7AA7"/>
    <w:rsid w:val="00CE7FD4"/>
    <w:rsid w:val="00CF387B"/>
    <w:rsid w:val="00CF6909"/>
    <w:rsid w:val="00D06D68"/>
    <w:rsid w:val="00D15AF9"/>
    <w:rsid w:val="00D35C45"/>
    <w:rsid w:val="00D4496D"/>
    <w:rsid w:val="00D632A0"/>
    <w:rsid w:val="00D834FA"/>
    <w:rsid w:val="00DA4457"/>
    <w:rsid w:val="00DD4C88"/>
    <w:rsid w:val="00DE5F8D"/>
    <w:rsid w:val="00E6006B"/>
    <w:rsid w:val="00E7571B"/>
    <w:rsid w:val="00EA7828"/>
    <w:rsid w:val="00EE2BB2"/>
    <w:rsid w:val="00EE6BB2"/>
    <w:rsid w:val="00EF56BA"/>
    <w:rsid w:val="00F07985"/>
    <w:rsid w:val="00F314EF"/>
    <w:rsid w:val="00F427A3"/>
    <w:rsid w:val="00FA5E62"/>
    <w:rsid w:val="00FB523A"/>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99"/>
    <w:rsid w:val="00EE2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1298">
      <w:bodyDiv w:val="1"/>
      <w:marLeft w:val="0"/>
      <w:marRight w:val="0"/>
      <w:marTop w:val="0"/>
      <w:marBottom w:val="0"/>
      <w:divBdr>
        <w:top w:val="none" w:sz="0" w:space="0" w:color="auto"/>
        <w:left w:val="none" w:sz="0" w:space="0" w:color="auto"/>
        <w:bottom w:val="none" w:sz="0" w:space="0" w:color="auto"/>
        <w:right w:val="none" w:sz="0" w:space="0" w:color="auto"/>
      </w:divBdr>
    </w:div>
    <w:div w:id="124852161">
      <w:bodyDiv w:val="1"/>
      <w:marLeft w:val="0"/>
      <w:marRight w:val="0"/>
      <w:marTop w:val="0"/>
      <w:marBottom w:val="0"/>
      <w:divBdr>
        <w:top w:val="none" w:sz="0" w:space="0" w:color="auto"/>
        <w:left w:val="none" w:sz="0" w:space="0" w:color="auto"/>
        <w:bottom w:val="none" w:sz="0" w:space="0" w:color="auto"/>
        <w:right w:val="none" w:sz="0" w:space="0" w:color="auto"/>
      </w:divBdr>
    </w:div>
    <w:div w:id="223295385">
      <w:bodyDiv w:val="1"/>
      <w:marLeft w:val="0"/>
      <w:marRight w:val="0"/>
      <w:marTop w:val="0"/>
      <w:marBottom w:val="0"/>
      <w:divBdr>
        <w:top w:val="none" w:sz="0" w:space="0" w:color="auto"/>
        <w:left w:val="none" w:sz="0" w:space="0" w:color="auto"/>
        <w:bottom w:val="none" w:sz="0" w:space="0" w:color="auto"/>
        <w:right w:val="none" w:sz="0" w:space="0" w:color="auto"/>
      </w:divBdr>
    </w:div>
    <w:div w:id="265160424">
      <w:bodyDiv w:val="1"/>
      <w:marLeft w:val="0"/>
      <w:marRight w:val="0"/>
      <w:marTop w:val="0"/>
      <w:marBottom w:val="0"/>
      <w:divBdr>
        <w:top w:val="none" w:sz="0" w:space="0" w:color="auto"/>
        <w:left w:val="none" w:sz="0" w:space="0" w:color="auto"/>
        <w:bottom w:val="none" w:sz="0" w:space="0" w:color="auto"/>
        <w:right w:val="none" w:sz="0" w:space="0" w:color="auto"/>
      </w:divBdr>
    </w:div>
    <w:div w:id="361901527">
      <w:bodyDiv w:val="1"/>
      <w:marLeft w:val="0"/>
      <w:marRight w:val="0"/>
      <w:marTop w:val="0"/>
      <w:marBottom w:val="0"/>
      <w:divBdr>
        <w:top w:val="none" w:sz="0" w:space="0" w:color="auto"/>
        <w:left w:val="none" w:sz="0" w:space="0" w:color="auto"/>
        <w:bottom w:val="none" w:sz="0" w:space="0" w:color="auto"/>
        <w:right w:val="none" w:sz="0" w:space="0" w:color="auto"/>
      </w:divBdr>
      <w:divsChild>
        <w:div w:id="1614945196">
          <w:marLeft w:val="0"/>
          <w:marRight w:val="0"/>
          <w:marTop w:val="0"/>
          <w:marBottom w:val="0"/>
          <w:divBdr>
            <w:top w:val="none" w:sz="0" w:space="0" w:color="auto"/>
            <w:left w:val="none" w:sz="0" w:space="0" w:color="auto"/>
            <w:bottom w:val="none" w:sz="0" w:space="0" w:color="auto"/>
            <w:right w:val="none" w:sz="0" w:space="0" w:color="auto"/>
          </w:divBdr>
          <w:divsChild>
            <w:div w:id="1918008501">
              <w:marLeft w:val="0"/>
              <w:marRight w:val="0"/>
              <w:marTop w:val="0"/>
              <w:marBottom w:val="0"/>
              <w:divBdr>
                <w:top w:val="none" w:sz="0" w:space="0" w:color="auto"/>
                <w:left w:val="none" w:sz="0" w:space="0" w:color="auto"/>
                <w:bottom w:val="none" w:sz="0" w:space="0" w:color="auto"/>
                <w:right w:val="none" w:sz="0" w:space="0" w:color="auto"/>
              </w:divBdr>
              <w:divsChild>
                <w:div w:id="1096437929">
                  <w:marLeft w:val="0"/>
                  <w:marRight w:val="0"/>
                  <w:marTop w:val="0"/>
                  <w:marBottom w:val="0"/>
                  <w:divBdr>
                    <w:top w:val="none" w:sz="0" w:space="0" w:color="auto"/>
                    <w:left w:val="none" w:sz="0" w:space="0" w:color="auto"/>
                    <w:bottom w:val="none" w:sz="0" w:space="0" w:color="auto"/>
                    <w:right w:val="none" w:sz="0" w:space="0" w:color="auto"/>
                  </w:divBdr>
                  <w:divsChild>
                    <w:div w:id="29382724">
                      <w:marLeft w:val="0"/>
                      <w:marRight w:val="0"/>
                      <w:marTop w:val="0"/>
                      <w:marBottom w:val="0"/>
                      <w:divBdr>
                        <w:top w:val="none" w:sz="0" w:space="0" w:color="auto"/>
                        <w:left w:val="none" w:sz="0" w:space="0" w:color="auto"/>
                        <w:bottom w:val="none" w:sz="0" w:space="0" w:color="auto"/>
                        <w:right w:val="none" w:sz="0" w:space="0" w:color="auto"/>
                      </w:divBdr>
                      <w:divsChild>
                        <w:div w:id="355884689">
                          <w:marLeft w:val="0"/>
                          <w:marRight w:val="0"/>
                          <w:marTop w:val="0"/>
                          <w:marBottom w:val="0"/>
                          <w:divBdr>
                            <w:top w:val="none" w:sz="0" w:space="0" w:color="auto"/>
                            <w:left w:val="none" w:sz="0" w:space="0" w:color="auto"/>
                            <w:bottom w:val="none" w:sz="0" w:space="0" w:color="auto"/>
                            <w:right w:val="none" w:sz="0" w:space="0" w:color="auto"/>
                          </w:divBdr>
                          <w:divsChild>
                            <w:div w:id="1682244499">
                              <w:marLeft w:val="0"/>
                              <w:marRight w:val="0"/>
                              <w:marTop w:val="0"/>
                              <w:marBottom w:val="0"/>
                              <w:divBdr>
                                <w:top w:val="none" w:sz="0" w:space="0" w:color="auto"/>
                                <w:left w:val="none" w:sz="0" w:space="0" w:color="auto"/>
                                <w:bottom w:val="none" w:sz="0" w:space="0" w:color="auto"/>
                                <w:right w:val="none" w:sz="0" w:space="0" w:color="auto"/>
                              </w:divBdr>
                              <w:divsChild>
                                <w:div w:id="2102989908">
                                  <w:marLeft w:val="0"/>
                                  <w:marRight w:val="0"/>
                                  <w:marTop w:val="0"/>
                                  <w:marBottom w:val="0"/>
                                  <w:divBdr>
                                    <w:top w:val="none" w:sz="0" w:space="0" w:color="auto"/>
                                    <w:left w:val="none" w:sz="0" w:space="0" w:color="auto"/>
                                    <w:bottom w:val="none" w:sz="0" w:space="0" w:color="auto"/>
                                    <w:right w:val="none" w:sz="0" w:space="0" w:color="auto"/>
                                  </w:divBdr>
                                  <w:divsChild>
                                    <w:div w:id="815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619411">
      <w:bodyDiv w:val="1"/>
      <w:marLeft w:val="0"/>
      <w:marRight w:val="0"/>
      <w:marTop w:val="0"/>
      <w:marBottom w:val="0"/>
      <w:divBdr>
        <w:top w:val="none" w:sz="0" w:space="0" w:color="auto"/>
        <w:left w:val="none" w:sz="0" w:space="0" w:color="auto"/>
        <w:bottom w:val="none" w:sz="0" w:space="0" w:color="auto"/>
        <w:right w:val="none" w:sz="0" w:space="0" w:color="auto"/>
      </w:divBdr>
    </w:div>
    <w:div w:id="418869735">
      <w:bodyDiv w:val="1"/>
      <w:marLeft w:val="0"/>
      <w:marRight w:val="0"/>
      <w:marTop w:val="0"/>
      <w:marBottom w:val="0"/>
      <w:divBdr>
        <w:top w:val="none" w:sz="0" w:space="0" w:color="auto"/>
        <w:left w:val="none" w:sz="0" w:space="0" w:color="auto"/>
        <w:bottom w:val="none" w:sz="0" w:space="0" w:color="auto"/>
        <w:right w:val="none" w:sz="0" w:space="0" w:color="auto"/>
      </w:divBdr>
    </w:div>
    <w:div w:id="518397723">
      <w:bodyDiv w:val="1"/>
      <w:marLeft w:val="0"/>
      <w:marRight w:val="0"/>
      <w:marTop w:val="0"/>
      <w:marBottom w:val="0"/>
      <w:divBdr>
        <w:top w:val="none" w:sz="0" w:space="0" w:color="auto"/>
        <w:left w:val="none" w:sz="0" w:space="0" w:color="auto"/>
        <w:bottom w:val="none" w:sz="0" w:space="0" w:color="auto"/>
        <w:right w:val="none" w:sz="0" w:space="0" w:color="auto"/>
      </w:divBdr>
    </w:div>
    <w:div w:id="708378773">
      <w:bodyDiv w:val="1"/>
      <w:marLeft w:val="0"/>
      <w:marRight w:val="0"/>
      <w:marTop w:val="0"/>
      <w:marBottom w:val="0"/>
      <w:divBdr>
        <w:top w:val="none" w:sz="0" w:space="0" w:color="auto"/>
        <w:left w:val="none" w:sz="0" w:space="0" w:color="auto"/>
        <w:bottom w:val="none" w:sz="0" w:space="0" w:color="auto"/>
        <w:right w:val="none" w:sz="0" w:space="0" w:color="auto"/>
      </w:divBdr>
    </w:div>
    <w:div w:id="718481080">
      <w:bodyDiv w:val="1"/>
      <w:marLeft w:val="0"/>
      <w:marRight w:val="0"/>
      <w:marTop w:val="0"/>
      <w:marBottom w:val="0"/>
      <w:divBdr>
        <w:top w:val="none" w:sz="0" w:space="0" w:color="auto"/>
        <w:left w:val="none" w:sz="0" w:space="0" w:color="auto"/>
        <w:bottom w:val="none" w:sz="0" w:space="0" w:color="auto"/>
        <w:right w:val="none" w:sz="0" w:space="0" w:color="auto"/>
      </w:divBdr>
    </w:div>
    <w:div w:id="755714602">
      <w:bodyDiv w:val="1"/>
      <w:marLeft w:val="0"/>
      <w:marRight w:val="0"/>
      <w:marTop w:val="0"/>
      <w:marBottom w:val="0"/>
      <w:divBdr>
        <w:top w:val="none" w:sz="0" w:space="0" w:color="auto"/>
        <w:left w:val="none" w:sz="0" w:space="0" w:color="auto"/>
        <w:bottom w:val="none" w:sz="0" w:space="0" w:color="auto"/>
        <w:right w:val="none" w:sz="0" w:space="0" w:color="auto"/>
      </w:divBdr>
    </w:div>
    <w:div w:id="808523309">
      <w:bodyDiv w:val="1"/>
      <w:marLeft w:val="0"/>
      <w:marRight w:val="0"/>
      <w:marTop w:val="0"/>
      <w:marBottom w:val="0"/>
      <w:divBdr>
        <w:top w:val="none" w:sz="0" w:space="0" w:color="auto"/>
        <w:left w:val="none" w:sz="0" w:space="0" w:color="auto"/>
        <w:bottom w:val="none" w:sz="0" w:space="0" w:color="auto"/>
        <w:right w:val="none" w:sz="0" w:space="0" w:color="auto"/>
      </w:divBdr>
    </w:div>
    <w:div w:id="963265939">
      <w:bodyDiv w:val="1"/>
      <w:marLeft w:val="0"/>
      <w:marRight w:val="0"/>
      <w:marTop w:val="0"/>
      <w:marBottom w:val="0"/>
      <w:divBdr>
        <w:top w:val="none" w:sz="0" w:space="0" w:color="auto"/>
        <w:left w:val="none" w:sz="0" w:space="0" w:color="auto"/>
        <w:bottom w:val="none" w:sz="0" w:space="0" w:color="auto"/>
        <w:right w:val="none" w:sz="0" w:space="0" w:color="auto"/>
      </w:divBdr>
    </w:div>
    <w:div w:id="1021934782">
      <w:bodyDiv w:val="1"/>
      <w:marLeft w:val="0"/>
      <w:marRight w:val="0"/>
      <w:marTop w:val="0"/>
      <w:marBottom w:val="0"/>
      <w:divBdr>
        <w:top w:val="none" w:sz="0" w:space="0" w:color="auto"/>
        <w:left w:val="none" w:sz="0" w:space="0" w:color="auto"/>
        <w:bottom w:val="none" w:sz="0" w:space="0" w:color="auto"/>
        <w:right w:val="none" w:sz="0" w:space="0" w:color="auto"/>
      </w:divBdr>
    </w:div>
    <w:div w:id="1095396890">
      <w:bodyDiv w:val="1"/>
      <w:marLeft w:val="0"/>
      <w:marRight w:val="0"/>
      <w:marTop w:val="0"/>
      <w:marBottom w:val="0"/>
      <w:divBdr>
        <w:top w:val="none" w:sz="0" w:space="0" w:color="auto"/>
        <w:left w:val="none" w:sz="0" w:space="0" w:color="auto"/>
        <w:bottom w:val="none" w:sz="0" w:space="0" w:color="auto"/>
        <w:right w:val="none" w:sz="0" w:space="0" w:color="auto"/>
      </w:divBdr>
    </w:div>
    <w:div w:id="1118258643">
      <w:bodyDiv w:val="1"/>
      <w:marLeft w:val="0"/>
      <w:marRight w:val="0"/>
      <w:marTop w:val="0"/>
      <w:marBottom w:val="0"/>
      <w:divBdr>
        <w:top w:val="none" w:sz="0" w:space="0" w:color="auto"/>
        <w:left w:val="none" w:sz="0" w:space="0" w:color="auto"/>
        <w:bottom w:val="none" w:sz="0" w:space="0" w:color="auto"/>
        <w:right w:val="none" w:sz="0" w:space="0" w:color="auto"/>
      </w:divBdr>
    </w:div>
    <w:div w:id="1168473294">
      <w:bodyDiv w:val="1"/>
      <w:marLeft w:val="0"/>
      <w:marRight w:val="0"/>
      <w:marTop w:val="0"/>
      <w:marBottom w:val="0"/>
      <w:divBdr>
        <w:top w:val="none" w:sz="0" w:space="0" w:color="auto"/>
        <w:left w:val="none" w:sz="0" w:space="0" w:color="auto"/>
        <w:bottom w:val="none" w:sz="0" w:space="0" w:color="auto"/>
        <w:right w:val="none" w:sz="0" w:space="0" w:color="auto"/>
      </w:divBdr>
    </w:div>
    <w:div w:id="1316177658">
      <w:bodyDiv w:val="1"/>
      <w:marLeft w:val="0"/>
      <w:marRight w:val="0"/>
      <w:marTop w:val="0"/>
      <w:marBottom w:val="0"/>
      <w:divBdr>
        <w:top w:val="none" w:sz="0" w:space="0" w:color="auto"/>
        <w:left w:val="none" w:sz="0" w:space="0" w:color="auto"/>
        <w:bottom w:val="none" w:sz="0" w:space="0" w:color="auto"/>
        <w:right w:val="none" w:sz="0" w:space="0" w:color="auto"/>
      </w:divBdr>
    </w:div>
    <w:div w:id="1322808091">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68408898">
      <w:bodyDiv w:val="1"/>
      <w:marLeft w:val="0"/>
      <w:marRight w:val="0"/>
      <w:marTop w:val="0"/>
      <w:marBottom w:val="0"/>
      <w:divBdr>
        <w:top w:val="none" w:sz="0" w:space="0" w:color="auto"/>
        <w:left w:val="none" w:sz="0" w:space="0" w:color="auto"/>
        <w:bottom w:val="none" w:sz="0" w:space="0" w:color="auto"/>
        <w:right w:val="none" w:sz="0" w:space="0" w:color="auto"/>
      </w:divBdr>
    </w:div>
    <w:div w:id="1388382833">
      <w:bodyDiv w:val="1"/>
      <w:marLeft w:val="0"/>
      <w:marRight w:val="0"/>
      <w:marTop w:val="0"/>
      <w:marBottom w:val="0"/>
      <w:divBdr>
        <w:top w:val="none" w:sz="0" w:space="0" w:color="auto"/>
        <w:left w:val="none" w:sz="0" w:space="0" w:color="auto"/>
        <w:bottom w:val="none" w:sz="0" w:space="0" w:color="auto"/>
        <w:right w:val="none" w:sz="0" w:space="0" w:color="auto"/>
      </w:divBdr>
      <w:divsChild>
        <w:div w:id="1696956242">
          <w:marLeft w:val="0"/>
          <w:marRight w:val="0"/>
          <w:marTop w:val="0"/>
          <w:marBottom w:val="0"/>
          <w:divBdr>
            <w:top w:val="none" w:sz="0" w:space="0" w:color="auto"/>
            <w:left w:val="none" w:sz="0" w:space="0" w:color="auto"/>
            <w:bottom w:val="none" w:sz="0" w:space="0" w:color="auto"/>
            <w:right w:val="none" w:sz="0" w:space="0" w:color="auto"/>
          </w:divBdr>
          <w:divsChild>
            <w:div w:id="1124467591">
              <w:marLeft w:val="0"/>
              <w:marRight w:val="0"/>
              <w:marTop w:val="0"/>
              <w:marBottom w:val="0"/>
              <w:divBdr>
                <w:top w:val="none" w:sz="0" w:space="0" w:color="auto"/>
                <w:left w:val="none" w:sz="0" w:space="0" w:color="auto"/>
                <w:bottom w:val="none" w:sz="0" w:space="0" w:color="auto"/>
                <w:right w:val="none" w:sz="0" w:space="0" w:color="auto"/>
              </w:divBdr>
              <w:divsChild>
                <w:div w:id="1569488813">
                  <w:marLeft w:val="0"/>
                  <w:marRight w:val="0"/>
                  <w:marTop w:val="0"/>
                  <w:marBottom w:val="0"/>
                  <w:divBdr>
                    <w:top w:val="none" w:sz="0" w:space="0" w:color="auto"/>
                    <w:left w:val="none" w:sz="0" w:space="0" w:color="auto"/>
                    <w:bottom w:val="none" w:sz="0" w:space="0" w:color="auto"/>
                    <w:right w:val="none" w:sz="0" w:space="0" w:color="auto"/>
                  </w:divBdr>
                  <w:divsChild>
                    <w:div w:id="485557884">
                      <w:marLeft w:val="0"/>
                      <w:marRight w:val="0"/>
                      <w:marTop w:val="0"/>
                      <w:marBottom w:val="0"/>
                      <w:divBdr>
                        <w:top w:val="none" w:sz="0" w:space="0" w:color="auto"/>
                        <w:left w:val="none" w:sz="0" w:space="0" w:color="auto"/>
                        <w:bottom w:val="none" w:sz="0" w:space="0" w:color="auto"/>
                        <w:right w:val="none" w:sz="0" w:space="0" w:color="auto"/>
                      </w:divBdr>
                      <w:divsChild>
                        <w:div w:id="248545129">
                          <w:marLeft w:val="0"/>
                          <w:marRight w:val="0"/>
                          <w:marTop w:val="0"/>
                          <w:marBottom w:val="0"/>
                          <w:divBdr>
                            <w:top w:val="none" w:sz="0" w:space="0" w:color="auto"/>
                            <w:left w:val="none" w:sz="0" w:space="0" w:color="auto"/>
                            <w:bottom w:val="none" w:sz="0" w:space="0" w:color="auto"/>
                            <w:right w:val="none" w:sz="0" w:space="0" w:color="auto"/>
                          </w:divBdr>
                          <w:divsChild>
                            <w:div w:id="285503863">
                              <w:marLeft w:val="0"/>
                              <w:marRight w:val="0"/>
                              <w:marTop w:val="0"/>
                              <w:marBottom w:val="0"/>
                              <w:divBdr>
                                <w:top w:val="none" w:sz="0" w:space="0" w:color="auto"/>
                                <w:left w:val="none" w:sz="0" w:space="0" w:color="auto"/>
                                <w:bottom w:val="none" w:sz="0" w:space="0" w:color="auto"/>
                                <w:right w:val="none" w:sz="0" w:space="0" w:color="auto"/>
                              </w:divBdr>
                              <w:divsChild>
                                <w:div w:id="577518420">
                                  <w:marLeft w:val="0"/>
                                  <w:marRight w:val="0"/>
                                  <w:marTop w:val="0"/>
                                  <w:marBottom w:val="0"/>
                                  <w:divBdr>
                                    <w:top w:val="none" w:sz="0" w:space="0" w:color="auto"/>
                                    <w:left w:val="none" w:sz="0" w:space="0" w:color="auto"/>
                                    <w:bottom w:val="none" w:sz="0" w:space="0" w:color="auto"/>
                                    <w:right w:val="none" w:sz="0" w:space="0" w:color="auto"/>
                                  </w:divBdr>
                                  <w:divsChild>
                                    <w:div w:id="798258095">
                                      <w:marLeft w:val="0"/>
                                      <w:marRight w:val="0"/>
                                      <w:marTop w:val="0"/>
                                      <w:marBottom w:val="0"/>
                                      <w:divBdr>
                                        <w:top w:val="none" w:sz="0" w:space="0" w:color="auto"/>
                                        <w:left w:val="none" w:sz="0" w:space="0" w:color="auto"/>
                                        <w:bottom w:val="none" w:sz="0" w:space="0" w:color="auto"/>
                                        <w:right w:val="none" w:sz="0" w:space="0" w:color="auto"/>
                                      </w:divBdr>
                                      <w:divsChild>
                                        <w:div w:id="8814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683314">
      <w:bodyDiv w:val="1"/>
      <w:marLeft w:val="0"/>
      <w:marRight w:val="0"/>
      <w:marTop w:val="0"/>
      <w:marBottom w:val="0"/>
      <w:divBdr>
        <w:top w:val="none" w:sz="0" w:space="0" w:color="auto"/>
        <w:left w:val="none" w:sz="0" w:space="0" w:color="auto"/>
        <w:bottom w:val="none" w:sz="0" w:space="0" w:color="auto"/>
        <w:right w:val="none" w:sz="0" w:space="0" w:color="auto"/>
      </w:divBdr>
    </w:div>
    <w:div w:id="1550339920">
      <w:bodyDiv w:val="1"/>
      <w:marLeft w:val="0"/>
      <w:marRight w:val="0"/>
      <w:marTop w:val="0"/>
      <w:marBottom w:val="0"/>
      <w:divBdr>
        <w:top w:val="none" w:sz="0" w:space="0" w:color="auto"/>
        <w:left w:val="none" w:sz="0" w:space="0" w:color="auto"/>
        <w:bottom w:val="none" w:sz="0" w:space="0" w:color="auto"/>
        <w:right w:val="none" w:sz="0" w:space="0" w:color="auto"/>
      </w:divBdr>
    </w:div>
    <w:div w:id="1552425756">
      <w:bodyDiv w:val="1"/>
      <w:marLeft w:val="0"/>
      <w:marRight w:val="0"/>
      <w:marTop w:val="0"/>
      <w:marBottom w:val="0"/>
      <w:divBdr>
        <w:top w:val="none" w:sz="0" w:space="0" w:color="auto"/>
        <w:left w:val="none" w:sz="0" w:space="0" w:color="auto"/>
        <w:bottom w:val="none" w:sz="0" w:space="0" w:color="auto"/>
        <w:right w:val="none" w:sz="0" w:space="0" w:color="auto"/>
      </w:divBdr>
    </w:div>
    <w:div w:id="1595169814">
      <w:bodyDiv w:val="1"/>
      <w:marLeft w:val="0"/>
      <w:marRight w:val="0"/>
      <w:marTop w:val="0"/>
      <w:marBottom w:val="0"/>
      <w:divBdr>
        <w:top w:val="none" w:sz="0" w:space="0" w:color="auto"/>
        <w:left w:val="none" w:sz="0" w:space="0" w:color="auto"/>
        <w:bottom w:val="none" w:sz="0" w:space="0" w:color="auto"/>
        <w:right w:val="none" w:sz="0" w:space="0" w:color="auto"/>
      </w:divBdr>
    </w:div>
    <w:div w:id="1651203168">
      <w:bodyDiv w:val="1"/>
      <w:marLeft w:val="0"/>
      <w:marRight w:val="0"/>
      <w:marTop w:val="0"/>
      <w:marBottom w:val="0"/>
      <w:divBdr>
        <w:top w:val="none" w:sz="0" w:space="0" w:color="auto"/>
        <w:left w:val="none" w:sz="0" w:space="0" w:color="auto"/>
        <w:bottom w:val="none" w:sz="0" w:space="0" w:color="auto"/>
        <w:right w:val="none" w:sz="0" w:space="0" w:color="auto"/>
      </w:divBdr>
    </w:div>
    <w:div w:id="1664434203">
      <w:bodyDiv w:val="1"/>
      <w:marLeft w:val="0"/>
      <w:marRight w:val="0"/>
      <w:marTop w:val="0"/>
      <w:marBottom w:val="0"/>
      <w:divBdr>
        <w:top w:val="none" w:sz="0" w:space="0" w:color="auto"/>
        <w:left w:val="none" w:sz="0" w:space="0" w:color="auto"/>
        <w:bottom w:val="none" w:sz="0" w:space="0" w:color="auto"/>
        <w:right w:val="none" w:sz="0" w:space="0" w:color="auto"/>
      </w:divBdr>
    </w:div>
    <w:div w:id="1729064306">
      <w:bodyDiv w:val="1"/>
      <w:marLeft w:val="0"/>
      <w:marRight w:val="0"/>
      <w:marTop w:val="0"/>
      <w:marBottom w:val="0"/>
      <w:divBdr>
        <w:top w:val="none" w:sz="0" w:space="0" w:color="auto"/>
        <w:left w:val="none" w:sz="0" w:space="0" w:color="auto"/>
        <w:bottom w:val="none" w:sz="0" w:space="0" w:color="auto"/>
        <w:right w:val="none" w:sz="0" w:space="0" w:color="auto"/>
      </w:divBdr>
    </w:div>
    <w:div w:id="1801804061">
      <w:bodyDiv w:val="1"/>
      <w:marLeft w:val="0"/>
      <w:marRight w:val="0"/>
      <w:marTop w:val="0"/>
      <w:marBottom w:val="0"/>
      <w:divBdr>
        <w:top w:val="none" w:sz="0" w:space="0" w:color="auto"/>
        <w:left w:val="none" w:sz="0" w:space="0" w:color="auto"/>
        <w:bottom w:val="none" w:sz="0" w:space="0" w:color="auto"/>
        <w:right w:val="none" w:sz="0" w:space="0" w:color="auto"/>
      </w:divBdr>
      <w:divsChild>
        <w:div w:id="103771761">
          <w:marLeft w:val="0"/>
          <w:marRight w:val="0"/>
          <w:marTop w:val="0"/>
          <w:marBottom w:val="0"/>
          <w:divBdr>
            <w:top w:val="none" w:sz="0" w:space="0" w:color="auto"/>
            <w:left w:val="none" w:sz="0" w:space="0" w:color="auto"/>
            <w:bottom w:val="none" w:sz="0" w:space="0" w:color="auto"/>
            <w:right w:val="none" w:sz="0" w:space="0" w:color="auto"/>
          </w:divBdr>
          <w:divsChild>
            <w:div w:id="193925071">
              <w:marLeft w:val="0"/>
              <w:marRight w:val="0"/>
              <w:marTop w:val="0"/>
              <w:marBottom w:val="0"/>
              <w:divBdr>
                <w:top w:val="none" w:sz="0" w:space="0" w:color="auto"/>
                <w:left w:val="none" w:sz="0" w:space="0" w:color="auto"/>
                <w:bottom w:val="none" w:sz="0" w:space="0" w:color="auto"/>
                <w:right w:val="none" w:sz="0" w:space="0" w:color="auto"/>
              </w:divBdr>
              <w:divsChild>
                <w:div w:id="1515414922">
                  <w:marLeft w:val="0"/>
                  <w:marRight w:val="0"/>
                  <w:marTop w:val="0"/>
                  <w:marBottom w:val="0"/>
                  <w:divBdr>
                    <w:top w:val="none" w:sz="0" w:space="0" w:color="auto"/>
                    <w:left w:val="none" w:sz="0" w:space="0" w:color="auto"/>
                    <w:bottom w:val="none" w:sz="0" w:space="0" w:color="auto"/>
                    <w:right w:val="none" w:sz="0" w:space="0" w:color="auto"/>
                  </w:divBdr>
                  <w:divsChild>
                    <w:div w:id="101923820">
                      <w:marLeft w:val="0"/>
                      <w:marRight w:val="0"/>
                      <w:marTop w:val="0"/>
                      <w:marBottom w:val="0"/>
                      <w:divBdr>
                        <w:top w:val="none" w:sz="0" w:space="0" w:color="auto"/>
                        <w:left w:val="none" w:sz="0" w:space="0" w:color="auto"/>
                        <w:bottom w:val="none" w:sz="0" w:space="0" w:color="auto"/>
                        <w:right w:val="none" w:sz="0" w:space="0" w:color="auto"/>
                      </w:divBdr>
                      <w:divsChild>
                        <w:div w:id="1282297945">
                          <w:marLeft w:val="0"/>
                          <w:marRight w:val="0"/>
                          <w:marTop w:val="0"/>
                          <w:marBottom w:val="0"/>
                          <w:divBdr>
                            <w:top w:val="none" w:sz="0" w:space="0" w:color="auto"/>
                            <w:left w:val="none" w:sz="0" w:space="0" w:color="auto"/>
                            <w:bottom w:val="none" w:sz="0" w:space="0" w:color="auto"/>
                            <w:right w:val="none" w:sz="0" w:space="0" w:color="auto"/>
                          </w:divBdr>
                          <w:divsChild>
                            <w:div w:id="1010907195">
                              <w:marLeft w:val="0"/>
                              <w:marRight w:val="0"/>
                              <w:marTop w:val="0"/>
                              <w:marBottom w:val="0"/>
                              <w:divBdr>
                                <w:top w:val="none" w:sz="0" w:space="0" w:color="auto"/>
                                <w:left w:val="none" w:sz="0" w:space="0" w:color="auto"/>
                                <w:bottom w:val="none" w:sz="0" w:space="0" w:color="auto"/>
                                <w:right w:val="none" w:sz="0" w:space="0" w:color="auto"/>
                              </w:divBdr>
                              <w:divsChild>
                                <w:div w:id="529686022">
                                  <w:marLeft w:val="0"/>
                                  <w:marRight w:val="0"/>
                                  <w:marTop w:val="0"/>
                                  <w:marBottom w:val="0"/>
                                  <w:divBdr>
                                    <w:top w:val="none" w:sz="0" w:space="0" w:color="auto"/>
                                    <w:left w:val="none" w:sz="0" w:space="0" w:color="auto"/>
                                    <w:bottom w:val="none" w:sz="0" w:space="0" w:color="auto"/>
                                    <w:right w:val="none" w:sz="0" w:space="0" w:color="auto"/>
                                  </w:divBdr>
                                  <w:divsChild>
                                    <w:div w:id="11228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22207">
      <w:bodyDiv w:val="1"/>
      <w:marLeft w:val="0"/>
      <w:marRight w:val="0"/>
      <w:marTop w:val="0"/>
      <w:marBottom w:val="0"/>
      <w:divBdr>
        <w:top w:val="none" w:sz="0" w:space="0" w:color="auto"/>
        <w:left w:val="none" w:sz="0" w:space="0" w:color="auto"/>
        <w:bottom w:val="none" w:sz="0" w:space="0" w:color="auto"/>
        <w:right w:val="none" w:sz="0" w:space="0" w:color="auto"/>
      </w:divBdr>
    </w:div>
    <w:div w:id="1869952036">
      <w:bodyDiv w:val="1"/>
      <w:marLeft w:val="0"/>
      <w:marRight w:val="0"/>
      <w:marTop w:val="0"/>
      <w:marBottom w:val="0"/>
      <w:divBdr>
        <w:top w:val="none" w:sz="0" w:space="0" w:color="auto"/>
        <w:left w:val="none" w:sz="0" w:space="0" w:color="auto"/>
        <w:bottom w:val="none" w:sz="0" w:space="0" w:color="auto"/>
        <w:right w:val="none" w:sz="0" w:space="0" w:color="auto"/>
      </w:divBdr>
    </w:div>
    <w:div w:id="1935288081">
      <w:bodyDiv w:val="1"/>
      <w:marLeft w:val="0"/>
      <w:marRight w:val="0"/>
      <w:marTop w:val="0"/>
      <w:marBottom w:val="0"/>
      <w:divBdr>
        <w:top w:val="none" w:sz="0" w:space="0" w:color="auto"/>
        <w:left w:val="none" w:sz="0" w:space="0" w:color="auto"/>
        <w:bottom w:val="none" w:sz="0" w:space="0" w:color="auto"/>
        <w:right w:val="none" w:sz="0" w:space="0" w:color="auto"/>
      </w:divBdr>
    </w:div>
    <w:div w:id="1999652172">
      <w:bodyDiv w:val="1"/>
      <w:marLeft w:val="0"/>
      <w:marRight w:val="0"/>
      <w:marTop w:val="0"/>
      <w:marBottom w:val="0"/>
      <w:divBdr>
        <w:top w:val="none" w:sz="0" w:space="0" w:color="auto"/>
        <w:left w:val="none" w:sz="0" w:space="0" w:color="auto"/>
        <w:bottom w:val="none" w:sz="0" w:space="0" w:color="auto"/>
        <w:right w:val="none" w:sz="0" w:space="0" w:color="auto"/>
      </w:divBdr>
    </w:div>
    <w:div w:id="208734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13657</Words>
  <Characters>77847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USER</cp:lastModifiedBy>
  <cp:revision>3</cp:revision>
  <dcterms:created xsi:type="dcterms:W3CDTF">2025-05-09T20:01:00Z</dcterms:created>
  <dcterms:modified xsi:type="dcterms:W3CDTF">2025-05-10T20:36:00Z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