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39" w:rsidRPr="004118C9" w:rsidRDefault="00A05B39" w:rsidP="004118C9">
      <w:pPr>
        <w:spacing w:after="0" w:line="360" w:lineRule="auto"/>
        <w:ind w:right="144"/>
        <w:jc w:val="center"/>
        <w:rPr>
          <w:rFonts w:ascii="Algerian" w:hAnsi="Algerian"/>
          <w:b/>
          <w:sz w:val="28"/>
          <w:szCs w:val="24"/>
        </w:rPr>
      </w:pPr>
      <w:r w:rsidRPr="004118C9">
        <w:rPr>
          <w:rFonts w:ascii="Algerian" w:hAnsi="Algerian"/>
          <w:b/>
          <w:sz w:val="28"/>
          <w:szCs w:val="24"/>
        </w:rPr>
        <w:t>ROLES OF DEPOSIT MONEY BANKS ON THE GROWTH OF AGRICULTURAL SECOR IN NIGERIA</w:t>
      </w:r>
    </w:p>
    <w:p w:rsidR="002B5DAE" w:rsidRPr="004118C9" w:rsidRDefault="002B5DAE" w:rsidP="004118C9">
      <w:pPr>
        <w:spacing w:after="0" w:line="360" w:lineRule="auto"/>
        <w:jc w:val="center"/>
        <w:rPr>
          <w:rFonts w:ascii="Algerian" w:hAnsi="Algerian"/>
          <w:b/>
          <w:sz w:val="28"/>
          <w:szCs w:val="24"/>
        </w:rPr>
      </w:pPr>
    </w:p>
    <w:p w:rsidR="00A05B39" w:rsidRDefault="002B5DAE" w:rsidP="004118C9">
      <w:pPr>
        <w:spacing w:after="0" w:line="360" w:lineRule="auto"/>
        <w:jc w:val="center"/>
        <w:rPr>
          <w:rFonts w:ascii="Times New Roman" w:hAnsi="Times New Roman"/>
          <w:b/>
          <w:sz w:val="24"/>
          <w:szCs w:val="24"/>
        </w:rPr>
      </w:pPr>
      <w:r w:rsidRPr="00785485">
        <w:rPr>
          <w:rFonts w:ascii="Times New Roman" w:hAnsi="Times New Roman"/>
          <w:b/>
          <w:sz w:val="24"/>
          <w:szCs w:val="24"/>
        </w:rPr>
        <w:t xml:space="preserve">(A CASE STUDY OF </w:t>
      </w:r>
      <w:r w:rsidR="00A05B39" w:rsidRPr="00785485">
        <w:rPr>
          <w:rFonts w:ascii="Times New Roman" w:hAnsi="Times New Roman"/>
          <w:b/>
          <w:sz w:val="24"/>
          <w:szCs w:val="24"/>
        </w:rPr>
        <w:t>ZENITH</w:t>
      </w:r>
      <w:r w:rsidRPr="00785485">
        <w:rPr>
          <w:rFonts w:ascii="Times New Roman" w:hAnsi="Times New Roman"/>
          <w:b/>
          <w:sz w:val="24"/>
          <w:szCs w:val="24"/>
        </w:rPr>
        <w:t xml:space="preserve"> BANK OF NIGERIA PLC)</w:t>
      </w:r>
    </w:p>
    <w:p w:rsidR="004118C9" w:rsidRPr="00785485" w:rsidRDefault="004118C9" w:rsidP="004118C9">
      <w:pPr>
        <w:spacing w:after="0" w:line="360" w:lineRule="auto"/>
        <w:jc w:val="center"/>
        <w:rPr>
          <w:rFonts w:ascii="Times New Roman" w:hAnsi="Times New Roman"/>
          <w:b/>
          <w:sz w:val="24"/>
          <w:szCs w:val="24"/>
        </w:rPr>
      </w:pPr>
    </w:p>
    <w:p w:rsidR="00A05B39" w:rsidRDefault="00A05B39" w:rsidP="004118C9">
      <w:pPr>
        <w:spacing w:after="0" w:line="360" w:lineRule="auto"/>
        <w:contextualSpacing/>
        <w:jc w:val="center"/>
        <w:rPr>
          <w:rFonts w:ascii="Times New Roman" w:hAnsi="Times New Roman"/>
          <w:b/>
          <w:i/>
          <w:sz w:val="24"/>
          <w:szCs w:val="24"/>
        </w:rPr>
      </w:pPr>
      <w:r w:rsidRPr="00785485">
        <w:rPr>
          <w:rFonts w:ascii="Times New Roman" w:hAnsi="Times New Roman"/>
          <w:b/>
          <w:i/>
          <w:sz w:val="24"/>
          <w:szCs w:val="24"/>
        </w:rPr>
        <w:t>BY</w:t>
      </w:r>
    </w:p>
    <w:p w:rsidR="005C6D0F" w:rsidRPr="00785485" w:rsidRDefault="005C6D0F" w:rsidP="004118C9">
      <w:pPr>
        <w:spacing w:after="0" w:line="360" w:lineRule="auto"/>
        <w:contextualSpacing/>
        <w:jc w:val="center"/>
        <w:rPr>
          <w:rFonts w:ascii="Times New Roman" w:hAnsi="Times New Roman"/>
          <w:b/>
          <w:i/>
          <w:sz w:val="24"/>
          <w:szCs w:val="24"/>
        </w:rPr>
      </w:pPr>
    </w:p>
    <w:p w:rsidR="00A05B39" w:rsidRPr="004118C9" w:rsidRDefault="00A05B39" w:rsidP="004118C9">
      <w:pPr>
        <w:tabs>
          <w:tab w:val="right" w:pos="7920"/>
        </w:tabs>
        <w:spacing w:after="0" w:line="360" w:lineRule="auto"/>
        <w:contextualSpacing/>
        <w:jc w:val="center"/>
        <w:rPr>
          <w:rFonts w:ascii="Times New Roman" w:hAnsi="Times New Roman"/>
          <w:sz w:val="40"/>
          <w:szCs w:val="24"/>
        </w:rPr>
      </w:pPr>
      <w:r w:rsidRPr="004118C9">
        <w:rPr>
          <w:rFonts w:ascii="Times New Roman" w:hAnsi="Times New Roman"/>
          <w:sz w:val="40"/>
          <w:szCs w:val="24"/>
        </w:rPr>
        <w:t>ANIMASHAUN ISLAMIAT OLAWUNMI</w:t>
      </w:r>
    </w:p>
    <w:p w:rsidR="004118C9" w:rsidRDefault="00A05B39" w:rsidP="004118C9">
      <w:pPr>
        <w:tabs>
          <w:tab w:val="right" w:pos="7920"/>
        </w:tabs>
        <w:spacing w:after="0" w:line="360" w:lineRule="auto"/>
        <w:contextualSpacing/>
        <w:jc w:val="center"/>
        <w:rPr>
          <w:rFonts w:ascii="Times New Roman" w:hAnsi="Times New Roman"/>
          <w:sz w:val="36"/>
          <w:szCs w:val="24"/>
        </w:rPr>
      </w:pPr>
      <w:r w:rsidRPr="004118C9">
        <w:rPr>
          <w:rFonts w:ascii="Times New Roman" w:hAnsi="Times New Roman"/>
          <w:sz w:val="36"/>
          <w:szCs w:val="24"/>
        </w:rPr>
        <w:t>HND/23/BFN/FT/0266</w:t>
      </w:r>
    </w:p>
    <w:p w:rsidR="004118C9" w:rsidRDefault="004118C9" w:rsidP="004118C9">
      <w:pPr>
        <w:tabs>
          <w:tab w:val="right" w:pos="7920"/>
        </w:tabs>
        <w:spacing w:after="0" w:line="360" w:lineRule="auto"/>
        <w:contextualSpacing/>
        <w:jc w:val="center"/>
        <w:rPr>
          <w:rFonts w:ascii="Times New Roman" w:hAnsi="Times New Roman"/>
          <w:sz w:val="36"/>
          <w:szCs w:val="24"/>
        </w:rPr>
      </w:pPr>
    </w:p>
    <w:p w:rsidR="004118C9" w:rsidRDefault="00A05B39" w:rsidP="004118C9">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A RESEARCH PROJECT SUBMITTED TO THE</w:t>
      </w:r>
      <w:r w:rsidR="004118C9">
        <w:rPr>
          <w:rFonts w:ascii="Times New Roman" w:hAnsi="Times New Roman"/>
          <w:sz w:val="36"/>
          <w:szCs w:val="24"/>
        </w:rPr>
        <w:t xml:space="preserve"> </w:t>
      </w:r>
      <w:r w:rsidRPr="00785485">
        <w:rPr>
          <w:rFonts w:ascii="Times New Roman" w:hAnsi="Times New Roman"/>
          <w:b/>
          <w:sz w:val="24"/>
          <w:szCs w:val="24"/>
        </w:rPr>
        <w:t>DEPARTMENT OF BANKING AND FINANCE,</w:t>
      </w:r>
    </w:p>
    <w:p w:rsidR="00A05B39" w:rsidRPr="004118C9" w:rsidRDefault="00A05B39" w:rsidP="004118C9">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INSTITUTE OF FINANCE AND MANAGMENT STUDIES,</w:t>
      </w:r>
    </w:p>
    <w:p w:rsidR="00A05B39" w:rsidRPr="00785485" w:rsidRDefault="00A05B39" w:rsidP="004118C9">
      <w:pPr>
        <w:spacing w:after="0" w:line="360" w:lineRule="auto"/>
        <w:ind w:firstLine="720"/>
        <w:contextualSpacing/>
        <w:jc w:val="center"/>
        <w:rPr>
          <w:rFonts w:ascii="Times New Roman" w:hAnsi="Times New Roman"/>
          <w:b/>
          <w:sz w:val="24"/>
          <w:szCs w:val="24"/>
        </w:rPr>
      </w:pPr>
      <w:r w:rsidRPr="00785485">
        <w:rPr>
          <w:rFonts w:ascii="Times New Roman" w:hAnsi="Times New Roman"/>
          <w:b/>
          <w:sz w:val="24"/>
          <w:szCs w:val="24"/>
        </w:rPr>
        <w:t>KWARA STATE POLYTECHNIC, ILORIN, NIGERIA</w:t>
      </w:r>
    </w:p>
    <w:p w:rsidR="00A05B39" w:rsidRPr="00785485" w:rsidRDefault="00A05B39" w:rsidP="004118C9">
      <w:pPr>
        <w:spacing w:after="0" w:line="360" w:lineRule="auto"/>
        <w:contextualSpacing/>
        <w:jc w:val="center"/>
        <w:rPr>
          <w:rFonts w:ascii="Times New Roman" w:hAnsi="Times New Roman"/>
          <w:b/>
          <w:sz w:val="24"/>
          <w:szCs w:val="24"/>
        </w:rPr>
      </w:pPr>
    </w:p>
    <w:p w:rsidR="00A05B39" w:rsidRPr="00785485" w:rsidRDefault="00A05B39" w:rsidP="004118C9">
      <w:pPr>
        <w:spacing w:after="0" w:line="360" w:lineRule="auto"/>
        <w:contextualSpacing/>
        <w:jc w:val="center"/>
        <w:rPr>
          <w:rFonts w:ascii="Times New Roman" w:hAnsi="Times New Roman"/>
          <w:sz w:val="24"/>
          <w:szCs w:val="24"/>
        </w:rPr>
      </w:pPr>
      <w:r w:rsidRPr="00785485">
        <w:rPr>
          <w:rFonts w:ascii="Times New Roman" w:hAnsi="Times New Roman"/>
          <w:sz w:val="24"/>
          <w:szCs w:val="24"/>
        </w:rPr>
        <w:t>IN PARTIAL FULFILLMENT OF THE REQUIREMENTS FOR THE AWARD OF HIGHER NATIONAL DIPLOMA (HND) IN BANKING AND FINANCE</w:t>
      </w:r>
    </w:p>
    <w:p w:rsidR="00A05B39" w:rsidRPr="00785485" w:rsidRDefault="00A05B39" w:rsidP="00785485">
      <w:pPr>
        <w:spacing w:after="0" w:line="360" w:lineRule="auto"/>
        <w:contextualSpacing/>
        <w:jc w:val="both"/>
        <w:rPr>
          <w:rFonts w:ascii="Times New Roman" w:hAnsi="Times New Roman"/>
          <w:b/>
          <w:sz w:val="24"/>
          <w:szCs w:val="24"/>
        </w:rPr>
      </w:pPr>
    </w:p>
    <w:p w:rsidR="00A05B39" w:rsidRPr="00785485" w:rsidRDefault="00A05B39" w:rsidP="00785485">
      <w:pPr>
        <w:spacing w:after="0" w:line="360" w:lineRule="auto"/>
        <w:contextualSpacing/>
        <w:jc w:val="both"/>
        <w:rPr>
          <w:rFonts w:ascii="Times New Roman" w:hAnsi="Times New Roman"/>
          <w:b/>
          <w:sz w:val="24"/>
          <w:szCs w:val="24"/>
        </w:rPr>
      </w:pP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JUNE 2025</w:t>
      </w:r>
    </w:p>
    <w:p w:rsidR="00A05B39" w:rsidRPr="00785485" w:rsidRDefault="00A05B39" w:rsidP="00785485">
      <w:pPr>
        <w:spacing w:after="0" w:line="360" w:lineRule="auto"/>
        <w:contextualSpacing/>
        <w:jc w:val="center"/>
        <w:rPr>
          <w:rFonts w:ascii="Times New Roman" w:hAnsi="Times New Roman"/>
          <w:b/>
          <w:sz w:val="24"/>
          <w:szCs w:val="24"/>
        </w:rPr>
      </w:pPr>
    </w:p>
    <w:p w:rsidR="00A05B39" w:rsidRPr="00785485" w:rsidRDefault="00A05B39" w:rsidP="00785485">
      <w:pPr>
        <w:spacing w:line="360" w:lineRule="auto"/>
        <w:rPr>
          <w:rFonts w:ascii="Times New Roman" w:hAnsi="Times New Roman"/>
          <w:b/>
          <w:sz w:val="24"/>
          <w:szCs w:val="24"/>
        </w:rPr>
      </w:pPr>
      <w:r w:rsidRPr="00785485">
        <w:rPr>
          <w:rFonts w:ascii="Times New Roman" w:hAnsi="Times New Roman"/>
          <w:b/>
          <w:sz w:val="24"/>
          <w:szCs w:val="24"/>
        </w:rPr>
        <w:br w:type="page"/>
      </w:r>
    </w:p>
    <w:p w:rsidR="00A05B39" w:rsidRPr="00785485" w:rsidRDefault="00A05B39" w:rsidP="00785485">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CERTIFICATION</w:t>
      </w:r>
    </w:p>
    <w:p w:rsidR="00A05B39" w:rsidRPr="00785485" w:rsidRDefault="00A05B39" w:rsidP="00785485">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 xml:space="preserve">This is to certify that the project work has been read and approved as meeting the requirement for the award of Higher National Diploma (HND) in Department of Banking and finance, Institute of Finance and Management Studies, Kwara State Polytechnic Ilorin. </w:t>
      </w:r>
    </w:p>
    <w:p w:rsidR="00A05B39" w:rsidRPr="00785485" w:rsidRDefault="00A05B39" w:rsidP="00785485">
      <w:pPr>
        <w:spacing w:after="0" w:line="360" w:lineRule="auto"/>
        <w:contextualSpacing/>
        <w:jc w:val="both"/>
        <w:rPr>
          <w:rFonts w:ascii="Times New Roman" w:hAnsi="Times New Roman"/>
          <w:sz w:val="24"/>
          <w:szCs w:val="24"/>
        </w:rPr>
      </w:pPr>
    </w:p>
    <w:p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 xml:space="preserve">MR. </w:t>
      </w:r>
      <w:r w:rsidRPr="00785485">
        <w:rPr>
          <w:rFonts w:ascii="Times New Roman" w:hAnsi="Times New Roman"/>
          <w:b/>
          <w:sz w:val="24"/>
          <w:szCs w:val="24"/>
        </w:rPr>
        <w:t>AJIBOYE W.T.</w:t>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Supervisor)</w:t>
      </w:r>
    </w:p>
    <w:p w:rsidR="00A05B39" w:rsidRPr="00785485" w:rsidRDefault="00A05B39" w:rsidP="00785485">
      <w:pPr>
        <w:spacing w:after="0" w:line="360" w:lineRule="auto"/>
        <w:contextualSpacing/>
        <w:jc w:val="both"/>
        <w:rPr>
          <w:rFonts w:ascii="Times New Roman" w:hAnsi="Times New Roman"/>
          <w:b/>
          <w:sz w:val="24"/>
          <w:szCs w:val="24"/>
        </w:rPr>
      </w:pPr>
    </w:p>
    <w:p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_________________</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t xml:space="preserve">MRS. </w:t>
      </w:r>
      <w:r w:rsidRPr="00785485">
        <w:rPr>
          <w:rFonts w:ascii="Times New Roman" w:hAnsi="Times New Roman"/>
          <w:b/>
          <w:i/>
          <w:sz w:val="24"/>
          <w:szCs w:val="24"/>
        </w:rPr>
        <w:t>OTAYOKHE E.Y</w:t>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Coordinator)</w:t>
      </w:r>
    </w:p>
    <w:p w:rsidR="00A05B39" w:rsidRPr="00785485" w:rsidRDefault="00A05B39" w:rsidP="00785485">
      <w:pPr>
        <w:spacing w:after="0" w:line="360" w:lineRule="auto"/>
        <w:contextualSpacing/>
        <w:jc w:val="both"/>
        <w:rPr>
          <w:rFonts w:ascii="Times New Roman" w:hAnsi="Times New Roman"/>
          <w:b/>
          <w:sz w:val="24"/>
          <w:szCs w:val="24"/>
        </w:rPr>
      </w:pPr>
    </w:p>
    <w:p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 xml:space="preserve">MR. </w:t>
      </w:r>
      <w:r w:rsidRPr="00785485">
        <w:rPr>
          <w:rFonts w:ascii="Times New Roman" w:hAnsi="Times New Roman"/>
          <w:b/>
          <w:sz w:val="24"/>
          <w:szCs w:val="24"/>
        </w:rPr>
        <w:t>AJIBOYE W.T.</w:t>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(Head of Department)</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br w:type="page"/>
      </w:r>
    </w:p>
    <w:p w:rsidR="00A05B39" w:rsidRPr="00785485" w:rsidRDefault="00A05B39" w:rsidP="00785485">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DEDICATION</w:t>
      </w:r>
    </w:p>
    <w:p w:rsidR="00A05B39" w:rsidRPr="00785485" w:rsidRDefault="00A05B39" w:rsidP="00785485">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This project is dedicated to the Almighty Allah who has been bedrock and sustaining pillars for me. Honour and adoration to Almighty Allah, the Creator of Heaven and Earth who make the project a reality and huge successful. I therefore give unreserved price to the majesty.</w:t>
      </w:r>
    </w:p>
    <w:p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br w:type="page"/>
      </w:r>
    </w:p>
    <w:p w:rsidR="00A05B39" w:rsidRPr="00785485" w:rsidRDefault="00A05B39" w:rsidP="00785485">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ACKNOWLEDGEMENT</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Glory be to Almighty Allah, the raiser of destiny and the source of all wisdom. It has not been me but him. </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I need to register my immense gratitude to my supervisor </w:t>
      </w:r>
      <w:r w:rsidR="000D05DF" w:rsidRPr="00785485">
        <w:rPr>
          <w:rFonts w:ascii="Times New Roman" w:hAnsi="Times New Roman"/>
          <w:sz w:val="24"/>
          <w:szCs w:val="24"/>
        </w:rPr>
        <w:t xml:space="preserve">MR AJIBOYE W.T </w:t>
      </w:r>
      <w:r w:rsidRPr="00785485">
        <w:rPr>
          <w:rFonts w:ascii="Times New Roman" w:hAnsi="Times New Roman"/>
          <w:sz w:val="24"/>
          <w:szCs w:val="24"/>
        </w:rPr>
        <w:t>for progressive boosting the image of the great department drawing from is goal to make us great and for finding time to read and critically make correction that were invaluable to this project. My prayer to Almighty God is to bless you, your family and your entire household.</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I also appreciate the effort of all the lecturers of the department who have impacted on us both ND and HND level, I pray that God will increase you in all your daily activities.</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My appreciation goes to my Mum Mrs </w:t>
      </w:r>
      <w:r w:rsidR="000D05DF" w:rsidRPr="00785485">
        <w:rPr>
          <w:rFonts w:ascii="Times New Roman" w:hAnsi="Times New Roman"/>
          <w:sz w:val="24"/>
          <w:szCs w:val="24"/>
        </w:rPr>
        <w:t>Animashaun</w:t>
      </w:r>
      <w:r w:rsidRPr="00785485">
        <w:rPr>
          <w:rFonts w:ascii="Times New Roman" w:hAnsi="Times New Roman"/>
          <w:sz w:val="24"/>
          <w:szCs w:val="24"/>
        </w:rPr>
        <w:t xml:space="preserve"> for is love and support and believe that she have in my mission, by the grace of Almighty God, I will never fail you.</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My apprecia</w:t>
      </w:r>
      <w:r w:rsidR="000D05DF" w:rsidRPr="00785485">
        <w:rPr>
          <w:rFonts w:ascii="Times New Roman" w:hAnsi="Times New Roman"/>
          <w:sz w:val="24"/>
          <w:szCs w:val="24"/>
        </w:rPr>
        <w:t xml:space="preserve">tion also go to my Dad Mr. Animashaun, </w:t>
      </w:r>
      <w:r w:rsidRPr="00785485">
        <w:rPr>
          <w:rFonts w:ascii="Times New Roman" w:hAnsi="Times New Roman"/>
          <w:sz w:val="24"/>
          <w:szCs w:val="24"/>
        </w:rPr>
        <w:t>who has contributed immensely both financially and spiritually towards the success of my career, may you live to reap and devour what you sow</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I we also give thank to my brothers and sister for their support , </w:t>
      </w:r>
      <w:r w:rsidR="000D05DF" w:rsidRPr="00785485">
        <w:rPr>
          <w:rFonts w:ascii="Times New Roman" w:hAnsi="Times New Roman"/>
          <w:sz w:val="24"/>
          <w:szCs w:val="24"/>
        </w:rPr>
        <w:t>m</w:t>
      </w:r>
      <w:r w:rsidRPr="00785485">
        <w:rPr>
          <w:rFonts w:ascii="Times New Roman" w:hAnsi="Times New Roman"/>
          <w:sz w:val="24"/>
          <w:szCs w:val="24"/>
        </w:rPr>
        <w:t>ay Almighty Allah bless you all.</w:t>
      </w:r>
    </w:p>
    <w:p w:rsidR="00A05B39"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I we also give thanks to my friends for love and support which we give to each other. Although we dis</w:t>
      </w:r>
      <w:r w:rsidR="00EF55B3">
        <w:rPr>
          <w:rFonts w:ascii="Times New Roman" w:hAnsi="Times New Roman"/>
          <w:sz w:val="24"/>
          <w:szCs w:val="24"/>
        </w:rPr>
        <w:t>Agreed</w:t>
      </w:r>
      <w:r w:rsidRPr="00785485">
        <w:rPr>
          <w:rFonts w:ascii="Times New Roman" w:hAnsi="Times New Roman"/>
          <w:sz w:val="24"/>
          <w:szCs w:val="24"/>
        </w:rPr>
        <w:t xml:space="preserve">d but we did to </w:t>
      </w:r>
      <w:r w:rsidR="00EF55B3">
        <w:rPr>
          <w:rFonts w:ascii="Times New Roman" w:hAnsi="Times New Roman"/>
          <w:sz w:val="24"/>
          <w:szCs w:val="24"/>
        </w:rPr>
        <w:t>Agreed</w:t>
      </w:r>
      <w:r w:rsidRPr="00785485">
        <w:rPr>
          <w:rFonts w:ascii="Times New Roman" w:hAnsi="Times New Roman"/>
          <w:sz w:val="24"/>
          <w:szCs w:val="24"/>
        </w:rPr>
        <w:t>. Never once has dis</w:t>
      </w:r>
      <w:r w:rsidR="00EF55B3">
        <w:rPr>
          <w:rFonts w:ascii="Times New Roman" w:hAnsi="Times New Roman"/>
          <w:sz w:val="24"/>
          <w:szCs w:val="24"/>
        </w:rPr>
        <w:t>Agreed</w:t>
      </w:r>
      <w:r w:rsidRPr="00785485">
        <w:rPr>
          <w:rFonts w:ascii="Times New Roman" w:hAnsi="Times New Roman"/>
          <w:sz w:val="24"/>
          <w:szCs w:val="24"/>
        </w:rPr>
        <w:t>ment separate us, rather it has strengthened us more, you are all the best.</w:t>
      </w:r>
    </w:p>
    <w:p w:rsidR="004118C9" w:rsidRDefault="004118C9" w:rsidP="00785485">
      <w:pPr>
        <w:spacing w:line="360" w:lineRule="auto"/>
        <w:ind w:firstLine="720"/>
        <w:jc w:val="both"/>
        <w:rPr>
          <w:rFonts w:ascii="Times New Roman" w:hAnsi="Times New Roman"/>
          <w:sz w:val="24"/>
          <w:szCs w:val="24"/>
        </w:rPr>
      </w:pPr>
    </w:p>
    <w:p w:rsidR="004118C9" w:rsidRPr="004118C9" w:rsidRDefault="004118C9" w:rsidP="00785485">
      <w:pPr>
        <w:spacing w:line="360" w:lineRule="auto"/>
        <w:ind w:firstLine="720"/>
        <w:jc w:val="both"/>
        <w:rPr>
          <w:rFonts w:ascii="Times New Roman" w:hAnsi="Times New Roman"/>
          <w:sz w:val="24"/>
          <w:szCs w:val="24"/>
        </w:rPr>
      </w:pPr>
    </w:p>
    <w:p w:rsidR="004118C9" w:rsidRPr="004118C9" w:rsidRDefault="004118C9" w:rsidP="004118C9">
      <w:pPr>
        <w:spacing w:line="360" w:lineRule="auto"/>
        <w:jc w:val="center"/>
        <w:rPr>
          <w:rFonts w:ascii="Times New Roman" w:hAnsi="Times New Roman"/>
          <w:b/>
          <w:sz w:val="24"/>
          <w:szCs w:val="24"/>
        </w:rPr>
      </w:pPr>
      <w:r w:rsidRPr="004118C9">
        <w:rPr>
          <w:rFonts w:ascii="Times New Roman" w:hAnsi="Times New Roman"/>
          <w:b/>
          <w:sz w:val="24"/>
          <w:szCs w:val="24"/>
        </w:rPr>
        <w:lastRenderedPageBreak/>
        <w:t>TABLE OF CONTENTS</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Title page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Certification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Dedication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iii</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Acknowledgment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iv</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Table of contents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v</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ONE: INTRODUCTION</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Introduction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Statements of the  problem</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Research questions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Objective of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Research  Hypothesis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Significance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Scope and Limitation of the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Definition of terms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6</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Plan of the Study</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TWO: LITERATURE REVIEW</w:t>
      </w:r>
    </w:p>
    <w:p w:rsidR="004118C9" w:rsidRPr="004118C9" w:rsidRDefault="004118C9" w:rsidP="004118C9">
      <w:pPr>
        <w:numPr>
          <w:ilvl w:val="1"/>
          <w:numId w:val="26"/>
        </w:numPr>
        <w:tabs>
          <w:tab w:val="num" w:pos="720"/>
        </w:tabs>
        <w:spacing w:after="0" w:line="360" w:lineRule="auto"/>
        <w:ind w:hanging="1440"/>
        <w:jc w:val="both"/>
        <w:rPr>
          <w:rFonts w:ascii="Times New Roman" w:hAnsi="Times New Roman"/>
          <w:sz w:val="24"/>
          <w:szCs w:val="24"/>
        </w:rPr>
      </w:pPr>
      <w:r w:rsidRPr="004118C9">
        <w:rPr>
          <w:rFonts w:ascii="Times New Roman" w:hAnsi="Times New Roman"/>
          <w:sz w:val="24"/>
          <w:szCs w:val="24"/>
        </w:rPr>
        <w:t>Literature Review</w:t>
      </w:r>
    </w:p>
    <w:p w:rsidR="004118C9" w:rsidRPr="004118C9" w:rsidRDefault="004118C9" w:rsidP="004118C9">
      <w:pPr>
        <w:numPr>
          <w:ilvl w:val="1"/>
          <w:numId w:val="26"/>
        </w:numPr>
        <w:tabs>
          <w:tab w:val="num" w:pos="720"/>
        </w:tabs>
        <w:spacing w:after="0" w:line="360" w:lineRule="auto"/>
        <w:ind w:left="720"/>
        <w:jc w:val="both"/>
        <w:rPr>
          <w:rFonts w:ascii="Times New Roman" w:hAnsi="Times New Roman"/>
          <w:sz w:val="24"/>
          <w:szCs w:val="24"/>
        </w:rPr>
      </w:pPr>
      <w:r w:rsidRPr="004118C9">
        <w:rPr>
          <w:rFonts w:ascii="Times New Roman" w:hAnsi="Times New Roman"/>
          <w:sz w:val="24"/>
          <w:szCs w:val="24"/>
        </w:rPr>
        <w:t>Conceptual frame work</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11</w:t>
      </w:r>
    </w:p>
    <w:p w:rsidR="004118C9" w:rsidRPr="004118C9" w:rsidRDefault="004118C9" w:rsidP="004118C9">
      <w:pPr>
        <w:numPr>
          <w:ilvl w:val="1"/>
          <w:numId w:val="26"/>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118C9" w:rsidRPr="004118C9" w:rsidRDefault="004118C9" w:rsidP="004118C9">
      <w:pPr>
        <w:numPr>
          <w:ilvl w:val="1"/>
          <w:numId w:val="26"/>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14</w:t>
      </w:r>
    </w:p>
    <w:p w:rsidR="004118C9" w:rsidRPr="004118C9" w:rsidRDefault="00EF55B3" w:rsidP="004118C9">
      <w:pPr>
        <w:spacing w:line="360" w:lineRule="auto"/>
        <w:jc w:val="both"/>
        <w:rPr>
          <w:rFonts w:ascii="Times New Roman" w:hAnsi="Times New Roman"/>
          <w:sz w:val="24"/>
          <w:szCs w:val="24"/>
        </w:rPr>
      </w:pPr>
      <w:r>
        <w:rPr>
          <w:rFonts w:ascii="Times New Roman" w:hAnsi="Times New Roman"/>
          <w:sz w:val="24"/>
          <w:szCs w:val="24"/>
        </w:rPr>
        <w:tab/>
        <w:t>Gap in Literature</w:t>
      </w:r>
    </w:p>
    <w:p w:rsidR="004118C9" w:rsidRPr="004118C9" w:rsidRDefault="004118C9" w:rsidP="004118C9">
      <w:pPr>
        <w:spacing w:line="360" w:lineRule="auto"/>
        <w:jc w:val="both"/>
        <w:rPr>
          <w:rFonts w:ascii="Times New Roman" w:hAnsi="Times New Roman"/>
          <w:sz w:val="24"/>
          <w:szCs w:val="24"/>
        </w:rPr>
      </w:pPr>
    </w:p>
    <w:p w:rsidR="004118C9" w:rsidRPr="004118C9" w:rsidRDefault="004118C9" w:rsidP="004118C9">
      <w:pPr>
        <w:spacing w:line="360" w:lineRule="auto"/>
        <w:jc w:val="both"/>
        <w:rPr>
          <w:rFonts w:ascii="Times New Roman" w:hAnsi="Times New Roman"/>
          <w:sz w:val="24"/>
          <w:szCs w:val="24"/>
        </w:rPr>
      </w:pP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THREE: RESEARCH METHODOLOGY</w:t>
      </w:r>
    </w:p>
    <w:p w:rsidR="004118C9" w:rsidRPr="004118C9" w:rsidRDefault="004118C9" w:rsidP="004118C9">
      <w:pPr>
        <w:pStyle w:val="ListParagraph"/>
        <w:numPr>
          <w:ilvl w:val="1"/>
          <w:numId w:val="27"/>
        </w:numPr>
        <w:spacing w:after="0" w:line="360" w:lineRule="auto"/>
        <w:jc w:val="both"/>
        <w:rPr>
          <w:rFonts w:ascii="Times New Roman" w:hAnsi="Times New Roman"/>
          <w:sz w:val="24"/>
          <w:szCs w:val="24"/>
        </w:rPr>
      </w:pPr>
      <w:r w:rsidRPr="004118C9">
        <w:rPr>
          <w:rFonts w:ascii="Times New Roman" w:hAnsi="Times New Roman"/>
          <w:sz w:val="24"/>
          <w:szCs w:val="24"/>
        </w:rPr>
        <w:tab/>
        <w:t>Research methodology</w:t>
      </w:r>
    </w:p>
    <w:p w:rsidR="004118C9" w:rsidRPr="004118C9" w:rsidRDefault="004118C9" w:rsidP="004118C9">
      <w:pPr>
        <w:pStyle w:val="ListParagraph"/>
        <w:numPr>
          <w:ilvl w:val="1"/>
          <w:numId w:val="27"/>
        </w:numPr>
        <w:spacing w:after="0" w:line="360" w:lineRule="auto"/>
        <w:jc w:val="both"/>
        <w:rPr>
          <w:rFonts w:ascii="Times New Roman" w:hAnsi="Times New Roman"/>
          <w:sz w:val="24"/>
          <w:szCs w:val="24"/>
        </w:rPr>
      </w:pPr>
      <w:r w:rsidRPr="004118C9">
        <w:rPr>
          <w:rFonts w:ascii="Times New Roman" w:hAnsi="Times New Roman"/>
          <w:sz w:val="24"/>
          <w:szCs w:val="24"/>
        </w:rPr>
        <w:tab/>
        <w:t>Population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rsidR="004118C9" w:rsidRPr="004118C9" w:rsidRDefault="004118C9" w:rsidP="004118C9">
      <w:pPr>
        <w:numPr>
          <w:ilvl w:val="1"/>
          <w:numId w:val="27"/>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Data collection method/data collected</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rsidR="004118C9" w:rsidRPr="004118C9" w:rsidRDefault="004118C9" w:rsidP="004118C9">
      <w:pPr>
        <w:numPr>
          <w:ilvl w:val="1"/>
          <w:numId w:val="27"/>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 xml:space="preserve">Limitation of data collection/data collected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00EF55B3">
        <w:rPr>
          <w:rFonts w:ascii="Times New Roman" w:hAnsi="Times New Roman"/>
          <w:sz w:val="24"/>
          <w:szCs w:val="24"/>
        </w:rPr>
        <w:tab/>
      </w:r>
      <w:r w:rsidRPr="004118C9">
        <w:rPr>
          <w:rFonts w:ascii="Times New Roman" w:hAnsi="Times New Roman"/>
          <w:sz w:val="24"/>
          <w:szCs w:val="24"/>
        </w:rPr>
        <w:t>26</w:t>
      </w:r>
    </w:p>
    <w:p w:rsidR="004118C9" w:rsidRPr="004118C9" w:rsidRDefault="004118C9" w:rsidP="004118C9">
      <w:pPr>
        <w:numPr>
          <w:ilvl w:val="1"/>
          <w:numId w:val="27"/>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Explanation of questionnaire</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FOUR: DATA ANALYSIS AND INTERPRETATION</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4.1</w:t>
      </w:r>
      <w:r w:rsidRPr="004118C9">
        <w:rPr>
          <w:rFonts w:ascii="Times New Roman" w:hAnsi="Times New Roman"/>
          <w:sz w:val="24"/>
          <w:szCs w:val="24"/>
        </w:rPr>
        <w:tab/>
        <w:t>Data Analysis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 xml:space="preserv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00EF55B3">
        <w:rPr>
          <w:rFonts w:ascii="Times New Roman" w:hAnsi="Times New Roman"/>
          <w:sz w:val="24"/>
          <w:szCs w:val="24"/>
        </w:rPr>
        <w:tab/>
      </w:r>
      <w:r w:rsidRPr="004118C9">
        <w:rPr>
          <w:rFonts w:ascii="Times New Roman" w:hAnsi="Times New Roman"/>
          <w:sz w:val="24"/>
          <w:szCs w:val="24"/>
        </w:rPr>
        <w:t>31</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4.2</w:t>
      </w:r>
      <w:r w:rsidRPr="004118C9">
        <w:rPr>
          <w:rFonts w:ascii="Times New Roman" w:hAnsi="Times New Roman"/>
          <w:sz w:val="24"/>
          <w:szCs w:val="24"/>
        </w:rPr>
        <w:tab/>
        <w:t>Analysis of secondary data</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31</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4.3</w:t>
      </w:r>
      <w:r w:rsidRPr="004118C9">
        <w:rPr>
          <w:rFonts w:ascii="Times New Roman" w:hAnsi="Times New Roman"/>
          <w:sz w:val="24"/>
          <w:szCs w:val="24"/>
        </w:rPr>
        <w:tab/>
        <w:t>Data Presentation</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35</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FIVE: SUMMARY, CONCLUSION AND RECOMMENDATIONS</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5.1</w:t>
      </w:r>
      <w:r w:rsidRPr="004118C9">
        <w:rPr>
          <w:rFonts w:ascii="Times New Roman" w:hAnsi="Times New Roman"/>
          <w:sz w:val="24"/>
          <w:szCs w:val="24"/>
        </w:rPr>
        <w:tab/>
        <w:t xml:space="preserve">Summary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5.2</w:t>
      </w:r>
      <w:r w:rsidRPr="004118C9">
        <w:rPr>
          <w:rFonts w:ascii="Times New Roman" w:hAnsi="Times New Roman"/>
          <w:sz w:val="24"/>
          <w:szCs w:val="24"/>
        </w:rPr>
        <w:tab/>
        <w:t xml:space="preserve">Conclusion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5.3</w:t>
      </w:r>
      <w:r w:rsidRPr="004118C9">
        <w:rPr>
          <w:rFonts w:ascii="Times New Roman" w:hAnsi="Times New Roman"/>
          <w:sz w:val="24"/>
          <w:szCs w:val="24"/>
        </w:rPr>
        <w:tab/>
        <w:t>Recommendations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44</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ab/>
        <w:t xml:space="preserve">References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46</w:t>
      </w:r>
    </w:p>
    <w:p w:rsidR="004118C9" w:rsidRPr="002B220E" w:rsidRDefault="004118C9" w:rsidP="004118C9">
      <w:pPr>
        <w:spacing w:line="360" w:lineRule="auto"/>
        <w:jc w:val="both"/>
        <w:rPr>
          <w:sz w:val="26"/>
          <w:szCs w:val="26"/>
        </w:rPr>
        <w:sectPr w:rsidR="004118C9" w:rsidRPr="002B220E" w:rsidSect="002B220E">
          <w:footerReference w:type="default" r:id="rId7"/>
          <w:pgSz w:w="11520" w:h="14400" w:code="1"/>
          <w:pgMar w:top="1440" w:right="1440" w:bottom="1440" w:left="1440" w:header="720" w:footer="720" w:gutter="0"/>
          <w:pgNumType w:fmt="lowerRoman"/>
          <w:cols w:space="720"/>
          <w:docGrid w:linePitch="360"/>
        </w:sectPr>
      </w:pPr>
    </w:p>
    <w:p w:rsidR="00971943" w:rsidRPr="00785485" w:rsidRDefault="00971943" w:rsidP="00785485">
      <w:pPr>
        <w:spacing w:line="360" w:lineRule="auto"/>
        <w:jc w:val="center"/>
        <w:rPr>
          <w:rFonts w:ascii="Times New Roman" w:hAnsi="Times New Roman"/>
          <w:b/>
          <w:sz w:val="24"/>
          <w:szCs w:val="24"/>
        </w:rPr>
      </w:pPr>
      <w:r w:rsidRPr="00785485">
        <w:rPr>
          <w:rFonts w:ascii="Times New Roman" w:hAnsi="Times New Roman"/>
          <w:b/>
          <w:sz w:val="24"/>
          <w:szCs w:val="24"/>
        </w:rPr>
        <w:lastRenderedPageBreak/>
        <w:t>CHAPTER ONE</w:t>
      </w:r>
    </w:p>
    <w:p w:rsidR="00971943" w:rsidRPr="00785485" w:rsidRDefault="00971943" w:rsidP="00785485">
      <w:pPr>
        <w:spacing w:line="360" w:lineRule="auto"/>
        <w:jc w:val="center"/>
        <w:rPr>
          <w:rFonts w:ascii="Times New Roman" w:hAnsi="Times New Roman"/>
          <w:b/>
          <w:sz w:val="24"/>
          <w:szCs w:val="24"/>
        </w:rPr>
      </w:pPr>
      <w:r w:rsidRPr="00785485">
        <w:rPr>
          <w:rFonts w:ascii="Times New Roman" w:hAnsi="Times New Roman"/>
          <w:b/>
          <w:sz w:val="24"/>
          <w:szCs w:val="24"/>
        </w:rPr>
        <w:t>INTRODUCTION</w:t>
      </w:r>
    </w:p>
    <w:p w:rsidR="00971943" w:rsidRPr="00785485" w:rsidRDefault="00971943" w:rsidP="00785485">
      <w:pPr>
        <w:spacing w:line="360" w:lineRule="auto"/>
        <w:rPr>
          <w:rFonts w:ascii="Times New Roman" w:hAnsi="Times New Roman"/>
          <w:b/>
          <w:sz w:val="24"/>
          <w:szCs w:val="24"/>
        </w:rPr>
      </w:pPr>
      <w:r w:rsidRPr="00785485">
        <w:rPr>
          <w:rFonts w:ascii="Times New Roman" w:hAnsi="Times New Roman"/>
          <w:b/>
          <w:sz w:val="24"/>
          <w:szCs w:val="24"/>
        </w:rPr>
        <w:t>1.1</w:t>
      </w:r>
      <w:r w:rsidRPr="00785485">
        <w:rPr>
          <w:rFonts w:ascii="Times New Roman" w:hAnsi="Times New Roman"/>
          <w:b/>
          <w:sz w:val="24"/>
          <w:szCs w:val="24"/>
        </w:rPr>
        <w:tab/>
        <w:t>BACKGROUND TO THE STUDY</w:t>
      </w:r>
    </w:p>
    <w:p w:rsidR="00971943" w:rsidRPr="00785485" w:rsidRDefault="00971943" w:rsidP="00785485">
      <w:pPr>
        <w:spacing w:line="360" w:lineRule="auto"/>
        <w:jc w:val="both"/>
        <w:rPr>
          <w:rFonts w:ascii="Times New Roman" w:hAnsi="Times New Roman"/>
          <w:sz w:val="24"/>
          <w:szCs w:val="24"/>
        </w:rPr>
      </w:pPr>
      <w:r w:rsidRPr="00785485">
        <w:rPr>
          <w:rFonts w:ascii="Times New Roman" w:hAnsi="Times New Roman"/>
          <w:sz w:val="24"/>
          <w:szCs w:val="24"/>
        </w:rPr>
        <w:tab/>
        <w:t xml:space="preserve">The world “Agriculture' is derived from Latin words “Ager” meaning field or land and “culture” meaning cultivation. Agriculture which can be broadly defined as the cultivation of the soil for food crop and the breeding, feeding and management of livestock. The form also covers fishing in the sea and rives, breeding management and harvesting of fish pond. It may also include preparation of plant and animal product for use by human being and animal product for use by human being and animal product as well as the disposal of these through marketing. </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From this, one can see that agriculture is very important to the development of any economy in the world especially in countries where natural resources are in abundant supply. To argue that in Nigeria, agriculture has not been given its rightful place is like stating the obvious. A sector in which all individual livelihoods is abundantly.</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Nigeria governments focused its attention to oil and mineral resources in the 1970s which left agriculture development neglected creation decline in the production of agricultural output. It is a well knows fact that the needs for a well developed agricultural practice to provide for its maintenance. The arose feeling of the researchers to highlight the contribution of financial institution towards the development of agricultural sector in Nigeria</w:t>
      </w: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STATEMENT OF THE PROBLEMS</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The main reason for embarking on this project work is because of some problems, the topic under discussion is subjected to such as</w:t>
      </w:r>
    </w:p>
    <w:p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To increasing the rates of dimension of agricultural financing to meet the inspiration of both government and its citizens</w:t>
      </w:r>
    </w:p>
    <w:p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The degree of efficiency of agricultural finance determined in the    Nigeria economy.</w:t>
      </w:r>
    </w:p>
    <w:p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lastRenderedPageBreak/>
        <w:t>The various roles played by commercial Mo banks towards the development of agricultural sector in Nigeria financing.</w:t>
      </w:r>
    </w:p>
    <w:p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Banking services meeting the needs of agricultural financing</w:t>
      </w:r>
    </w:p>
    <w:p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Nigeria deposit money banks shying away from granting finance</w:t>
      </w:r>
    </w:p>
    <w:p w:rsidR="00971943" w:rsidRPr="00785485" w:rsidRDefault="00971943" w:rsidP="00785485">
      <w:pPr>
        <w:pStyle w:val="ListParagraph"/>
        <w:spacing w:line="360" w:lineRule="auto"/>
        <w:ind w:left="630"/>
        <w:jc w:val="both"/>
        <w:rPr>
          <w:rFonts w:ascii="Times New Roman" w:hAnsi="Times New Roman"/>
          <w:sz w:val="24"/>
          <w:szCs w:val="24"/>
        </w:rPr>
      </w:pP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RESEARCH QUESTIONS</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This research work intends to find answer to the question do as to achieve its objectives and for the purpose of research work.</w:t>
      </w:r>
    </w:p>
    <w:p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What type of relationship exists between the various deposit money banks and customers (farmers)?</w:t>
      </w:r>
    </w:p>
    <w:p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How does the deposit money bank finance the agricultural sector effectively in an economy?</w:t>
      </w:r>
    </w:p>
    <w:p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What are the policies of the various deposit money banks in granting loan advances to the agricultural sector?</w:t>
      </w:r>
    </w:p>
    <w:p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Under what condition could banks help towards the development of agricultural sector in an economy?</w:t>
      </w:r>
    </w:p>
    <w:p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What are the various terms of repayment of loan granted to the customers (farmers) by the deposit money banks?</w:t>
      </w: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OBJECTIVES OF THE STUDY</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Considering the basic concept of this project, it is designed to meet the following objectives.</w:t>
      </w:r>
    </w:p>
    <w:p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 xml:space="preserve">To examine the factors militating against bank performance on agricultural development </w:t>
      </w:r>
    </w:p>
    <w:p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To work out the various ways of ameliorating the agricultural sector through common deposit money banks</w:t>
      </w:r>
    </w:p>
    <w:p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To determine the extent contributes, now deposit money bank financially contribute towards agricultural development in an economy.</w:t>
      </w:r>
    </w:p>
    <w:p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 xml:space="preserve">To examine the modalities laid by the deposit money banks over the years and in the study of this native.        </w:t>
      </w:r>
    </w:p>
    <w:p w:rsidR="00971943" w:rsidRPr="00785485" w:rsidRDefault="00971943" w:rsidP="00785485">
      <w:pPr>
        <w:spacing w:line="360" w:lineRule="auto"/>
        <w:ind w:firstLine="360"/>
        <w:jc w:val="both"/>
        <w:rPr>
          <w:rFonts w:ascii="Times New Roman" w:hAnsi="Times New Roman"/>
          <w:sz w:val="24"/>
          <w:szCs w:val="24"/>
        </w:rPr>
      </w:pPr>
      <w:r w:rsidRPr="00785485">
        <w:rPr>
          <w:rFonts w:ascii="Times New Roman" w:hAnsi="Times New Roman"/>
          <w:sz w:val="24"/>
          <w:szCs w:val="24"/>
        </w:rPr>
        <w:lastRenderedPageBreak/>
        <w:t>Collection of data require visit to the bank used as case study. In view of this I am restricted to some extent in my visit and write up.</w:t>
      </w:r>
    </w:p>
    <w:p w:rsidR="00971943" w:rsidRPr="00785485" w:rsidRDefault="00971943" w:rsidP="00785485">
      <w:pPr>
        <w:spacing w:line="360" w:lineRule="auto"/>
        <w:ind w:firstLine="360"/>
        <w:jc w:val="both"/>
        <w:rPr>
          <w:rFonts w:ascii="Times New Roman" w:hAnsi="Times New Roman"/>
          <w:sz w:val="24"/>
          <w:szCs w:val="24"/>
        </w:rPr>
      </w:pPr>
      <w:r w:rsidRPr="00785485">
        <w:rPr>
          <w:rFonts w:ascii="Times New Roman" w:hAnsi="Times New Roman"/>
          <w:sz w:val="24"/>
          <w:szCs w:val="24"/>
        </w:rPr>
        <w:tab/>
        <w:t>Finally the study will analyze the case study application of these measures to show the result obtained and will go further to make suggestions and recommendations on how to improve the sector.</w:t>
      </w: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RESEARCH HYPOTHESIS</w:t>
      </w:r>
    </w:p>
    <w:p w:rsidR="00971943" w:rsidRPr="00785485" w:rsidRDefault="00971943" w:rsidP="00785485">
      <w:pPr>
        <w:spacing w:line="360" w:lineRule="auto"/>
        <w:ind w:firstLine="360"/>
        <w:jc w:val="both"/>
        <w:rPr>
          <w:rFonts w:ascii="Times New Roman" w:hAnsi="Times New Roman"/>
          <w:sz w:val="24"/>
          <w:szCs w:val="24"/>
        </w:rPr>
      </w:pPr>
      <w:r w:rsidRPr="00785485">
        <w:rPr>
          <w:rFonts w:ascii="Times New Roman" w:hAnsi="Times New Roman"/>
          <w:sz w:val="24"/>
          <w:szCs w:val="24"/>
        </w:rPr>
        <w:tab/>
        <w:t>The hypothesis are the changes in the level of which deposit money bank of finance and the agricultural sector in Nigeria. It should also be truly noted and examined if truly the deposit money banks provide financial helps towards the agricultural sector. These problems derives from below hypothesis</w:t>
      </w:r>
    </w:p>
    <w:p w:rsidR="00971943" w:rsidRPr="00785485" w:rsidRDefault="00971943" w:rsidP="00785485">
      <w:pPr>
        <w:pStyle w:val="ListParagraph"/>
        <w:numPr>
          <w:ilvl w:val="0"/>
          <w:numId w:val="21"/>
        </w:numPr>
        <w:spacing w:line="360" w:lineRule="auto"/>
        <w:jc w:val="both"/>
        <w:rPr>
          <w:rFonts w:ascii="Times New Roman" w:hAnsi="Times New Roman"/>
          <w:sz w:val="24"/>
          <w:szCs w:val="24"/>
        </w:rPr>
      </w:pPr>
      <w:r w:rsidRPr="00785485">
        <w:rPr>
          <w:rFonts w:ascii="Times New Roman" w:hAnsi="Times New Roman"/>
          <w:sz w:val="24"/>
          <w:szCs w:val="24"/>
        </w:rPr>
        <w:t>There are various way through which deposit money bank contribute towards the agricultural sector</w:t>
      </w:r>
    </w:p>
    <w:p w:rsidR="00971943" w:rsidRPr="00785485" w:rsidRDefault="00971943" w:rsidP="00785485">
      <w:pPr>
        <w:pStyle w:val="ListParagraph"/>
        <w:numPr>
          <w:ilvl w:val="0"/>
          <w:numId w:val="21"/>
        </w:numPr>
        <w:spacing w:line="360" w:lineRule="auto"/>
        <w:jc w:val="both"/>
        <w:rPr>
          <w:rFonts w:ascii="Times New Roman" w:hAnsi="Times New Roman"/>
          <w:sz w:val="24"/>
          <w:szCs w:val="24"/>
        </w:rPr>
      </w:pPr>
      <w:r w:rsidRPr="00785485">
        <w:rPr>
          <w:rFonts w:ascii="Times New Roman" w:hAnsi="Times New Roman"/>
          <w:sz w:val="24"/>
          <w:szCs w:val="24"/>
        </w:rPr>
        <w:t>There would be evaluation of the relevance of deposit money banks to the agricultural sector</w:t>
      </w: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 xml:space="preserve">SIGNIFICANCE OF THE STUDY </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The research work has an impact of increasing the knowledge of the researcher and have many good effects on the economy in general.</w:t>
      </w:r>
    </w:p>
    <w:p w:rsidR="00971943" w:rsidRPr="00785485" w:rsidRDefault="00971943" w:rsidP="00785485">
      <w:pPr>
        <w:spacing w:line="360" w:lineRule="auto"/>
        <w:jc w:val="both"/>
        <w:rPr>
          <w:rFonts w:ascii="Times New Roman" w:hAnsi="Times New Roman"/>
          <w:sz w:val="24"/>
          <w:szCs w:val="24"/>
        </w:rPr>
      </w:pPr>
      <w:r w:rsidRPr="00785485">
        <w:rPr>
          <w:rFonts w:ascii="Times New Roman" w:hAnsi="Times New Roman"/>
          <w:sz w:val="24"/>
          <w:szCs w:val="24"/>
        </w:rPr>
        <w:t xml:space="preserve">    The need for the study is to improve on the development and financing of agriculture to our economy, therefore, there is the need to draw the attention of the government, the banker and the customers (farmer) to the development of agricultural sector to boost production and encourage foreign investment to the sector.</w:t>
      </w:r>
    </w:p>
    <w:p w:rsidR="00971943" w:rsidRPr="00785485" w:rsidRDefault="00971943" w:rsidP="00785485">
      <w:pPr>
        <w:spacing w:line="360" w:lineRule="auto"/>
        <w:jc w:val="both"/>
        <w:rPr>
          <w:rFonts w:ascii="Times New Roman" w:hAnsi="Times New Roman"/>
          <w:sz w:val="24"/>
          <w:szCs w:val="24"/>
        </w:rPr>
      </w:pPr>
      <w:r w:rsidRPr="00785485">
        <w:rPr>
          <w:rFonts w:ascii="Times New Roman" w:hAnsi="Times New Roman"/>
          <w:sz w:val="24"/>
          <w:szCs w:val="24"/>
        </w:rPr>
        <w:tab/>
        <w:t>Also, the research will be useful to the students who may want to carry out this type of research in future time to serve as guide and for those who may ever want to go further in the research.</w:t>
      </w: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SCOPE OF THE STUDY</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 xml:space="preserve">For a proper and overall coverage of this research work, emphasis shall be laid on the roles and duties of deposit money banks to the agricultural sector in Nigeria, in </w:t>
      </w:r>
      <w:r w:rsidRPr="00785485">
        <w:rPr>
          <w:rFonts w:ascii="Times New Roman" w:hAnsi="Times New Roman"/>
          <w:sz w:val="24"/>
          <w:szCs w:val="24"/>
        </w:rPr>
        <w:lastRenderedPageBreak/>
        <w:t xml:space="preserve">furtherance of this research project. One time constraint in the part of the bank also create some level of problem to direct access to information. All information contained in this research shall be limited to journals, handbill, newspaper report and published lecture note. Finally in making suggestion on how to improve and make the sector function effectively       </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1.8</w:t>
      </w:r>
      <w:r w:rsidRPr="00785485">
        <w:rPr>
          <w:rStyle w:val="Strong"/>
        </w:rPr>
        <w:tab/>
        <w:t>DEFINITION OF TERMS</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CREDIT OR LOAN: </w:t>
      </w:r>
      <w:r w:rsidRPr="00785485">
        <w:t>Used interchangeably. It refers to the cash or goods or services granted by the financial institution (e.g. bank) to a beneficiary (borrower) to use in the present with a pledge to pay back at a future date.</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LOAN REPAYMENT: </w:t>
      </w:r>
      <w:r w:rsidRPr="00785485">
        <w:t>This is the fulfillment of a loan obligation</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COLLATERAL SECURITY:</w:t>
      </w:r>
      <w:r w:rsidRPr="00785485">
        <w:t>Is an asset pledge against the performance of a loan.</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LOAN DISBURSEMENT LAG: </w:t>
      </w:r>
      <w:r w:rsidRPr="00785485">
        <w:t>Gives an indication to the timeliness of a loan delivery. This is measured by the number of days between application and disbursement.</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 xml:space="preserve">LOAN DELINQUENCY: </w:t>
      </w:r>
      <w:r w:rsidRPr="00785485">
        <w:t>Loan default or non-performing loan means the same. It is a failure to fulfill loan obligation. A loan becomes defaulted if the interests is ninety days over due and not enhance or extended.</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SOCIO ECONOMIC STATION:</w:t>
      </w:r>
      <w:r w:rsidRPr="00785485">
        <w:t>Is determined by the farmers’ asset structure which defines his/her standard of living. The assets include: Type of House, Radio, Wrist Watch, Motor Cycle, Bicycle, Car, Television, Farm Produce Processor.</w:t>
      </w:r>
    </w:p>
    <w:p w:rsidR="002B5DAE" w:rsidRPr="00785485" w:rsidRDefault="002B5DAE" w:rsidP="00785485">
      <w:pPr>
        <w:spacing w:after="0" w:line="360" w:lineRule="auto"/>
        <w:jc w:val="both"/>
        <w:rPr>
          <w:rFonts w:ascii="Times New Roman" w:hAnsi="Times New Roman"/>
          <w:b/>
          <w:sz w:val="24"/>
          <w:szCs w:val="24"/>
        </w:rPr>
      </w:pPr>
      <w:r w:rsidRPr="00785485">
        <w:rPr>
          <w:rFonts w:ascii="Times New Roman" w:hAnsi="Times New Roman"/>
          <w:b/>
          <w:sz w:val="24"/>
          <w:szCs w:val="24"/>
        </w:rPr>
        <w:t>1.9</w:t>
      </w:r>
      <w:r w:rsidRPr="00785485">
        <w:rPr>
          <w:rFonts w:ascii="Times New Roman" w:hAnsi="Times New Roman"/>
          <w:sz w:val="24"/>
          <w:szCs w:val="24"/>
        </w:rPr>
        <w:tab/>
      </w:r>
      <w:r w:rsidRPr="00785485">
        <w:rPr>
          <w:rFonts w:ascii="Times New Roman" w:hAnsi="Times New Roman"/>
          <w:b/>
          <w:sz w:val="24"/>
          <w:szCs w:val="24"/>
        </w:rPr>
        <w:t>PLAN OF THE STUDY</w:t>
      </w:r>
    </w:p>
    <w:p w:rsidR="002B5DAE" w:rsidRPr="00785485" w:rsidRDefault="00EF55B3" w:rsidP="00785485">
      <w:pPr>
        <w:spacing w:after="0" w:line="360" w:lineRule="auto"/>
        <w:jc w:val="both"/>
        <w:rPr>
          <w:rFonts w:ascii="Times New Roman" w:hAnsi="Times New Roman"/>
          <w:sz w:val="24"/>
          <w:szCs w:val="24"/>
        </w:rPr>
      </w:pPr>
      <w:r>
        <w:rPr>
          <w:rFonts w:ascii="Times New Roman" w:hAnsi="Times New Roman"/>
          <w:sz w:val="24"/>
          <w:szCs w:val="24"/>
        </w:rPr>
        <w:tab/>
      </w:r>
      <w:r w:rsidR="002B5DAE" w:rsidRPr="00785485">
        <w:rPr>
          <w:rFonts w:ascii="Times New Roman" w:hAnsi="Times New Roman"/>
          <w:sz w:val="24"/>
          <w:szCs w:val="24"/>
        </w:rPr>
        <w:t>The plan of the study is divided into five chapters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One: deals with the introduction which contains background, statement of the problem, objectives of the study, significance of the study, research question, research hypothesis, and scope of the study, definition of terms and plan of the study.</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Two: It deals with literature review which contains Literature Review, Conceptual framework, Theoretical framework, and Empirical Review.</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Three: deals with research methodology, data analysis, population and sample size, method of data collection.</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Four: deals with presentation, analysis and interpretation of data.</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Five: Consist of the summary, Conclusion and recommendations.</w:t>
      </w:r>
    </w:p>
    <w:p w:rsidR="00EF55B3" w:rsidRDefault="00EF55B3" w:rsidP="00785485">
      <w:pPr>
        <w:spacing w:after="0" w:line="360" w:lineRule="auto"/>
        <w:jc w:val="center"/>
        <w:rPr>
          <w:rFonts w:ascii="Times New Roman" w:hAnsi="Times New Roman"/>
          <w:sz w:val="24"/>
          <w:szCs w:val="24"/>
        </w:rPr>
      </w:pPr>
    </w:p>
    <w:p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lastRenderedPageBreak/>
        <w:t>CHAPTER TWO</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2.0</w:t>
      </w:r>
      <w:r w:rsidRPr="00785485">
        <w:rPr>
          <w:rFonts w:ascii="Times New Roman" w:hAnsi="Times New Roman"/>
          <w:b/>
          <w:color w:val="000000"/>
          <w:sz w:val="24"/>
          <w:szCs w:val="24"/>
        </w:rPr>
        <w:tab/>
        <w:t xml:space="preserve">LITERATURE REVIEW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This chapter summarizes the information from the available literature in the same field of study. It will review theories of credit management as well as empirical studies on </w:t>
      </w:r>
      <w:r w:rsidR="00785485">
        <w:rPr>
          <w:rFonts w:ascii="Times New Roman" w:hAnsi="Times New Roman"/>
          <w:color w:val="000000"/>
          <w:sz w:val="24"/>
          <w:szCs w:val="24"/>
        </w:rPr>
        <w:t>deposit money.</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w:t>
      </w:r>
      <w:r w:rsidRPr="00785485">
        <w:rPr>
          <w:rFonts w:ascii="Times New Roman" w:hAnsi="Times New Roman"/>
          <w:b/>
          <w:color w:val="000000"/>
          <w:sz w:val="24"/>
          <w:szCs w:val="24"/>
        </w:rPr>
        <w:tab/>
        <w:t xml:space="preserve">CONCEPTUAL FRAMEWORK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2.1.1</w:t>
      </w:r>
      <w:r w:rsidRPr="00785485">
        <w:rPr>
          <w:rFonts w:ascii="Times New Roman" w:hAnsi="Times New Roman"/>
          <w:b/>
          <w:color w:val="000000"/>
          <w:sz w:val="24"/>
          <w:szCs w:val="24"/>
        </w:rPr>
        <w:tab/>
        <w:t>CONCEPT OF CREDIT</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Numerous studies have been conducted to reveal the impact of credit on agricultural output in both developed and developing economies. Majority of these studies seems to suggest that credit has a positive effect on economic growth and development.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For instance, Zuberi (</w:t>
      </w:r>
      <w:r w:rsidR="00EF55B3">
        <w:rPr>
          <w:rFonts w:ascii="Times New Roman" w:hAnsi="Times New Roman"/>
          <w:sz w:val="24"/>
          <w:szCs w:val="24"/>
        </w:rPr>
        <w:t>2000</w:t>
      </w:r>
      <w:r w:rsidRPr="00785485">
        <w:rPr>
          <w:rFonts w:ascii="Times New Roman" w:hAnsi="Times New Roman"/>
          <w:sz w:val="24"/>
          <w:szCs w:val="24"/>
        </w:rPr>
        <w:t xml:space="preserve">) in his study discovered that about 70 per cent of the overall credit to the agricultural sector was employed in fertilizer and seed purchases and submitted that, the majority of the increased agricultural production could be attributed to changes in the quality and quantity of fertilizer and seed. There have been consistent attempt to increase these support incentives by Nigerian government through increased budgetary expenditure and provision of available affordable credit facilities. This government budgeting provision has serves as a critical determinant of the output and performance of the Nigerian agricultural sector over the year (Nwosu, 2010).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Food and Agricultural Organization (FAO) concluded in 2008 that the allocation of capital to the Nigerian agricultural sector from 1970 to 1980 averaged at 4.74 per cent. This figure rose to 7.00 per cent between 1980 and 2000, and further moved to 10.00 per cent between 2001 and 2007. In spite of this upward trend, it is far below what is being recommended by FAO that government should assigned about 25 per cent of its budgetary allocation to the development of the agricultural sector. Along this reasoning, several studies are focused toward examining the impact of the expenditure of government on agricultural output. </w:t>
      </w:r>
    </w:p>
    <w:p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sz w:val="24"/>
          <w:szCs w:val="24"/>
        </w:rPr>
        <w:t xml:space="preserve">For instance, Nafisat (2009) examined the impact of the expenditure of Nigerian government on output using the ordinary least square (OLS) estimation technique for the period 1977-2006. The results show that agricultural output does not respond significantly to government expenditure on agriculture. It confirms that the government </w:t>
      </w:r>
      <w:r w:rsidRPr="00785485">
        <w:rPr>
          <w:rFonts w:ascii="Times New Roman" w:hAnsi="Times New Roman"/>
          <w:sz w:val="24"/>
          <w:szCs w:val="24"/>
        </w:rPr>
        <w:lastRenderedPageBreak/>
        <w:t>contribution to agriculture is not enough for its development. The study therefore suggested that the unique role of agriculture is recognized so that the sector can obtain its right share of government expenditure.</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Credit risk deputes to the risk that a borrower with default on any types of debt by failing to make require payments. The risk is primarily that of the lender and includes lost principal and interest, description to cash flows, and increased collection sot (Bistort). Effective management of credit risk is inextricable linked to the development of banking technology, which will enable to inextricable linked to the development of banking technology, which will enable to increase the speed of decision making and simultaneously reduce the cost of controlling credit risk. This requires a complete base of partners and contractors (Captiva, 2009) Credit risk is one of significant risk of banks by the nature of their activities, through effective management of credit risk exposure bank not only also contribute to systemic stability and to an efficient allocation of capital I the economy (PsillakiTsolas, and margaritas, Zolo p, 873). The default of small number of customers may result in a very large loss for the bank (Gestalt&amp;Besoms, 2008, p24). It has been identified by Basel committee as a main source of risk management as the combination of coordinated tasks and activities s for controlling and directing risk confronted by an organization through the   incorporation of key risk management tactics and process in relation to the organization practices are not developed and aimed to eliminate risk altogether but they aim at controlling opportunities and hazards that may results in risk (Franks et al. 2014). Moreover, ross et al. (2008) concern that risk management practices also ensure that financial institutions must have string and rational framework for decision making by which firm’s objectives can be attained (Ross et al, 208). Garcia et al. (2013) on the other hand, note that effective credit risk management practice has been successful to eliminate the human element in making decisions about controlling risk.</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Credit risk is basically the risk faced by investor to lose money from borrower who fails to make payments. This may result in default or default risk. Investors may lose interest and principle that can result in creased cost of collection and decreased cash flows. Previous studies have noted that high credit risk controls (CRC) result in low chances of details (Ross et al, 2008) therefore, credit risk could an alleviated by utilizing </w:t>
      </w:r>
      <w:r w:rsidRPr="00785485">
        <w:rPr>
          <w:rFonts w:ascii="Times New Roman" w:hAnsi="Times New Roman"/>
          <w:color w:val="000000"/>
          <w:sz w:val="24"/>
          <w:szCs w:val="24"/>
        </w:rPr>
        <w:lastRenderedPageBreak/>
        <w:t xml:space="preserve">based evaluation, contacts, credit protection., tightening and broadening (Ross et al, 2008) Moti et al (2012) argue that intelligent and effective management. Furthermore, to minimize the risk of bad debt and over reserving banks ought to have greater insight into important factors like, customer financial strength, credit score history and changing payment patterns (Moti et al, 2012).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Loan portfolio is not only considered as a largest asset as well as predominate source to generate revenue but one of the biggest risk source for the financial institutions soundness and safety as well (Richard et al, 2008). Hence credit risk management is considered to be one of the road maps for soundness and safety of the sector through prudent actions as well as monitoring and performance. Despite of the efforts made by the financial institutions number of problems increased significantly institutions number of problems increased significantly on both, emerging as well as matured economies of the world (Basel, 2004). Most important of the risks associated to financial institutions is weak credit risk management, being a threat for the banking sector (Chijoriga, 1997). There should be systematic distribution of loans according to well established credit policies and procedures provided by (Schreiner, 2003). Well formulated loan policy is beneficial for institutional performance. Hence it helps organization to follow the same for risk management as well as fulfilling regulatory requirements (Joana, 2000). Loar review is a part of policy and is crucial, helping management in problem identification on regular basis to check either loan officers are following the policy in true letter and spirit or not. The review policy is better implemnt5ed by commercial bank hence they were easily able to top up loans in no time through use of modern technology unlike institutions (Craig, 2006).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Loan appraisal is an application request for funds, evaluated by financial institution. The aspects to be focused on in the appraisal include purpose of the client, need genuineness, repayment capacity of the borrower, quantum of loan and security. Loan appraisal plays important role to keep the loan losses to minimum level, hence if those officers appointed for loan appraisal are competent then there would be high chances of lending money to non-deserving customers (Boldizzoni, 2008). Collection procedure is a systematic way required to recover the past amount from clients within the lawful jurisdiction. the collection aspects Amy vary from institution but those should be </w:t>
      </w:r>
      <w:r w:rsidRPr="00785485">
        <w:rPr>
          <w:rFonts w:ascii="Times New Roman" w:hAnsi="Times New Roman"/>
          <w:color w:val="000000"/>
          <w:sz w:val="24"/>
          <w:szCs w:val="24"/>
        </w:rPr>
        <w:lastRenderedPageBreak/>
        <w:t xml:space="preserve">complaint to existing law such as third party collection agencies may involve in collection procedure details provided by the institution but also the procedure in which the lawful collection takes place (Lateef. 2006). Well administered collection is needed for better performance of the loan. If financial institutions do not follow well administered collection procedure, this would result in loan defaults. (Boldizzoni, 2008).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2.1.2</w:t>
      </w:r>
      <w:r w:rsidRPr="00785485">
        <w:rPr>
          <w:rFonts w:ascii="Times New Roman" w:hAnsi="Times New Roman"/>
          <w:b/>
          <w:color w:val="000000"/>
          <w:sz w:val="24"/>
          <w:szCs w:val="24"/>
        </w:rPr>
        <w:tab/>
        <w:t xml:space="preserve">THE CONCEPT OF CRM AND PROFITABILITY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Banks raise finance through collecting deposits from business and other institutions, households, and the government on the one hand and provide loans to households, business and other institutions, and the government through several different types of arrangements. Therefore, the crucial assets of bank are banks and bonds whilst major liabilities are customer deposits in accordance with Cornett and Saunders (2005). Balance sheet of a bank( statement of comprehensive income) has loans representing the bank amount of banks assets, never the less, these loans come with risk where the bank makes bad loans to customers, the bank will be in serious problems if those loans are not repaid credit management is therefore concerned with rewards and risk that hare to be objective through captures and carefully risk management, failure of which may possibly bring about legal action, economic loss or harm the banks name (reserve Bank of Zimbabwe (RBZ) Guideline No. 1 2006 as citied in Maliki, Mapetere, &amp;Mhomede, 2012). Bank credit is the borrowing facility made available to an individual by the bank in the form of a credit or loan. The fundamental expectation of the financial system is theta when funds are loaned out, there should be reasonable anticipation of refund of the loans, plus interest. Credit risk comes up from uncertainly in a given counterparty to meet up with the obligation of honoring the terms and conditions of the credit arrangement (Fatemi &amp; Foolads, 2006) it is the risk of loss originated by a debtor’s failure to pay a loan or line of credit. In essence, credit risk arises from uncertainty in counterparty’s ability or willingness to meet its credits stand ding of counterparty as part of credit risk.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In the same vein, Naomi (2011) argued that credit risk represents the potential variation in the net income from non-payment or delayed payment of credit facility granted to customers. The GlFBNl risk management group 1999 in its report conceded that credit risk is the possibility that bank borrower will fail to meet obligation in accordance with the </w:t>
      </w:r>
      <w:r w:rsidR="00EF55B3">
        <w:rPr>
          <w:rFonts w:ascii="Times New Roman" w:hAnsi="Times New Roman"/>
          <w:color w:val="000000"/>
          <w:sz w:val="24"/>
          <w:szCs w:val="24"/>
        </w:rPr>
        <w:t>Agree</w:t>
      </w:r>
      <w:r w:rsidRPr="00785485">
        <w:rPr>
          <w:rFonts w:ascii="Times New Roman" w:hAnsi="Times New Roman"/>
          <w:color w:val="000000"/>
          <w:sz w:val="24"/>
          <w:szCs w:val="24"/>
        </w:rPr>
        <w:t xml:space="preserve">d terms. It added that, the effective in accordance with the </w:t>
      </w:r>
      <w:r w:rsidR="00EF55B3">
        <w:rPr>
          <w:rFonts w:ascii="Times New Roman" w:hAnsi="Times New Roman"/>
          <w:color w:val="000000"/>
          <w:sz w:val="24"/>
          <w:szCs w:val="24"/>
        </w:rPr>
        <w:lastRenderedPageBreak/>
        <w:t>Agreed</w:t>
      </w:r>
      <w:r w:rsidRPr="00785485">
        <w:rPr>
          <w:rFonts w:ascii="Times New Roman" w:hAnsi="Times New Roman"/>
          <w:color w:val="000000"/>
          <w:sz w:val="24"/>
          <w:szCs w:val="24"/>
        </w:rPr>
        <w:t xml:space="preserve"> terms. It added that, the effective management of credit risk is a critical component of a comprehensive approached to risk management and essential to the long-term success of any banking organization, lending involves the creation and management risk assets, and it is an important task of bank management CRM covers the decision- making process, before the credit decision is made and the follow- up of credit commitments plus an monitoring and reporting process (Miler, 1996) Risk is condition in which there exists a quantifiable dispersion in the possible customs from any activity (the chartered institution of management accountants, 2005). In other words, it refers to the process by which all loans, advances, Credit facilities, or accommodation granted by a bank to a customer are administered to ensure that the facilities run sati factoring according to the terms governing them and are ultimately repaid on due date. Modern risk management is the management producer devised to eliminate or minimize the adverse effect of possible financial loss by identifying the potential sources of loss, measuring the financial consequences of a loss occurring. And using controls to minimize actual losses or their financial consequences controls to minimize actual losses or their financial consequences (Irukwu. 1998). According, the most important topic in the business world today is the management and control of risk. Every day. We learn about big small and medium sized companies that have collapsed or gone into liquidation, because their management ignored the risk to which the organization was exposed due to the absence of an efficient risk management system. The effective management of credit is a critical component of a comprehensive approach to risk management and essential to the long term success of any banking organization. A major function by mobilizing funds from surplus economic units and channeling the same to deficit units for productive activities.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This implies that, commercial banks grant loans to customers from the publics funds with the over an object of increasing profitability resulting from earnings, now, because profitability is a function of earnings resulting from viable loans and advances, it follows that banks ought to effectively manage its credit risks in order to protect and enhance profitability. </w:t>
      </w:r>
    </w:p>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2B5DAE" w:rsidP="00785485">
      <w:pPr>
        <w:spacing w:after="0" w:line="360" w:lineRule="auto"/>
        <w:jc w:val="both"/>
        <w:rPr>
          <w:rFonts w:ascii="Times New Roman" w:hAnsi="Times New Roman"/>
          <w:b/>
          <w:color w:val="000000"/>
          <w:sz w:val="24"/>
          <w:szCs w:val="24"/>
        </w:rPr>
      </w:pP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lastRenderedPageBreak/>
        <w:t>2.1.3 NINE ELEMENTS OF THE PROCESS OF PORTFOLIO MANAGEMENT</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Evaluation of the credit culture.</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Objectives of the portfolio and risk tolerance limits.</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Management of information system.</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Segmentation of portfolio and the diversification of risk objectives </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Analysis of loans originated by other lenders. </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Aggregate policy and under writing exception system, </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Stress testing analysis of portfolios, </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Autonomous and effectual control functions,</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analysis of portfolio risk/ reward trade – offs</w:t>
      </w:r>
    </w:p>
    <w:p w:rsidR="002B5DAE" w:rsidRPr="00785485" w:rsidRDefault="002B5DAE" w:rsidP="00785485">
      <w:pPr>
        <w:spacing w:after="0" w:line="360" w:lineRule="auto"/>
        <w:ind w:firstLine="401"/>
        <w:jc w:val="both"/>
        <w:rPr>
          <w:rFonts w:ascii="Times New Roman" w:hAnsi="Times New Roman"/>
          <w:color w:val="000000"/>
          <w:sz w:val="24"/>
          <w:szCs w:val="24"/>
        </w:rPr>
      </w:pPr>
      <w:r w:rsidRPr="00785485">
        <w:rPr>
          <w:rFonts w:ascii="Times New Roman" w:hAnsi="Times New Roman"/>
          <w:color w:val="000000"/>
          <w:sz w:val="24"/>
          <w:szCs w:val="24"/>
        </w:rPr>
        <w:t xml:space="preserve">Credit management starts with a sale or the granting of a facility as in the case of a bank and does not stop until the full and final payment has been made. Technically a transaction cannot be termed as complete until full payment has been made. Good lending the up for him in a timer and prompt manner otherwise, this eventually lead to the total loss of interest that the institution could have earned due to the opportunity cost of the loan, the risk involved and time value of money. Credit management is primarily concerned with the effective management of debtors as well as judicious financing of receivables. The objective of credit management can therefore be expressively stated as safeguarding the portfolio of the companies’ investments in debtors and maximizing operational cash flows/ policies and practices ought to be rigorously forced for granting credit facilities to customers, collection of repayments that are due and limiting the high risk factor of non- payments.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2.1.4 CREDIT CULTURE</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Credit culture according to Lemath et al (2010) can be defined as a bank’s approach to all issues correlated to the administration of credit risk. He continued by stating that if it is the attain a healthy credit risk portfolio, it must be synchronized with the strategic direction and organization culture of the financial institution. The culture must have the capacity to deliver, the service required by the institution to meet the needs of its clients in a timely manner. It can only do this it is in harmony with the ordeal strategic direction of the financial institution and is pioneered by the top echelon of the financial institution. Because the credit culture ought to limit on the amount of risk at the </w:t>
      </w:r>
      <w:r w:rsidRPr="00785485">
        <w:rPr>
          <w:rFonts w:ascii="Times New Roman" w:hAnsi="Times New Roman"/>
          <w:color w:val="000000"/>
          <w:sz w:val="24"/>
          <w:szCs w:val="24"/>
        </w:rPr>
        <w:lastRenderedPageBreak/>
        <w:t>same time, it is bound to run into all of kinds of resistance. Top management is the only source that can ensure that the culture not only supports appropriate credit standards, but is also profitable enough not to cause the bank to lose out on good business.</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Solid credit standards, according to Ronse (2002). Will unavoidably cost the bank some business, which in retrospect could have been beneficial. However, when the decision is being contemplated on hind sight is unavailable. Credit culture which is an integral part of credit management takes into consideration the fact that there is some business the bank has to be willing to lose and so it becomes imperative for an </w:t>
      </w:r>
      <w:r w:rsidR="00EF55B3">
        <w:rPr>
          <w:rFonts w:ascii="Times New Roman" w:hAnsi="Times New Roman"/>
          <w:color w:val="000000"/>
          <w:sz w:val="24"/>
          <w:szCs w:val="24"/>
        </w:rPr>
        <w:t>Agreed</w:t>
      </w:r>
      <w:r w:rsidRPr="00785485">
        <w:rPr>
          <w:rFonts w:ascii="Times New Roman" w:hAnsi="Times New Roman"/>
          <w:color w:val="000000"/>
          <w:sz w:val="24"/>
          <w:szCs w:val="24"/>
        </w:rPr>
        <w:t>ment to be sought and a consensus reached as to the yard stick to be applied in determining which business to do away with throughout the bank. This policy has to be established by management and should articulate the type and level of risk the bank is ready to accommodate and the return it exports from taking on sated risk levels, both at the customer and portfolio level in the view of Gallagher and if lender (2002). Credit standards translate the culture into actions. They should consider the terrain of the bank’s operations, its arrangement and the character and the level of preparedness of staff involved in credit decisions. This enables an effective credit management system to be implemented butted by a strong culture that is able to convent policies into proven results.</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2.1.5 THE LOAN SYSTEM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color w:val="000000"/>
          <w:sz w:val="24"/>
          <w:szCs w:val="24"/>
        </w:rPr>
        <w:tab/>
        <w:t xml:space="preserve">Before endorsing any credit facility. It behaves </w:t>
      </w:r>
      <w:r w:rsidR="00785485">
        <w:rPr>
          <w:rFonts w:ascii="Times New Roman" w:hAnsi="Times New Roman"/>
          <w:color w:val="000000"/>
          <w:sz w:val="24"/>
          <w:szCs w:val="24"/>
        </w:rPr>
        <w:t xml:space="preserve"> on </w:t>
      </w:r>
      <w:r w:rsidRPr="00785485">
        <w:rPr>
          <w:rFonts w:ascii="Times New Roman" w:hAnsi="Times New Roman"/>
          <w:color w:val="000000"/>
          <w:sz w:val="24"/>
          <w:szCs w:val="24"/>
        </w:rPr>
        <w:t xml:space="preserve">the bank to ensure that the debtor has a practical and viable proposal. However, the marketability of a loan proposition does not depend all together on the ovation of connatural provided by the borrower. The financial intermediary needs to establish the amount of credit risk latent in the credit proposal and within the boundaries the amount of credit risk latent in the credit proposal and within the boundaries of that risk, a decision has to be made whether to accept or reject the proposal. An effective credit management system provides the right framework for such decisions to be made Puri and Poilu (2013) for any provision of credit line within the retail sector for instance a borrower must have a pre-existing capacity to repay the loan either from his/her salary or income from self-employed business or profession. But financing in the commercial sector is somewhat different. A borrower is not always required to have a pre-existing capacity to repay a working capital </w:t>
      </w:r>
      <w:r w:rsidRPr="00785485">
        <w:rPr>
          <w:rFonts w:ascii="Times New Roman" w:hAnsi="Times New Roman"/>
          <w:color w:val="000000"/>
          <w:sz w:val="24"/>
          <w:szCs w:val="24"/>
        </w:rPr>
        <w:lastRenderedPageBreak/>
        <w:t xml:space="preserve">or a term loan that he or she seeks from the bank loan. As the borrower’s business expends incremental cash flows are generated from which the debt can be serviced and repaid as per </w:t>
      </w:r>
      <w:r w:rsidR="00EF55B3">
        <w:rPr>
          <w:rFonts w:ascii="Times New Roman" w:hAnsi="Times New Roman"/>
          <w:color w:val="000000"/>
          <w:sz w:val="24"/>
          <w:szCs w:val="24"/>
        </w:rPr>
        <w:t>Agreem</w:t>
      </w:r>
      <w:r w:rsidR="00EF55B3" w:rsidRPr="00785485">
        <w:rPr>
          <w:rFonts w:ascii="Times New Roman" w:hAnsi="Times New Roman"/>
          <w:color w:val="000000"/>
          <w:sz w:val="24"/>
          <w:szCs w:val="24"/>
        </w:rPr>
        <w:t>ent</w:t>
      </w:r>
      <w:r w:rsidRPr="00785485">
        <w:rPr>
          <w:rFonts w:ascii="Times New Roman" w:hAnsi="Times New Roman"/>
          <w:color w:val="000000"/>
          <w:sz w:val="24"/>
          <w:szCs w:val="24"/>
        </w:rPr>
        <w:t xml:space="preserve">. Growth of business upwards. It is the assessment of invert mental cash flows which helps the lender to determine the repayment capacity of the borrower to meet loan obligations in a timely manner (Polio and Puri. 2013) Bank lending is premised on the assertion that the debtor has the willingness and capability to require the loan at all stage I their business transitions with the bank.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However, the capacity to pay bank depends on future income streams and the disposition to repay has to be based on the pre-existent commitment that has been undoubtedly demonstrated by the borrower. It is a statement of faith because this lender relies largely on the debtors’ witness and competence despite business downturns to at least guarantee future cash flows and ensure the flow of regular payments. The three conditions which should be in existence at the time the borrower seeks a loan from the bank to be able to strengthen for instance his line of business according to Polio and Puri (2013) are: </w:t>
      </w:r>
    </w:p>
    <w:p w:rsidR="002B5DAE" w:rsidRPr="00785485" w:rsidRDefault="002B5DAE" w:rsidP="00785485">
      <w:pPr>
        <w:pStyle w:val="ListParagraph"/>
        <w:numPr>
          <w:ilvl w:val="0"/>
          <w:numId w:val="4"/>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Willingness or intention on the part of the borrower</w:t>
      </w:r>
      <w:r w:rsidR="004118C9">
        <w:rPr>
          <w:rFonts w:ascii="Times New Roman" w:hAnsi="Times New Roman"/>
          <w:color w:val="000000"/>
          <w:sz w:val="24"/>
          <w:szCs w:val="24"/>
        </w:rPr>
        <w:t xml:space="preserve"> to</w:t>
      </w:r>
      <w:r w:rsidRPr="00785485">
        <w:rPr>
          <w:rFonts w:ascii="Times New Roman" w:hAnsi="Times New Roman"/>
          <w:color w:val="000000"/>
          <w:sz w:val="24"/>
          <w:szCs w:val="24"/>
        </w:rPr>
        <w:t xml:space="preserve"> repay the loan as per the </w:t>
      </w:r>
      <w:r w:rsidR="00EF55B3">
        <w:rPr>
          <w:rFonts w:ascii="Times New Roman" w:hAnsi="Times New Roman"/>
          <w:color w:val="000000"/>
          <w:sz w:val="24"/>
          <w:szCs w:val="24"/>
        </w:rPr>
        <w:t>Agreem</w:t>
      </w:r>
      <w:r w:rsidR="00EF55B3" w:rsidRPr="00785485">
        <w:rPr>
          <w:rFonts w:ascii="Times New Roman" w:hAnsi="Times New Roman"/>
          <w:color w:val="000000"/>
          <w:sz w:val="24"/>
          <w:szCs w:val="24"/>
        </w:rPr>
        <w:t>ent</w:t>
      </w:r>
      <w:r w:rsidRPr="00785485">
        <w:rPr>
          <w:rFonts w:ascii="Times New Roman" w:hAnsi="Times New Roman"/>
          <w:color w:val="000000"/>
          <w:sz w:val="24"/>
          <w:szCs w:val="24"/>
        </w:rPr>
        <w:t xml:space="preserve">. </w:t>
      </w:r>
    </w:p>
    <w:p w:rsidR="002B5DAE" w:rsidRPr="00785485" w:rsidRDefault="002B5DAE" w:rsidP="00785485">
      <w:pPr>
        <w:pStyle w:val="ListParagraph"/>
        <w:numPr>
          <w:ilvl w:val="0"/>
          <w:numId w:val="4"/>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purpose for which the loan is requested or sought for by the borrower. </w:t>
      </w:r>
    </w:p>
    <w:p w:rsidR="002B5DAE" w:rsidRPr="00785485" w:rsidRDefault="002B5DAE" w:rsidP="00785485">
      <w:pPr>
        <w:pStyle w:val="ListParagraph"/>
        <w:numPr>
          <w:ilvl w:val="0"/>
          <w:numId w:val="4"/>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conditions which can set the </w:t>
      </w:r>
      <w:r w:rsidR="00EF55B3" w:rsidRPr="00785485">
        <w:rPr>
          <w:rFonts w:ascii="Times New Roman" w:hAnsi="Times New Roman"/>
          <w:color w:val="000000"/>
          <w:sz w:val="24"/>
          <w:szCs w:val="24"/>
        </w:rPr>
        <w:t>trend for</w:t>
      </w:r>
      <w:r w:rsidRPr="00785485">
        <w:rPr>
          <w:rFonts w:ascii="Times New Roman" w:hAnsi="Times New Roman"/>
          <w:color w:val="000000"/>
          <w:sz w:val="24"/>
          <w:szCs w:val="24"/>
        </w:rPr>
        <w:t xml:space="preserve"> the future. The willingness or desire to pay back a facility granted is somewhat simple to establish for an existing borrower in practice. If a borrower happens to have a sound history of payment of loans including debt derailing they are likely to continue making regular payment in the future as well. The only circumstance that could influence this precondition is an uncontainable event such as tire outbreak or a major infrastructural destruction. This condition is strenuous to judge for anyone, much less to take of a new borrower, if he has no previous business experience or skill. </w:t>
      </w:r>
    </w:p>
    <w:p w:rsidR="002B5DAE" w:rsidRPr="00785485" w:rsidRDefault="002B5DAE" w:rsidP="00785485">
      <w:pPr>
        <w:pStyle w:val="ListParagraph"/>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purport for which the loan is sought should be carefully documented. The bank must make sure that the final application of the credit should be for the documented purpose only. The conditions which form the basis on which future trends can be mapped are the inherent business risk. Performance history of the borrower in terms of financial positional trends. Credit referencing that shows </w:t>
      </w:r>
      <w:r w:rsidRPr="00785485">
        <w:rPr>
          <w:rFonts w:ascii="Times New Roman" w:hAnsi="Times New Roman"/>
          <w:color w:val="000000"/>
          <w:sz w:val="24"/>
          <w:szCs w:val="24"/>
        </w:rPr>
        <w:lastRenderedPageBreak/>
        <w:t xml:space="preserve">past dealings with lenders and repayment records, and the experience and skills the borrower possesses in running his/her business Policy and Puri (2013). These factors are necessary in carrying out and effective appraisal of the customer and provide the basis for making well-informed decision as regards the credit granting process.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2.1.6</w:t>
      </w:r>
      <w:r w:rsidRPr="00785485">
        <w:rPr>
          <w:rFonts w:ascii="Times New Roman" w:hAnsi="Times New Roman"/>
          <w:b/>
          <w:color w:val="000000"/>
          <w:sz w:val="24"/>
          <w:szCs w:val="24"/>
        </w:rPr>
        <w:tab/>
        <w:t xml:space="preserve"> PRINCIPLES OF LENDING</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Gaurav (2010) pinpointed certain criteria which are universally adhered to by most financial institutions in appraising credit propositions as follows;</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SAFETY: -</w:t>
      </w:r>
      <w:r w:rsidRPr="00785485">
        <w:rPr>
          <w:rFonts w:ascii="Times New Roman" w:hAnsi="Times New Roman"/>
          <w:color w:val="000000"/>
          <w:sz w:val="24"/>
          <w:szCs w:val="24"/>
        </w:rPr>
        <w:t xml:space="preserve">the banker must guarantee that the amount granted by him reaches the legitimate debtor and is appropriated in a manner that will make it secure at the time of giving as well as rennin so throughout the period, and subsequent to fulfilling a valuable need in the business where it is utilized is reimbursed with premium. </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LIQUIDITY: -</w:t>
      </w:r>
      <w:r w:rsidR="004118C9" w:rsidRPr="00785485">
        <w:rPr>
          <w:rFonts w:ascii="Times New Roman" w:hAnsi="Times New Roman"/>
          <w:color w:val="000000"/>
          <w:sz w:val="24"/>
          <w:szCs w:val="24"/>
        </w:rPr>
        <w:t xml:space="preserve">The </w:t>
      </w:r>
      <w:r w:rsidRPr="00785485">
        <w:rPr>
          <w:rFonts w:ascii="Times New Roman" w:hAnsi="Times New Roman"/>
          <w:color w:val="000000"/>
          <w:sz w:val="24"/>
          <w:szCs w:val="24"/>
        </w:rPr>
        <w:t xml:space="preserve">debtor caught to be in the capacity to make payments within a feasible time frame after a notice of repayment is sent. This it termed as the grace period and failure </w:t>
      </w:r>
      <w:r w:rsidR="004118C9" w:rsidRPr="00785485">
        <w:rPr>
          <w:rFonts w:ascii="Times New Roman" w:hAnsi="Times New Roman"/>
          <w:color w:val="000000"/>
          <w:sz w:val="24"/>
          <w:szCs w:val="24"/>
        </w:rPr>
        <w:t>to meet</w:t>
      </w:r>
      <w:r w:rsidRPr="00785485">
        <w:rPr>
          <w:rFonts w:ascii="Times New Roman" w:hAnsi="Times New Roman"/>
          <w:color w:val="000000"/>
          <w:sz w:val="24"/>
          <w:szCs w:val="24"/>
        </w:rPr>
        <w:t xml:space="preserve"> it usually attracts a penalty. </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PURPOSE:</w:t>
      </w:r>
      <w:r w:rsidRPr="00785485">
        <w:rPr>
          <w:rFonts w:ascii="Times New Roman" w:hAnsi="Times New Roman"/>
          <w:color w:val="000000"/>
          <w:sz w:val="24"/>
          <w:szCs w:val="24"/>
        </w:rPr>
        <w:t xml:space="preserve"> </w:t>
      </w:r>
      <w:r w:rsidR="004118C9" w:rsidRPr="00785485">
        <w:rPr>
          <w:rFonts w:ascii="Times New Roman" w:hAnsi="Times New Roman"/>
          <w:color w:val="000000"/>
          <w:sz w:val="24"/>
          <w:szCs w:val="24"/>
        </w:rPr>
        <w:t xml:space="preserve">The </w:t>
      </w:r>
      <w:r w:rsidRPr="00785485">
        <w:rPr>
          <w:rFonts w:ascii="Times New Roman" w:hAnsi="Times New Roman"/>
          <w:color w:val="000000"/>
          <w:sz w:val="24"/>
          <w:szCs w:val="24"/>
        </w:rPr>
        <w:t xml:space="preserve">objective ought to be momentarily compensating so that the cash secured as well as provide an ensured well spring of monetary streams to meet reimbursement plans. </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PROFITABILITY:</w:t>
      </w:r>
      <w:r w:rsidRPr="00785485">
        <w:rPr>
          <w:rFonts w:ascii="Times New Roman" w:hAnsi="Times New Roman"/>
          <w:color w:val="000000"/>
          <w:sz w:val="24"/>
          <w:szCs w:val="24"/>
        </w:rPr>
        <w:t xml:space="preserve"> </w:t>
      </w:r>
      <w:r w:rsidR="004118C9" w:rsidRPr="00785485">
        <w:rPr>
          <w:rFonts w:ascii="Times New Roman" w:hAnsi="Times New Roman"/>
          <w:color w:val="000000"/>
          <w:sz w:val="24"/>
          <w:szCs w:val="24"/>
        </w:rPr>
        <w:t xml:space="preserve">The </w:t>
      </w:r>
      <w:r w:rsidRPr="00785485">
        <w:rPr>
          <w:rFonts w:ascii="Times New Roman" w:hAnsi="Times New Roman"/>
          <w:color w:val="000000"/>
          <w:sz w:val="24"/>
          <w:szCs w:val="24"/>
        </w:rPr>
        <w:t xml:space="preserve">banks should be able to obtain some restorable profit from the loan. </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SECURITY:</w:t>
      </w:r>
      <w:r w:rsidRPr="00785485">
        <w:rPr>
          <w:rFonts w:ascii="Times New Roman" w:hAnsi="Times New Roman"/>
          <w:color w:val="000000"/>
          <w:sz w:val="24"/>
          <w:szCs w:val="24"/>
        </w:rPr>
        <w:t xml:space="preserve"> </w:t>
      </w:r>
      <w:r w:rsidR="004118C9" w:rsidRPr="00785485">
        <w:rPr>
          <w:rFonts w:ascii="Times New Roman" w:hAnsi="Times New Roman"/>
          <w:color w:val="000000"/>
          <w:sz w:val="24"/>
          <w:szCs w:val="24"/>
        </w:rPr>
        <w:t xml:space="preserve">Security </w:t>
      </w:r>
      <w:r w:rsidRPr="00785485">
        <w:rPr>
          <w:rFonts w:ascii="Times New Roman" w:hAnsi="Times New Roman"/>
          <w:color w:val="000000"/>
          <w:sz w:val="24"/>
          <w:szCs w:val="24"/>
        </w:rPr>
        <w:t xml:space="preserve">is considered as a protection or a coverage to fall back upon in the event of a crisis. </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SPREAD:</w:t>
      </w:r>
      <w:r w:rsidRPr="00785485">
        <w:rPr>
          <w:rFonts w:ascii="Times New Roman" w:hAnsi="Times New Roman"/>
          <w:color w:val="000000"/>
          <w:sz w:val="24"/>
          <w:szCs w:val="24"/>
        </w:rPr>
        <w:t xml:space="preserve"> ensuring that advances are spend across a broader spectrum of economic activities.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2.1.7</w:t>
      </w:r>
      <w:r w:rsidRPr="00785485">
        <w:rPr>
          <w:rFonts w:ascii="Times New Roman" w:hAnsi="Times New Roman"/>
          <w:b/>
          <w:color w:val="000000"/>
          <w:sz w:val="24"/>
          <w:szCs w:val="24"/>
        </w:rPr>
        <w:tab/>
        <w:t xml:space="preserve">CREDIT APPRAISAL TECHNIQUES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Guidelines for commercial Banks kin Pakistan (2009) indicate that banks should as a matter of need operate within a study and well accentuated criterion for new loan portfolios as well as the broadening of existing credit lines, credit facilities should be expanded within targeted markets and as well as the ambits of the lending strategy of the </w:t>
      </w:r>
      <w:r w:rsidRPr="00785485">
        <w:rPr>
          <w:rFonts w:ascii="Times New Roman" w:hAnsi="Times New Roman"/>
          <w:color w:val="000000"/>
          <w:sz w:val="24"/>
          <w:szCs w:val="24"/>
        </w:rPr>
        <w:lastRenderedPageBreak/>
        <w:t>institution. Before allowing a credit facility, the bank must carry out an assessment of risk profiled of the customer/ transaction. This may include: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Credit analysis of the borrower’s industry and macro-economic factors.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sole aim of the credit and source of repayment.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The performance/repayment history of borrower</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Assess/evaluate the repayment capability of debtor.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prose terms and conditions as well as cotenants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Perfection and enforceability of collateral assignments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Approval from appropriate authority </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 xml:space="preserve">All the components aid in the easy identification of any inherent risks which can provide solid information as well as provide the tastes the evaluation of the customer’s application as well as provide the necessary platform for an effective profiling of client. Essentially problem arise lenders are not well informed about the peculiarities of would be debtors and so it becomes impracticable for financial institutions to know which customers are good and which ones are not (Fraser, 2012). According to Ahmed (2004) there I no system that can provide a hundred percent projection gains bad loans as situations can sometimes overturn the best credit strategies to borrower’s. this implies that no amount of credit management measures put in place to forestall deviancies can ensure a zero default rate. However, they can aid in ensuring that defaults are brought to the barest minimum thereby leading to a health loan portfolio.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2.1.8</w:t>
      </w:r>
      <w:r w:rsidRPr="00785485">
        <w:rPr>
          <w:rFonts w:ascii="Times New Roman" w:hAnsi="Times New Roman"/>
          <w:b/>
          <w:color w:val="000000"/>
          <w:sz w:val="24"/>
          <w:szCs w:val="24"/>
        </w:rPr>
        <w:tab/>
        <w:t xml:space="preserve"> RISK ASSOCIATED WITH LENDING</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r>
      <w:r w:rsidR="004118C9" w:rsidRPr="00785485">
        <w:rPr>
          <w:rFonts w:ascii="Times New Roman" w:hAnsi="Times New Roman"/>
          <w:color w:val="000000"/>
          <w:sz w:val="24"/>
          <w:szCs w:val="24"/>
        </w:rPr>
        <w:t xml:space="preserve">OCC </w:t>
      </w:r>
      <w:r w:rsidRPr="00785485">
        <w:rPr>
          <w:rFonts w:ascii="Times New Roman" w:hAnsi="Times New Roman"/>
          <w:color w:val="000000"/>
          <w:sz w:val="24"/>
          <w:szCs w:val="24"/>
        </w:rPr>
        <w:t xml:space="preserve">(2011) identified elementary mechanisms of controlling credit risk as robust under writing. Extensive financial analysis, adequate appraisal techniques, credit documentation practices, and sound internal controls. These principles constitute a fundament role in credit management as they help to ensure the sound management of credit port folios in a manner that allows the financial institutions to maximize returns on loans granted as well as reduce economic losses because of unforeseen change in the credit nature of counterpart I an economic arrangement. He likewise views it as the likelihood of default or any kind of inability to maintain a money related understanding credit risk forms a major component of credit management and so it becomes part of the credit management process. when unexpected situations arise that affect the credit </w:t>
      </w:r>
      <w:r w:rsidRPr="00785485">
        <w:rPr>
          <w:rFonts w:ascii="Times New Roman" w:hAnsi="Times New Roman"/>
          <w:color w:val="000000"/>
          <w:sz w:val="24"/>
          <w:szCs w:val="24"/>
        </w:rPr>
        <w:lastRenderedPageBreak/>
        <w:t>worthiness of counterparties, it eventually leads to losses that affect both parties which in this case is made up to the bank and the customer credit management therefore seeks to provide strategies that can help limit such losses through the effective forecasting of such risks and the application of sound principles of credit management.</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2.1.9 CREDIT RISK CONTROL</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Credit risk is the </w:t>
      </w:r>
      <w:r w:rsidR="004118C9" w:rsidRPr="00785485">
        <w:rPr>
          <w:rFonts w:ascii="Times New Roman" w:hAnsi="Times New Roman"/>
          <w:color w:val="000000"/>
          <w:sz w:val="24"/>
          <w:szCs w:val="24"/>
        </w:rPr>
        <w:t>probability</w:t>
      </w:r>
      <w:r w:rsidRPr="00785485">
        <w:rPr>
          <w:rFonts w:ascii="Times New Roman" w:hAnsi="Times New Roman"/>
          <w:color w:val="000000"/>
          <w:sz w:val="24"/>
          <w:szCs w:val="24"/>
        </w:rPr>
        <w:t xml:space="preserve"> that the return supposed to be earner on an investment or risky asset extended will depend from that, which was expected Coyle of loan clients to meet their commitment of what is outstanding in full and on time. The major sources of credit include limitation in institutional capacities. Unsuitable guidelines on loan management, high interest rates, lack of effective supervision of credit lines, instable laws, low level of capital &amp; liquidity, poor loan under writing, raciness lending poor credit appraisal, poor practices of lending, interference by government and the inability to enforce over sight responsibility over financial institutions by the central bank. To reduce these risks, it is fundamental for the money related framework to have a round strongly funded banks, provision of financial services to an expansive range of clients, sharing of credit data about borrowers through credit reference departments, adjustment of premium rates, by banks and expansion of credit to prospective clients. Advance defaults and nonperforming credits should be less ended (bank supervision annual report, 2006 lake, 2007: sandstorm, 2009).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2.1.10 </w:t>
      </w:r>
      <w:r w:rsidRPr="00785485">
        <w:rPr>
          <w:rFonts w:ascii="Times New Roman" w:hAnsi="Times New Roman"/>
          <w:b/>
          <w:color w:val="000000"/>
          <w:sz w:val="24"/>
          <w:szCs w:val="24"/>
        </w:rPr>
        <w:tab/>
        <w:t xml:space="preserve">ADDRESSING RISK ASSOCIATED WITH CREDIT MANAGEMENT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The risks association with grating loans can result in insolvency issues, which in a compelling condition can lead to a bank encrusting serious money related emergencies, resulting in the wiping off of capital indebtedness and coved bring a financial institution to its knees to distinguish and deal with the dangers connected with credit administration, the Basel committee on Banking supervision in its publication No. 54 issued in September 2000 plotted the accompanying measures:</w:t>
      </w:r>
    </w:p>
    <w:p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Establishing a relevant credit risk environment</w:t>
      </w:r>
    </w:p>
    <w:p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Operating under a safe credit delivery [process</w:t>
      </w:r>
    </w:p>
    <w:p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Maintaining an appropriate credit administration, measurement and monitoring process</w:t>
      </w:r>
    </w:p>
    <w:p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Ensuring adequate controls over credit risk</w:t>
      </w:r>
    </w:p>
    <w:p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lastRenderedPageBreak/>
        <w:t xml:space="preserve">The role of supervisors. </w:t>
      </w:r>
    </w:p>
    <w:p w:rsidR="002B5DAE" w:rsidRPr="00785485" w:rsidRDefault="002B5DAE" w:rsidP="00785485">
      <w:pPr>
        <w:spacing w:after="0" w:line="360" w:lineRule="auto"/>
        <w:ind w:left="360"/>
        <w:jc w:val="both"/>
        <w:rPr>
          <w:rFonts w:ascii="Times New Roman" w:hAnsi="Times New Roman"/>
          <w:color w:val="000000"/>
          <w:sz w:val="24"/>
          <w:szCs w:val="24"/>
        </w:rPr>
      </w:pPr>
      <w:r w:rsidRPr="00785485">
        <w:rPr>
          <w:rFonts w:ascii="Times New Roman" w:hAnsi="Times New Roman"/>
          <w:color w:val="000000"/>
          <w:sz w:val="24"/>
          <w:szCs w:val="24"/>
        </w:rPr>
        <w:t xml:space="preserve">The highlights of the measures raised by the Basel committee on banking supervision (2000) as indicated above are as follows.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2.1.11 ESTABLISHING AN APPROPRIATE CREDIT RISK ENVIRONMENT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The board of Directors ought to demonstrate the oversight supervision regarding endorsing and occasionally (in any event every year). Critically appraise the credit hazard system and critical credit management strategies and controls of the bank. The outline ought to obviously reflect the bank’s resilience for risk and the profit levels the firm expects for assuming different dimensions of risks involved in grating of loans. Top management must take responsibility for implementing the strategy for credit risk adopted by the board and to develop policies and mechanisms to identify measure, monitor and control credit risk. These policies and procedures must be able to cope with the credit exposures in all items and enterprise. Banks should guarantee. That risks inherent in items and operations that are different to them are secured by adequate credit administration conventions and continues before they are presented or rolled out and the proper endorsement sought for ahead of time from the board or its suitable council. (Basel committee on Banking Supervision, 2000).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2.1.12 OPERATING UNDER A SOUND CREDIT GRANTING PROCESS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Ba</w:t>
      </w:r>
      <w:r w:rsidR="004118C9">
        <w:rPr>
          <w:rFonts w:ascii="Times New Roman" w:hAnsi="Times New Roman"/>
          <w:color w:val="000000"/>
          <w:sz w:val="24"/>
          <w:szCs w:val="24"/>
        </w:rPr>
        <w:t>nks must work within the ambience</w:t>
      </w:r>
      <w:r w:rsidR="004118C9" w:rsidRPr="00785485">
        <w:rPr>
          <w:rFonts w:ascii="Times New Roman" w:hAnsi="Times New Roman"/>
          <w:color w:val="000000"/>
          <w:sz w:val="24"/>
          <w:szCs w:val="24"/>
        </w:rPr>
        <w:t xml:space="preserve"> </w:t>
      </w:r>
      <w:r w:rsidRPr="00785485">
        <w:rPr>
          <w:rFonts w:ascii="Times New Roman" w:hAnsi="Times New Roman"/>
          <w:color w:val="000000"/>
          <w:sz w:val="24"/>
          <w:szCs w:val="24"/>
        </w:rPr>
        <w:t xml:space="preserve">of a clear, well-laid out credit granting criteria. These criteria ought to give a reasonable distinguishing proof of the banks biggest business and a complete under taking of the borrower or counter-party and in addition the reason and nature of the loan facility, and its origin of reimbursement. Banks ought to set up a plainly characterized process with the sole aim for approving new credit and in addition the change, recommencement and refunding off operational loan facilities. </w:t>
      </w:r>
    </w:p>
    <w:p w:rsidR="002B5DAE" w:rsidRPr="00785485" w:rsidRDefault="002B5DAE" w:rsidP="00785485">
      <w:pPr>
        <w:spacing w:after="0" w:line="360" w:lineRule="auto"/>
        <w:ind w:left="1440" w:hanging="1440"/>
        <w:jc w:val="both"/>
        <w:rPr>
          <w:rFonts w:ascii="Times New Roman" w:hAnsi="Times New Roman"/>
          <w:b/>
          <w:color w:val="000000"/>
          <w:sz w:val="24"/>
          <w:szCs w:val="24"/>
        </w:rPr>
      </w:pPr>
      <w:r w:rsidRPr="00785485">
        <w:rPr>
          <w:rFonts w:ascii="Times New Roman" w:hAnsi="Times New Roman"/>
          <w:b/>
          <w:color w:val="000000"/>
          <w:sz w:val="24"/>
          <w:szCs w:val="24"/>
        </w:rPr>
        <w:t>2.1.13</w:t>
      </w:r>
      <w:r w:rsidRPr="00785485">
        <w:rPr>
          <w:rFonts w:ascii="Times New Roman" w:hAnsi="Times New Roman"/>
          <w:b/>
          <w:color w:val="000000"/>
          <w:sz w:val="24"/>
          <w:szCs w:val="24"/>
        </w:rPr>
        <w:tab/>
        <w:t xml:space="preserve">MAINTAINING APPROPRIATE CREDIT ADMINISTRATION THROUGH MEASUREMENT AND MONITORING PROCESS </w:t>
      </w:r>
    </w:p>
    <w:p w:rsidR="002B5DAE" w:rsidRPr="00785485" w:rsidRDefault="002B5DAE" w:rsidP="00785485">
      <w:pPr>
        <w:spacing w:after="0" w:line="360" w:lineRule="auto"/>
        <w:ind w:left="-90"/>
        <w:jc w:val="both"/>
        <w:rPr>
          <w:rFonts w:ascii="Times New Roman" w:hAnsi="Times New Roman"/>
          <w:color w:val="000000"/>
          <w:sz w:val="24"/>
          <w:szCs w:val="24"/>
        </w:rPr>
      </w:pPr>
      <w:r w:rsidRPr="00785485">
        <w:rPr>
          <w:rFonts w:ascii="Times New Roman" w:hAnsi="Times New Roman"/>
          <w:color w:val="000000"/>
          <w:sz w:val="24"/>
          <w:szCs w:val="24"/>
        </w:rPr>
        <w:t>According to Signorelli and Vincent (1991) this process comprises the following: -</w:t>
      </w:r>
    </w:p>
    <w:p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color w:val="000000"/>
          <w:sz w:val="24"/>
          <w:szCs w:val="24"/>
        </w:rPr>
        <w:t xml:space="preserve">Banks should exercise oversight responsibility over the management of their different credit risk bearing portfolios and establish a mechanism that allows them to monitor conditions of insufficient credit, including determine the level of adequacy of </w:t>
      </w:r>
      <w:r w:rsidRPr="00785485">
        <w:rPr>
          <w:rFonts w:ascii="Times New Roman" w:hAnsi="Times New Roman"/>
          <w:color w:val="000000"/>
          <w:sz w:val="24"/>
          <w:szCs w:val="24"/>
        </w:rPr>
        <w:lastRenderedPageBreak/>
        <w:t>reserves as well as provisions. Banks are urged to deploy a system that has the capacity to supervise the administration of credit through the internal use of a risk categorization mechanism. The rating syste3m should be in consonance with the character, structure and intricacies of a bank’s operations. Banks should be able to develop a data framework and diagnostic methods that furnish administration with the capacity of quantity the credit hazards inbound in all on and off activities found on the firm’s statement of financial position. The administration data framework delayed ought to have the capacity to give the fundamental data on the segment of the credit portfolio, including distinguishing varying concentration of risks. Banks must also design a system that is able to monitor the total composition and health of the credit portfolios and to be able to consider any potential future variations in economic conditions when apprising credits given to individuals and to able to carry out stress tests on inherent risks.</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2.1.14 ENSURING ADEQUATE CONTROLS OVER RISK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Signoriello and Vincent J. (1991) stated that banks must have an autonomous framework that has the capacity to ensure a continuous evaluation of the firm’s credit administration procedure and the outcomes of such audits should be specifically reported to the board and senior administration for the necessary action to be taken when necessary. The credit granting function of banks must be properly managed and the credit exposure constantly evaluated to ensure that they are within levels that </w:t>
      </w:r>
      <w:r w:rsidR="00EF55B3">
        <w:rPr>
          <w:rFonts w:ascii="Times New Roman" w:hAnsi="Times New Roman"/>
          <w:color w:val="000000"/>
          <w:sz w:val="24"/>
          <w:szCs w:val="24"/>
        </w:rPr>
        <w:t>Agreed</w:t>
      </w:r>
      <w:r w:rsidRPr="00785485">
        <w:rPr>
          <w:rFonts w:ascii="Times New Roman" w:hAnsi="Times New Roman"/>
          <w:color w:val="000000"/>
          <w:sz w:val="24"/>
          <w:szCs w:val="24"/>
        </w:rPr>
        <w:t xml:space="preserve"> with prudential standards and internal limits that have been laid down. Furthermore, action on retrograding loan portfolios, handing problems and other comparable situations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2.1.14 STANDARDS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This incorporates elements, for example, the prefunding of assessment required and how far this is adjusted to suit the economic needs and peculiarities of the debtor. There is an exchange off to be made between a wish to comprehend all the components of a loan proposal and expenses involved. How far loan amounts are to be standardized and the extent to which they are to be customer made to address infidel issues of clients are all important in creating sustainable credit standards. Moreover, Santomero (1995) says ‘structuring facilities to protect the bank should become in such an away and as far as possible that benefits eventually accrue to the client as well”. An installment plan for a term loan should be designed based on a customer’s flow setting standards additionally </w:t>
      </w:r>
      <w:r w:rsidRPr="00785485">
        <w:rPr>
          <w:rFonts w:ascii="Times New Roman" w:hAnsi="Times New Roman"/>
          <w:color w:val="000000"/>
          <w:sz w:val="24"/>
          <w:szCs w:val="24"/>
        </w:rPr>
        <w:lastRenderedPageBreak/>
        <w:t xml:space="preserve">suggests the recognition of how far the sensibilities of customers will be adjusted against the banks desire to shield it against debt exposures. Case in point, when a client’s imperviousness to giving enhancing security or going data will be tolerated and considered, then there is the need to educate the customer adequately in order to build their capacity to be able to understand the issues at stake. In creating sound credit standards. It is imperative to include as a critical component, a proper degree of monitoring and control. The point of monitoring according to western and Pierce (2002) is to promptly identify deterioration of a loan portfolio and to take corrective measures. The efficiency of such a system depends not only on the ability to identify deterioration, but also the soundness and promptness of the response. Credit principles should be maintained over the financial cycle and the status and needs to be kept at all times. They ought not be relaxed in great economic times or over fixated in awful times. </w:t>
      </w:r>
    </w:p>
    <w:p w:rsidR="002B5DAE" w:rsidRPr="00785485" w:rsidRDefault="002B5DAE" w:rsidP="00785485">
      <w:pPr>
        <w:spacing w:after="0" w:line="360" w:lineRule="auto"/>
        <w:ind w:firstLine="720"/>
        <w:jc w:val="both"/>
        <w:rPr>
          <w:rFonts w:ascii="Times New Roman" w:hAnsi="Times New Roman"/>
          <w:b/>
          <w:color w:val="000000"/>
          <w:sz w:val="24"/>
          <w:szCs w:val="24"/>
        </w:rPr>
      </w:pPr>
      <w:r w:rsidRPr="00785485">
        <w:rPr>
          <w:rFonts w:ascii="Times New Roman" w:hAnsi="Times New Roman"/>
          <w:color w:val="000000"/>
          <w:sz w:val="24"/>
          <w:szCs w:val="24"/>
        </w:rPr>
        <w:t xml:space="preserve">According to Dyer (2004) banks are confronted with a real dilemma in that if they decide to ignore the market force and rigidly apply standards; they will avoid credit losses in the short term but will have to lose the good business and market share in the long term. This must be balanced against the need there are models of risk-adjusted capital that are widely utilized and the possibility of expected returns related to them. Shareholders do contribute a significant amount of cash capital and expect returns for that it is therefore hard for banks to sit with a great deal of genuine capital and continue disregarding the need to capitalize on it to it advantage. a strong credit culture can help establish the right kind of association with them, Adams (2002) supposes it can decide when to bucket down on measures. A little and when to stick to them, if conceivable, in the ambience of a solid client relationship to influence even the most troublesome of clients to see the banks perspective.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Relationship banking according to Holiensen (2003) is a two-way affair and customers would expect some level of support when they are in need of it. If a financial institution wants to get some things out of its target business during the period of economic turbine, it must be willing to give to return the favor when the customer is in a less solid situation. This is because, the ability to offer financial aid to customers during bad times can help build a solid relationship which they tend to reciprocate by proving banks with a lot of cheap deposited during the good they tend to reciprocate by providing </w:t>
      </w:r>
      <w:r w:rsidRPr="00785485">
        <w:rPr>
          <w:rFonts w:ascii="Times New Roman" w:hAnsi="Times New Roman"/>
          <w:color w:val="000000"/>
          <w:sz w:val="24"/>
          <w:szCs w:val="24"/>
        </w:rPr>
        <w:lastRenderedPageBreak/>
        <w:t xml:space="preserve">banks with a lot of cheap deposits during the good times rouse (2004) admonishes that relationship banking does not provide a complete solution to bad debts, but it is likely to lessen the incidence of losses during periods of recession. Credit management as a consequence allows for the right application of credit standards and helps to maintain that equilibrium between rigidly applying administrative procedures and relaxing them to suit the needs of different categories of customers as well as varied economic conditions. Credit management therefore incorporates the right credit standards that allow a financial institution to be able to achieve its strategic objective through the application of an effective and well adapted credit regime capable of safeguarding the interests of the firm and at the same time meeting the needs of prospective loan clients.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2.1.16 </w:t>
      </w:r>
      <w:r w:rsidRPr="00785485">
        <w:rPr>
          <w:rFonts w:ascii="Times New Roman" w:hAnsi="Times New Roman"/>
          <w:b/>
          <w:color w:val="000000"/>
          <w:sz w:val="24"/>
          <w:szCs w:val="24"/>
        </w:rPr>
        <w:tab/>
        <w:t>CREDIT MANAGEMENT POLICY</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color w:val="000000"/>
          <w:sz w:val="24"/>
          <w:szCs w:val="24"/>
        </w:rPr>
        <w:tab/>
        <w:t xml:space="preserve">It is defined as the tensest and systems set up to top administration that oversee the organizations. Credit division and investigates execution in the augmentation of credit benefits against set down procedures JIM Franklin (2010). It is essentially a situated composition of rules intended to minimize expenses connected with credit while expanding advantage from it (Mc Naughton, 1996). Credit administration arrangements involve the credit strategies, credit measures and credit terms. This policy become the blue print which guides the conduct and expectations of all employees entrusted with the responsibility of granting credit and also as a benchmark by which performance can be measure gains standards set.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2.1.17</w:t>
      </w:r>
      <w:r w:rsidRPr="00785485">
        <w:rPr>
          <w:rFonts w:ascii="Times New Roman" w:hAnsi="Times New Roman"/>
          <w:b/>
          <w:color w:val="000000"/>
          <w:sz w:val="24"/>
          <w:szCs w:val="24"/>
        </w:rPr>
        <w:tab/>
        <w:t>CREDIT PROCEDURES</w:t>
      </w:r>
    </w:p>
    <w:p w:rsidR="002B5DAE"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To accomplish the great objectives of credit administration strategy Franklin (2010). Instructed the endorsement and utilization of credit strategies. To Franklin, credit methods are particular routes in which top administration impose expectations on the credit division to accomplish the credit administration policies. The credit system incorporates guidelines on what information to be utilized for credit examination and investigation procedure, provide information regarding procedure, account supervision and cases needing administration notice. Such credit gathering and devours incorporate the utilization of remainders, adoption of insurance, the application of legal procedure, the factoring of debtors and final write – off as highlighted underneath;</w:t>
      </w:r>
    </w:p>
    <w:p w:rsidR="00EF55B3" w:rsidRPr="00785485" w:rsidRDefault="00EF55B3" w:rsidP="00785485">
      <w:pPr>
        <w:spacing w:after="0" w:line="360" w:lineRule="auto"/>
        <w:jc w:val="both"/>
        <w:rPr>
          <w:rFonts w:ascii="Times New Roman" w:hAnsi="Times New Roman"/>
          <w:color w:val="000000"/>
          <w:sz w:val="24"/>
          <w:szCs w:val="24"/>
        </w:rPr>
      </w:pP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lastRenderedPageBreak/>
        <w:t xml:space="preserve">2.2 </w:t>
      </w:r>
      <w:r w:rsidRPr="00785485">
        <w:rPr>
          <w:rFonts w:ascii="Times New Roman" w:hAnsi="Times New Roman"/>
          <w:b/>
          <w:color w:val="000000"/>
          <w:sz w:val="24"/>
          <w:szCs w:val="24"/>
        </w:rPr>
        <w:tab/>
        <w:t xml:space="preserve">THEORETICAL FRAMEWORK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2.2.1 </w:t>
      </w:r>
      <w:r w:rsidRPr="00785485">
        <w:rPr>
          <w:rFonts w:ascii="Times New Roman" w:hAnsi="Times New Roman"/>
          <w:b/>
          <w:color w:val="000000"/>
          <w:sz w:val="24"/>
          <w:szCs w:val="24"/>
        </w:rPr>
        <w:tab/>
        <w:t xml:space="preserve">ASYMMETRIC INFORMATION THEORY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Information asymmetry refers to a situation where business owners or manager know more about the prospect for, and risks facings their business, than do lenders) PWHC, 2002) cited in EPPY. 1 (2005). It describes a condition in which a parties involved in an undertaking do not know relevant information in a debt market, information asymmetry arises when a borrower who takes a loan usually has better information about the potential risks and returns associated which investment projects for which the funds are earmarked the lender on the other hand does not have sufficient information concerning the borrower (Edwards and turn bull, 1994). </w:t>
      </w:r>
    </w:p>
    <w:p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color w:val="000000"/>
          <w:sz w:val="24"/>
          <w:szCs w:val="24"/>
        </w:rPr>
        <w:t>Binks et al (1992) point out that perceived information asymmetry poses two problems for the banks, moral hazard, (monitoring entrepreneurial behaviors) and adverse selection (Making errors in lending decisions). Bank will find it difficult to overcome these problems because it’s jot economical to devote resource to appraisal and monitoring where lending is for relatively small amount. This is because data needed to screen credit applications and to monitor borrowers are not freely available to bank. Bankers face a situation of information asymmetry when assessing lending applications (Binks and Ennew, 1996, 1997). The information required to assess the competence and commitment of the entrepreneur, and the prospects of the business is either not available, uneconomic to obtain or difficult to interpret. This creates twp types of risk for the banker (Deakin’s, 1999).</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The risk of adverse selection which occurs when banks lend to business which subsequently fail or when do not lend to business which go on to become “successful, or have the potential to do so.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2.2.2</w:t>
      </w:r>
      <w:r w:rsidRPr="00785485">
        <w:rPr>
          <w:rFonts w:ascii="Times New Roman" w:hAnsi="Times New Roman"/>
          <w:b/>
          <w:color w:val="000000"/>
          <w:sz w:val="24"/>
          <w:szCs w:val="24"/>
        </w:rPr>
        <w:tab/>
        <w:t>TRANSACTIONS COSTS THEORY</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First development by Schwandt (1974). This theory conjectures that suppliers may have an advantage over traditional enders in checking the real financial situation or the credit worthiness of their clients. Supplier also have a better ability to monitor and force repayment of the credit. All these superiorities may give suppliers a cost advantage when classified by Petersen and rajah (1997) as follows: information acquisition, controlling the buyer and salvaging can be explained by the fact that sense can get </w:t>
      </w:r>
      <w:r w:rsidRPr="00785485">
        <w:rPr>
          <w:rFonts w:ascii="Times New Roman" w:hAnsi="Times New Roman"/>
          <w:color w:val="000000"/>
          <w:sz w:val="24"/>
          <w:szCs w:val="24"/>
        </w:rPr>
        <w:lastRenderedPageBreak/>
        <w:t xml:space="preserve">information about buyer faster and at lower cost because it is obtained in the normal course of business. That is, the frequency and the amount of the buyer’s orders give supplier and idea of the client’s situation, the buyers rejection of discounts for early payment may serve to alert the supplier of a weakening in the credit worthiness of the buyer, and sellers usually visit customer’s more often than financial institutions do.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However, For the purpose of this research work, both asymmetry information theory and transactions cost a theory will be adopted because it gives adequate information needed for the customers and allow both the lenders better ability t monitor and force repayment of the credit. </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b/>
          <w:sz w:val="24"/>
          <w:szCs w:val="24"/>
        </w:rPr>
        <w:t>2.2.3</w:t>
      </w:r>
      <w:r w:rsidRPr="00785485">
        <w:rPr>
          <w:rFonts w:ascii="Times New Roman" w:hAnsi="Times New Roman"/>
          <w:b/>
          <w:sz w:val="24"/>
          <w:szCs w:val="24"/>
        </w:rPr>
        <w:tab/>
        <w:t>ASYMMETRIC INFORMATION THEORY</w:t>
      </w:r>
      <w:r w:rsidRPr="00785485">
        <w:rPr>
          <w:rFonts w:ascii="Times New Roman" w:hAnsi="Times New Roman"/>
          <w:sz w:val="24"/>
          <w:szCs w:val="24"/>
        </w:rPr>
        <w:t xml:space="preserve">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Information asymmetry in a financial market arises when a borrower who obtains loan facility from a bank has better information about the expected risks and returns associated with the investment project for which the fund was sought (Edwards &amp; Turnbull 1994). The lender may not have sufficient information about the borrower. This theory submits that banks face twin problems of moral hazard (monitoring borrower’s behaviour) and adverse selection (making errors in the lending decision) whenever customers’ loan requests are being processed.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2.3</w:t>
      </w:r>
      <w:r w:rsidRPr="00785485">
        <w:rPr>
          <w:rFonts w:ascii="Times New Roman" w:hAnsi="Times New Roman"/>
          <w:b/>
          <w:color w:val="000000"/>
          <w:sz w:val="24"/>
          <w:szCs w:val="24"/>
        </w:rPr>
        <w:tab/>
        <w:t xml:space="preserve">EMPIRICAL REVIEW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A significant number of studies exist in the extant literature which examined the effects of credit risk management on the profitability of banks in both developed and developing economies. Some of these studies are discussed in turn.</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Kurawa and Garba (2014) studied the effect of credit risk management on the profitability of 6 Nigerian banks for the period 2002 to 2011. Using random-effect generalized least squares (GLS) regression techniques as a tool of analysis; findings established a positive and significant relationship between two credit risk variables (default rate and cost per loan asset) and profitability (ROA) of Nigerian banks.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Idowu and Awoyemi (2014) investigated the impact of credit risk management on the performance of 7 commercial banks in Nigeria for the period 2005-2011. A panel regression model was adopted as an estimation technique. Findings suggested that non-performing loan (a measure of credit risk) has a negative and significant effect on the profitability of Nigerian commercial banks.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lastRenderedPageBreak/>
        <w:tab/>
        <w:t xml:space="preserve">Uwuigbe, Uwuigbe and Oyewo (2015) critically examined the effects of credit management on banks’ performance in Nigeria. A sample of 10 banks was used for 2007-2011. The study adopted panel linear regression methodology in the estimation of the coefficient of the variables. Results revealed that nonperforming loans and bad debt ratios have a significant and inverse effect on the performance of banks in Nigeria. Furthermore, the relationship between secured and unsecured loan ratio and bank’s performance was insignificant. </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Kodithuwakku (2015) explored the relationship between credit risk management and performance of 8 commercial banks in Sri Lanka for a five year period from 2009 to 2013. Return on asset (ROA) was used as performance surrogate while four variables (loan provision to total loan, loan provision to non-performing loans, loan provision to total assets and non-performing loans to total loans) were used as parameters of credit risk. Regression results revealed that non-performing loans and provisions have a negative impact on the financial performance of the institutions.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 xml:space="preserve">Alshatti (2015) assessed the effect of credit risk management on the financial performance of 13 commercial banks in Jordan during the period of 2005 to 2013. Findings showed a significant positive impact of credit management (represented by the ratio of non-performing loans to gross loans) on financial performance (ROA) of the banks.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sz w:val="24"/>
          <w:szCs w:val="24"/>
        </w:rPr>
        <w:tab/>
        <w:t>Asfaw and Veni (2015) investigated the level of credit risk management practice of Ethiopian public and private commercial banks. Using a descriptive survey research approach, the findings revealed that four aspects of Basel’s credit risk management principles significantly explain the level of variation on credit risk management practice of banks in Ethiopia.</w:t>
      </w:r>
      <w:r w:rsidRPr="00785485">
        <w:rPr>
          <w:rFonts w:ascii="Times New Roman" w:hAnsi="Times New Roman"/>
          <w:color w:val="000000"/>
          <w:sz w:val="24"/>
          <w:szCs w:val="24"/>
        </w:rPr>
        <w:t xml:space="preserve">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Singh (2015) used data from selected public and private commercial banks in India for the financial years 2002/2003 to 2012/2013 to determine the relationship between ROA (performance indicator) and two credit risk indicators (CAR and NPL). With the use of least squares as estimation techniques, the results produced mixed results for both the private and public commercial banks.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b/>
          <w:color w:val="000000"/>
          <w:sz w:val="24"/>
          <w:szCs w:val="24"/>
        </w:rPr>
        <w:tab/>
      </w:r>
      <w:r w:rsidRPr="00785485">
        <w:rPr>
          <w:rFonts w:ascii="Times New Roman" w:hAnsi="Times New Roman"/>
          <w:sz w:val="24"/>
          <w:szCs w:val="24"/>
        </w:rPr>
        <w:t xml:space="preserve">Muriithi, Waweru and Muturi (2016) assessed the relationship between credit risk and profitability of 43 Kenyan commercial banks for the year 2014. By using both fixed </w:t>
      </w:r>
      <w:r w:rsidRPr="00785485">
        <w:rPr>
          <w:rFonts w:ascii="Times New Roman" w:hAnsi="Times New Roman"/>
          <w:sz w:val="24"/>
          <w:szCs w:val="24"/>
        </w:rPr>
        <w:lastRenderedPageBreak/>
        <w:t xml:space="preserve">effects estimation and generalized method of moments (GMM) techniques, results showed that credit risk variable has a negative and significant relationship with the financial performance of the sampled banks.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Aykut (2016) assessed the effect of credit and market risk on bank performance of quoted Turkish banks. With the use of generalized autoregressive conditional heteroscedastic approach for weekly data generated between 18th January 2002 and 30th October 2015, the results suggested that credit risk has an inverse and foreign exchange has a direct effect on banking sector profitability.</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Ogbulu and Eze (2016) studied the influence of credit risk management on the performance of selected Nigerian deposit money banks for the period 1989 to 2013. Using Error Correction Model (ECM) and Granger causality techniques, the findings of the study revealed that the selected credit risk indicators under study significantly impact on the financial performance of the banks.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Kani (2017) examined the impact of credit risk on banking performance in the member states of the West African Economic and Monetary Union (WAEMU). The analysis involved 20 banks over a 9-year period (2007- 2015). With the use of individual-specific effects models, the results show a negative and significant effect of credit risk on bank performance measured by ROA.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Annor and Obeng (2017) explored the impact of credit risk management on the profitability of 6 selected commercial banks listed on the Ghana stock exchange. Using random effect model within the panel estimation technique, the findings showed capital adequacy ratio had a positive relationship with a bank’s profitability, non-performing loans, loan loss provisions ratio and loan to asset ratio showed a statistically significant negative relationship with the profitability of a bank. </w:t>
      </w:r>
    </w:p>
    <w:p w:rsidR="002B5DAE" w:rsidRPr="00785485" w:rsidRDefault="002B5DAE" w:rsidP="00785485">
      <w:pPr>
        <w:spacing w:after="0" w:line="360" w:lineRule="auto"/>
        <w:ind w:firstLine="720"/>
        <w:jc w:val="both"/>
        <w:rPr>
          <w:rFonts w:ascii="Times New Roman" w:hAnsi="Times New Roman"/>
          <w:b/>
          <w:color w:val="000000"/>
          <w:sz w:val="24"/>
          <w:szCs w:val="24"/>
        </w:rPr>
      </w:pPr>
      <w:r w:rsidRPr="00785485">
        <w:rPr>
          <w:rFonts w:ascii="Times New Roman" w:hAnsi="Times New Roman"/>
          <w:sz w:val="24"/>
          <w:szCs w:val="24"/>
        </w:rPr>
        <w:t>Harcourt (2017) analyzed the impact of credit risk management on the performance of deposit money banks in Nigeria using over parameterised and parsimonious error correction model and Granger causality for the period 1989 to 2014. Findings suggested a significant relationship between credit management parameters and the performance of deposit money banks.</w:t>
      </w: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lastRenderedPageBreak/>
        <w:t>CHAPTER THREE</w:t>
      </w:r>
    </w:p>
    <w:p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t>RESEARCH METHODOLOGY</w:t>
      </w:r>
    </w:p>
    <w:p w:rsidR="002B5DAE" w:rsidRPr="00785485" w:rsidRDefault="002B5DAE" w:rsidP="00785485">
      <w:pPr>
        <w:spacing w:after="0" w:line="360" w:lineRule="auto"/>
        <w:rPr>
          <w:rFonts w:ascii="Times New Roman" w:hAnsi="Times New Roman"/>
          <w:b/>
          <w:bCs/>
          <w:sz w:val="24"/>
          <w:szCs w:val="24"/>
        </w:rPr>
      </w:pPr>
      <w:r w:rsidRPr="00785485">
        <w:rPr>
          <w:rFonts w:ascii="Times New Roman" w:hAnsi="Times New Roman"/>
          <w:b/>
          <w:bCs/>
          <w:sz w:val="24"/>
          <w:szCs w:val="24"/>
        </w:rPr>
        <w:t>3.1</w:t>
      </w:r>
      <w:r w:rsidRPr="00785485">
        <w:rPr>
          <w:rFonts w:ascii="Times New Roman" w:hAnsi="Times New Roman"/>
          <w:b/>
          <w:bCs/>
          <w:sz w:val="24"/>
          <w:szCs w:val="24"/>
        </w:rPr>
        <w:tab/>
      </w:r>
      <w:r w:rsidR="005C6D0F" w:rsidRPr="00785485">
        <w:rPr>
          <w:rFonts w:ascii="Times New Roman" w:hAnsi="Times New Roman"/>
          <w:b/>
          <w:bCs/>
          <w:sz w:val="24"/>
          <w:szCs w:val="24"/>
        </w:rPr>
        <w:t>DESIGN STUDY</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This study employs descriptive research using panel data as it allows for the collection of past and multi-dimension data which provide basis for the full establishment of the relationship between credit and risk management and agricultural development in Nigeria.</w:t>
      </w: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3.2</w:t>
      </w:r>
      <w:r w:rsidRPr="00785485">
        <w:rPr>
          <w:rFonts w:ascii="Times New Roman" w:hAnsi="Times New Roman"/>
          <w:b/>
          <w:bCs/>
          <w:sz w:val="24"/>
          <w:szCs w:val="24"/>
        </w:rPr>
        <w:tab/>
      </w:r>
      <w:r w:rsidR="005C6D0F" w:rsidRPr="00785485">
        <w:rPr>
          <w:rFonts w:ascii="Times New Roman" w:hAnsi="Times New Roman"/>
          <w:b/>
          <w:bCs/>
          <w:sz w:val="24"/>
          <w:szCs w:val="24"/>
        </w:rPr>
        <w:t xml:space="preserve">SOURCE </w:t>
      </w:r>
      <w:r w:rsidRPr="00785485">
        <w:rPr>
          <w:rFonts w:ascii="Times New Roman" w:hAnsi="Times New Roman"/>
          <w:b/>
          <w:bCs/>
          <w:sz w:val="24"/>
          <w:szCs w:val="24"/>
        </w:rPr>
        <w:t xml:space="preserve">of </w:t>
      </w:r>
      <w:r w:rsidR="005C6D0F" w:rsidRPr="00785485">
        <w:rPr>
          <w:rFonts w:ascii="Times New Roman" w:hAnsi="Times New Roman"/>
          <w:b/>
          <w:bCs/>
          <w:sz w:val="24"/>
          <w:szCs w:val="24"/>
        </w:rPr>
        <w:t>DATA</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For the purpose of adequate Data needed for this project to obtain enough reliable information.</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The secondary source of data, this consists of information which may be available, hence related journals, textbooks to the subject matter, Newspapers.</w:t>
      </w: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3.3</w:t>
      </w:r>
      <w:r w:rsidRPr="00785485">
        <w:rPr>
          <w:rFonts w:ascii="Times New Roman" w:hAnsi="Times New Roman"/>
          <w:b/>
          <w:bCs/>
          <w:sz w:val="24"/>
          <w:szCs w:val="24"/>
        </w:rPr>
        <w:tab/>
      </w:r>
      <w:r w:rsidR="005C6D0F" w:rsidRPr="00785485">
        <w:rPr>
          <w:rFonts w:ascii="Times New Roman" w:hAnsi="Times New Roman"/>
          <w:b/>
          <w:bCs/>
          <w:sz w:val="24"/>
          <w:szCs w:val="24"/>
        </w:rPr>
        <w:t xml:space="preserve">POPULATION </w:t>
      </w:r>
      <w:r w:rsidRPr="00785485">
        <w:rPr>
          <w:rFonts w:ascii="Times New Roman" w:hAnsi="Times New Roman"/>
          <w:b/>
          <w:bCs/>
          <w:sz w:val="24"/>
          <w:szCs w:val="24"/>
        </w:rPr>
        <w:t xml:space="preserve">of the </w:t>
      </w:r>
      <w:r w:rsidR="005C6D0F" w:rsidRPr="00785485">
        <w:rPr>
          <w:rFonts w:ascii="Times New Roman" w:hAnsi="Times New Roman"/>
          <w:b/>
          <w:bCs/>
          <w:sz w:val="24"/>
          <w:szCs w:val="24"/>
        </w:rPr>
        <w:t>STUDY</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2018. Therefore the population of the study is 55. The population was draft out from 30 banks which was listed by CBN as at September 30 2018 with 25 Micro-finance Banks which are consider healthy.</w:t>
      </w: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3.4</w:t>
      </w:r>
      <w:r w:rsidRPr="00785485">
        <w:rPr>
          <w:rFonts w:ascii="Times New Roman" w:hAnsi="Times New Roman"/>
          <w:b/>
          <w:bCs/>
          <w:sz w:val="24"/>
          <w:szCs w:val="24"/>
        </w:rPr>
        <w:tab/>
      </w:r>
      <w:r w:rsidR="005C6D0F" w:rsidRPr="00785485">
        <w:rPr>
          <w:rFonts w:ascii="Times New Roman" w:hAnsi="Times New Roman"/>
          <w:b/>
          <w:bCs/>
          <w:sz w:val="24"/>
          <w:szCs w:val="24"/>
        </w:rPr>
        <w:t xml:space="preserve">SAMPLE SIZE </w:t>
      </w:r>
      <w:r w:rsidRPr="00785485">
        <w:rPr>
          <w:rFonts w:ascii="Times New Roman" w:hAnsi="Times New Roman"/>
          <w:b/>
          <w:bCs/>
          <w:sz w:val="24"/>
          <w:szCs w:val="24"/>
        </w:rPr>
        <w:t xml:space="preserve">and </w:t>
      </w:r>
      <w:r w:rsidR="005C6D0F" w:rsidRPr="00785485">
        <w:rPr>
          <w:rFonts w:ascii="Times New Roman" w:hAnsi="Times New Roman"/>
          <w:b/>
          <w:bCs/>
          <w:sz w:val="24"/>
          <w:szCs w:val="24"/>
        </w:rPr>
        <w:t>SAMPLING TECHNIQUES</w:t>
      </w:r>
      <w:r w:rsidRPr="00785485">
        <w:rPr>
          <w:rFonts w:ascii="Times New Roman" w:hAnsi="Times New Roman"/>
          <w:b/>
          <w:bCs/>
          <w:sz w:val="24"/>
          <w:szCs w:val="24"/>
        </w:rPr>
        <w:t>.</w:t>
      </w:r>
    </w:p>
    <w:p w:rsidR="002B5DAE" w:rsidRDefault="002B5DAE" w:rsidP="00785485">
      <w:pPr>
        <w:spacing w:after="0" w:line="360" w:lineRule="auto"/>
        <w:jc w:val="both"/>
        <w:rPr>
          <w:rFonts w:ascii="Times New Roman" w:hAnsi="Times New Roman"/>
          <w:sz w:val="24"/>
          <w:szCs w:val="24"/>
        </w:rPr>
      </w:pPr>
      <w:r w:rsidRPr="00785485">
        <w:rPr>
          <w:rFonts w:ascii="Times New Roman" w:hAnsi="Times New Roman"/>
          <w:b/>
          <w:bCs/>
          <w:sz w:val="24"/>
          <w:szCs w:val="24"/>
        </w:rPr>
        <w:tab/>
      </w:r>
      <w:r w:rsidRPr="00785485">
        <w:rPr>
          <w:rFonts w:ascii="Times New Roman" w:hAnsi="Times New Roman"/>
          <w:sz w:val="24"/>
          <w:szCs w:val="24"/>
        </w:rPr>
        <w:t xml:space="preserve">Sampling of the opinion has been draw using sample random method. The population is respondents. Random sampling is used because it is the only methods that give the respondent equal chance of being selected and it is an unbiased techniques. The sample for this study is therefore totaled </w:t>
      </w:r>
      <w:r w:rsidR="00F6582F" w:rsidRPr="00785485">
        <w:rPr>
          <w:rFonts w:ascii="Times New Roman" w:hAnsi="Times New Roman"/>
          <w:sz w:val="24"/>
          <w:szCs w:val="24"/>
        </w:rPr>
        <w:t>20</w:t>
      </w:r>
      <w:r w:rsidR="00EF55B3">
        <w:rPr>
          <w:rFonts w:ascii="Times New Roman" w:hAnsi="Times New Roman"/>
          <w:sz w:val="24"/>
          <w:szCs w:val="24"/>
        </w:rPr>
        <w:t>.</w:t>
      </w:r>
    </w:p>
    <w:p w:rsidR="00EF55B3" w:rsidRPr="00785485" w:rsidRDefault="00EF55B3" w:rsidP="00785485">
      <w:pPr>
        <w:spacing w:after="0" w:line="360" w:lineRule="auto"/>
        <w:jc w:val="both"/>
        <w:rPr>
          <w:rFonts w:ascii="Times New Roman" w:hAnsi="Times New Roman"/>
          <w:b/>
          <w:bCs/>
          <w:sz w:val="24"/>
          <w:szCs w:val="24"/>
        </w:rPr>
      </w:pP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lastRenderedPageBreak/>
        <w:t>3.5</w:t>
      </w:r>
      <w:r w:rsidRPr="00785485">
        <w:rPr>
          <w:rFonts w:ascii="Times New Roman" w:hAnsi="Times New Roman"/>
          <w:b/>
          <w:bCs/>
          <w:sz w:val="24"/>
          <w:szCs w:val="24"/>
        </w:rPr>
        <w:tab/>
      </w:r>
      <w:r w:rsidR="005C6D0F" w:rsidRPr="00785485">
        <w:rPr>
          <w:rFonts w:ascii="Times New Roman" w:hAnsi="Times New Roman"/>
          <w:b/>
          <w:bCs/>
          <w:sz w:val="24"/>
          <w:szCs w:val="24"/>
        </w:rPr>
        <w:t>RESEARCH INSTRUMENTS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subject matter, for the purpose of this study, 60 copied of questionnaires were administered and 53 copies was returned.</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3.6 </w:t>
      </w:r>
      <w:r w:rsidR="005C6D0F" w:rsidRPr="00785485">
        <w:rPr>
          <w:rFonts w:ascii="Times New Roman" w:hAnsi="Times New Roman"/>
          <w:b/>
          <w:color w:val="000000"/>
          <w:sz w:val="24"/>
          <w:szCs w:val="24"/>
        </w:rPr>
        <w:t xml:space="preserve">METHOD </w:t>
      </w:r>
      <w:r w:rsidRPr="00785485">
        <w:rPr>
          <w:rFonts w:ascii="Times New Roman" w:hAnsi="Times New Roman"/>
          <w:b/>
          <w:color w:val="000000"/>
          <w:sz w:val="24"/>
          <w:szCs w:val="24"/>
        </w:rPr>
        <w:t xml:space="preserve">Of </w:t>
      </w:r>
      <w:r w:rsidR="005C6D0F" w:rsidRPr="00785485">
        <w:rPr>
          <w:rFonts w:ascii="Times New Roman" w:hAnsi="Times New Roman"/>
          <w:b/>
          <w:color w:val="000000"/>
          <w:sz w:val="24"/>
          <w:szCs w:val="24"/>
        </w:rPr>
        <w:t xml:space="preserve">DATA ANALYSIS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Data analysis, for the purpose of analyzing the data obtained from questionnaire that well administered descriptive and international statistics will be employed. The paramedic statistical test, regression, will be employed to test the formulated hypothesis sung statistical package for social sciences SPSS data analysis package.</w:t>
      </w:r>
    </w:p>
    <w:p w:rsidR="002B5DAE" w:rsidRPr="00785485" w:rsidRDefault="002B5DAE" w:rsidP="00785485">
      <w:pPr>
        <w:spacing w:line="360" w:lineRule="auto"/>
        <w:contextualSpacing/>
        <w:mirrorIndents/>
        <w:jc w:val="both"/>
        <w:rPr>
          <w:rFonts w:ascii="Times New Roman" w:hAnsi="Times New Roman"/>
          <w:b/>
          <w:sz w:val="24"/>
          <w:szCs w:val="24"/>
        </w:rPr>
      </w:pPr>
      <w:r w:rsidRPr="00785485">
        <w:rPr>
          <w:rFonts w:ascii="Times New Roman" w:hAnsi="Times New Roman"/>
          <w:b/>
          <w:sz w:val="24"/>
          <w:szCs w:val="24"/>
        </w:rPr>
        <w:t xml:space="preserve">3.7 </w:t>
      </w:r>
      <w:r w:rsidR="005C6D0F" w:rsidRPr="00785485">
        <w:rPr>
          <w:rFonts w:ascii="Times New Roman" w:hAnsi="Times New Roman"/>
          <w:b/>
          <w:sz w:val="24"/>
          <w:szCs w:val="24"/>
        </w:rPr>
        <w:t>MODEL SPECIFICATION</w:t>
      </w:r>
    </w:p>
    <w:p w:rsidR="002B5DAE" w:rsidRPr="00785485" w:rsidRDefault="002B5DAE" w:rsidP="00785485">
      <w:pPr>
        <w:spacing w:line="360" w:lineRule="auto"/>
        <w:ind w:right="20"/>
        <w:contextualSpacing/>
        <w:mirrorIndents/>
        <w:jc w:val="both"/>
        <w:rPr>
          <w:rFonts w:ascii="Times New Roman" w:hAnsi="Times New Roman"/>
          <w:sz w:val="24"/>
          <w:szCs w:val="24"/>
        </w:rPr>
      </w:pPr>
      <w:r w:rsidRPr="00785485">
        <w:rPr>
          <w:rFonts w:ascii="Times New Roman" w:hAnsi="Times New Roman"/>
          <w:sz w:val="24"/>
          <w:szCs w:val="24"/>
        </w:rPr>
        <w:t>The researcher computed correlation coefficient (r), coefficient of determination (r2) and analysis of variance (ANOVA) using the regression model below. The study hypothesis that asset liability management has a positive relationship to financial performance of banks.</w:t>
      </w:r>
    </w:p>
    <w:p w:rsidR="002B5DAE" w:rsidRPr="00785485" w:rsidRDefault="002B5DAE" w:rsidP="00785485">
      <w:pPr>
        <w:spacing w:line="360" w:lineRule="auto"/>
        <w:contextualSpacing/>
        <w:mirrorIndents/>
        <w:rPr>
          <w:rFonts w:ascii="Times New Roman" w:hAnsi="Times New Roman"/>
          <w:sz w:val="24"/>
          <w:szCs w:val="24"/>
        </w:rPr>
      </w:pPr>
    </w:p>
    <w:p w:rsidR="002B5DAE" w:rsidRPr="00785485" w:rsidRDefault="002B5DAE" w:rsidP="00785485">
      <w:pPr>
        <w:spacing w:line="360" w:lineRule="auto"/>
        <w:ind w:left="360" w:right="1560"/>
        <w:contextualSpacing/>
        <w:mirrorIndents/>
        <w:rPr>
          <w:rFonts w:ascii="Times New Roman" w:hAnsi="Times New Roman"/>
          <w:sz w:val="24"/>
          <w:szCs w:val="24"/>
        </w:rPr>
      </w:pPr>
      <w:r w:rsidRPr="00785485">
        <w:rPr>
          <w:rFonts w:ascii="Times New Roman" w:hAnsi="Times New Roman"/>
          <w:sz w:val="24"/>
          <w:szCs w:val="24"/>
        </w:rPr>
        <w:t xml:space="preserve">Financial Performance </w:t>
      </w:r>
      <w:r w:rsidRPr="00785485">
        <w:rPr>
          <w:rFonts w:ascii="Times New Roman" w:hAnsi="Times New Roman"/>
          <w:sz w:val="24"/>
          <w:szCs w:val="24"/>
          <w:vertAlign w:val="subscript"/>
        </w:rPr>
        <w:t>ROE</w:t>
      </w:r>
      <w:r w:rsidRPr="00785485">
        <w:rPr>
          <w:rFonts w:ascii="Times New Roman" w:hAnsi="Times New Roman"/>
          <w:sz w:val="24"/>
          <w:szCs w:val="24"/>
        </w:rPr>
        <w:t xml:space="preserve"> = α + β</w:t>
      </w:r>
      <w:r w:rsidRPr="00785485">
        <w:rPr>
          <w:rFonts w:ascii="Times New Roman" w:hAnsi="Times New Roman"/>
          <w:sz w:val="24"/>
          <w:szCs w:val="24"/>
          <w:vertAlign w:val="subscript"/>
        </w:rPr>
        <w:t>1</w:t>
      </w:r>
      <w:r w:rsidRPr="00785485">
        <w:rPr>
          <w:rFonts w:ascii="Times New Roman" w:hAnsi="Times New Roman"/>
          <w:sz w:val="24"/>
          <w:szCs w:val="24"/>
        </w:rPr>
        <w:t xml:space="preserve"> X</w:t>
      </w:r>
      <w:r w:rsidRPr="00785485">
        <w:rPr>
          <w:rFonts w:ascii="Times New Roman" w:hAnsi="Times New Roman"/>
          <w:sz w:val="24"/>
          <w:szCs w:val="24"/>
          <w:vertAlign w:val="subscript"/>
        </w:rPr>
        <w:t>1</w:t>
      </w:r>
      <w:r w:rsidRPr="00785485">
        <w:rPr>
          <w:rFonts w:ascii="Times New Roman" w:hAnsi="Times New Roman"/>
          <w:sz w:val="24"/>
          <w:szCs w:val="24"/>
        </w:rPr>
        <w:t xml:space="preserve">+ β </w:t>
      </w:r>
      <w:r w:rsidRPr="00785485">
        <w:rPr>
          <w:rFonts w:ascii="Times New Roman" w:hAnsi="Times New Roman"/>
          <w:sz w:val="24"/>
          <w:szCs w:val="24"/>
          <w:vertAlign w:val="subscript"/>
        </w:rPr>
        <w:t>2</w:t>
      </w:r>
      <w:r w:rsidRPr="00785485">
        <w:rPr>
          <w:rFonts w:ascii="Times New Roman" w:hAnsi="Times New Roman"/>
          <w:sz w:val="24"/>
          <w:szCs w:val="24"/>
        </w:rPr>
        <w:t xml:space="preserve"> X</w:t>
      </w:r>
      <w:r w:rsidRPr="00785485">
        <w:rPr>
          <w:rFonts w:ascii="Times New Roman" w:hAnsi="Times New Roman"/>
          <w:sz w:val="24"/>
          <w:szCs w:val="24"/>
          <w:vertAlign w:val="subscript"/>
        </w:rPr>
        <w:t>2</w:t>
      </w:r>
      <w:r w:rsidRPr="00785485">
        <w:rPr>
          <w:rFonts w:ascii="Times New Roman" w:hAnsi="Times New Roman"/>
          <w:sz w:val="24"/>
          <w:szCs w:val="24"/>
        </w:rPr>
        <w:t>+ β</w:t>
      </w:r>
      <w:r w:rsidRPr="00785485">
        <w:rPr>
          <w:rFonts w:ascii="Times New Roman" w:hAnsi="Times New Roman"/>
          <w:sz w:val="24"/>
          <w:szCs w:val="24"/>
          <w:vertAlign w:val="subscript"/>
        </w:rPr>
        <w:t>3</w:t>
      </w:r>
      <w:r w:rsidRPr="00785485">
        <w:rPr>
          <w:rFonts w:ascii="Times New Roman" w:hAnsi="Times New Roman"/>
          <w:sz w:val="24"/>
          <w:szCs w:val="24"/>
        </w:rPr>
        <w:t xml:space="preserve"> X</w:t>
      </w:r>
      <w:r w:rsidRPr="00785485">
        <w:rPr>
          <w:rFonts w:ascii="Times New Roman" w:hAnsi="Times New Roman"/>
          <w:sz w:val="24"/>
          <w:szCs w:val="24"/>
          <w:vertAlign w:val="subscript"/>
        </w:rPr>
        <w:t>3</w:t>
      </w:r>
      <w:r w:rsidRPr="00785485">
        <w:rPr>
          <w:rFonts w:ascii="Times New Roman" w:hAnsi="Times New Roman"/>
          <w:sz w:val="24"/>
          <w:szCs w:val="24"/>
        </w:rPr>
        <w:t xml:space="preserve">+ β </w:t>
      </w:r>
      <w:r w:rsidRPr="00785485">
        <w:rPr>
          <w:rFonts w:ascii="Times New Roman" w:hAnsi="Times New Roman"/>
          <w:sz w:val="24"/>
          <w:szCs w:val="24"/>
          <w:vertAlign w:val="subscript"/>
        </w:rPr>
        <w:t>4</w:t>
      </w:r>
      <w:r w:rsidRPr="00785485">
        <w:rPr>
          <w:rFonts w:ascii="Times New Roman" w:hAnsi="Times New Roman"/>
          <w:sz w:val="24"/>
          <w:szCs w:val="24"/>
        </w:rPr>
        <w:t xml:space="preserve"> X</w:t>
      </w:r>
      <w:r w:rsidRPr="00785485">
        <w:rPr>
          <w:rFonts w:ascii="Times New Roman" w:hAnsi="Times New Roman"/>
          <w:sz w:val="24"/>
          <w:szCs w:val="24"/>
          <w:vertAlign w:val="subscript"/>
        </w:rPr>
        <w:t>4</w:t>
      </w:r>
      <w:r w:rsidRPr="00785485">
        <w:rPr>
          <w:rFonts w:ascii="Times New Roman" w:hAnsi="Times New Roman"/>
          <w:sz w:val="24"/>
          <w:szCs w:val="24"/>
        </w:rPr>
        <w:t>+ β</w:t>
      </w:r>
      <w:r w:rsidRPr="00785485">
        <w:rPr>
          <w:rFonts w:ascii="Times New Roman" w:hAnsi="Times New Roman"/>
          <w:sz w:val="24"/>
          <w:szCs w:val="24"/>
          <w:vertAlign w:val="subscript"/>
        </w:rPr>
        <w:t>5</w:t>
      </w:r>
      <w:r w:rsidRPr="00785485">
        <w:rPr>
          <w:rFonts w:ascii="Times New Roman" w:hAnsi="Times New Roman"/>
          <w:sz w:val="24"/>
          <w:szCs w:val="24"/>
        </w:rPr>
        <w:t xml:space="preserve"> X</w:t>
      </w:r>
      <w:r w:rsidRPr="00785485">
        <w:rPr>
          <w:rFonts w:ascii="Times New Roman" w:hAnsi="Times New Roman"/>
          <w:sz w:val="24"/>
          <w:szCs w:val="24"/>
          <w:vertAlign w:val="subscript"/>
        </w:rPr>
        <w:t>5</w:t>
      </w:r>
      <w:r w:rsidRPr="00785485">
        <w:rPr>
          <w:rFonts w:ascii="Times New Roman" w:hAnsi="Times New Roman"/>
          <w:sz w:val="24"/>
          <w:szCs w:val="24"/>
        </w:rPr>
        <w:t>+ +℮ Where; Y denotes the dependent variable (Financial Performance) measured as Return on Equity α is the value of the intercept.</w:t>
      </w:r>
    </w:p>
    <w:p w:rsidR="002B5DAE" w:rsidRPr="00785485" w:rsidRDefault="002B5DAE" w:rsidP="00785485">
      <w:pPr>
        <w:numPr>
          <w:ilvl w:val="0"/>
          <w:numId w:val="15"/>
        </w:numPr>
        <w:tabs>
          <w:tab w:val="left" w:pos="540"/>
        </w:tabs>
        <w:spacing w:after="0" w:line="360" w:lineRule="auto"/>
        <w:ind w:left="540" w:hanging="180"/>
        <w:contextualSpacing/>
        <w:mirrorIndents/>
        <w:rPr>
          <w:rFonts w:ascii="Times New Roman" w:hAnsi="Times New Roman"/>
          <w:sz w:val="24"/>
          <w:szCs w:val="24"/>
        </w:rPr>
      </w:pPr>
      <w:r w:rsidRPr="00785485">
        <w:rPr>
          <w:rFonts w:ascii="Times New Roman" w:hAnsi="Times New Roman"/>
          <w:sz w:val="24"/>
          <w:szCs w:val="24"/>
        </w:rPr>
        <w:t>is the coefficient of the explanatory X variable.</w:t>
      </w:r>
    </w:p>
    <w:p w:rsidR="002B5DAE" w:rsidRPr="00785485" w:rsidRDefault="002B5DAE" w:rsidP="00785485">
      <w:pPr>
        <w:numPr>
          <w:ilvl w:val="0"/>
          <w:numId w:val="16"/>
        </w:numPr>
        <w:tabs>
          <w:tab w:val="left" w:pos="560"/>
        </w:tabs>
        <w:spacing w:after="0" w:line="360" w:lineRule="auto"/>
        <w:ind w:left="560" w:hanging="200"/>
        <w:contextualSpacing/>
        <w:mirrorIndents/>
        <w:rPr>
          <w:rFonts w:ascii="Times New Roman" w:hAnsi="Times New Roman"/>
          <w:sz w:val="24"/>
          <w:szCs w:val="24"/>
        </w:rPr>
      </w:pPr>
      <w:r w:rsidRPr="00785485">
        <w:rPr>
          <w:rFonts w:ascii="Times New Roman" w:hAnsi="Times New Roman"/>
          <w:sz w:val="24"/>
          <w:szCs w:val="24"/>
        </w:rPr>
        <w:t>is the error term assumed to have zero mean and independent across time period.</w:t>
      </w:r>
    </w:p>
    <w:tbl>
      <w:tblPr>
        <w:tblW w:w="0" w:type="auto"/>
        <w:tblInd w:w="360" w:type="dxa"/>
        <w:tblLayout w:type="fixed"/>
        <w:tblCellMar>
          <w:left w:w="0" w:type="dxa"/>
          <w:right w:w="0" w:type="dxa"/>
        </w:tblCellMar>
        <w:tblLook w:val="0000"/>
      </w:tblPr>
      <w:tblGrid>
        <w:gridCol w:w="280"/>
        <w:gridCol w:w="3040"/>
        <w:gridCol w:w="5360"/>
      </w:tblGrid>
      <w:tr w:rsidR="002B5DAE" w:rsidRPr="00785485" w:rsidTr="000D05DF">
        <w:trPr>
          <w:trHeight w:val="381"/>
        </w:trPr>
        <w:tc>
          <w:tcPr>
            <w:tcW w:w="3320" w:type="dxa"/>
            <w:gridSpan w:val="2"/>
            <w:shd w:val="clear" w:color="auto" w:fill="auto"/>
            <w:vAlign w:val="bottom"/>
          </w:tcPr>
          <w:p w:rsidR="002B5DAE" w:rsidRPr="00785485" w:rsidRDefault="002B5DAE" w:rsidP="00785485">
            <w:pPr>
              <w:spacing w:line="360" w:lineRule="auto"/>
              <w:contextualSpacing/>
              <w:mirrorIndents/>
              <w:rPr>
                <w:rFonts w:ascii="Times New Roman" w:hAnsi="Times New Roman"/>
                <w:sz w:val="24"/>
                <w:szCs w:val="24"/>
              </w:rPr>
            </w:pPr>
            <w:r w:rsidRPr="00785485">
              <w:rPr>
                <w:rFonts w:ascii="Times New Roman" w:hAnsi="Times New Roman"/>
                <w:sz w:val="24"/>
                <w:szCs w:val="24"/>
              </w:rPr>
              <w:t>X</w:t>
            </w:r>
            <w:r w:rsidRPr="00785485">
              <w:rPr>
                <w:rFonts w:ascii="Times New Roman" w:hAnsi="Times New Roman"/>
                <w:sz w:val="24"/>
                <w:szCs w:val="24"/>
                <w:vertAlign w:val="subscript"/>
              </w:rPr>
              <w:t>1</w:t>
            </w:r>
            <w:r w:rsidRPr="00785485">
              <w:rPr>
                <w:rFonts w:ascii="Times New Roman" w:hAnsi="Times New Roman"/>
                <w:sz w:val="24"/>
                <w:szCs w:val="24"/>
              </w:rPr>
              <w:t>(Capital Adequacy)</w:t>
            </w:r>
          </w:p>
        </w:tc>
        <w:tc>
          <w:tcPr>
            <w:tcW w:w="5360" w:type="dxa"/>
            <w:shd w:val="clear" w:color="auto" w:fill="auto"/>
            <w:vAlign w:val="bottom"/>
          </w:tcPr>
          <w:p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total equity to total risk weighted assets</w:t>
            </w:r>
          </w:p>
        </w:tc>
      </w:tr>
      <w:tr w:rsidR="002B5DAE" w:rsidRPr="00785485" w:rsidTr="000D05DF">
        <w:trPr>
          <w:trHeight w:val="552"/>
        </w:trPr>
        <w:tc>
          <w:tcPr>
            <w:tcW w:w="3320" w:type="dxa"/>
            <w:gridSpan w:val="2"/>
            <w:shd w:val="clear" w:color="auto" w:fill="auto"/>
            <w:vAlign w:val="bottom"/>
          </w:tcPr>
          <w:p w:rsidR="002B5DAE" w:rsidRPr="00785485" w:rsidRDefault="002B5DAE" w:rsidP="00785485">
            <w:pPr>
              <w:spacing w:line="360" w:lineRule="auto"/>
              <w:contextualSpacing/>
              <w:mirrorIndents/>
              <w:rPr>
                <w:rFonts w:ascii="Times New Roman" w:hAnsi="Times New Roman"/>
                <w:sz w:val="24"/>
                <w:szCs w:val="24"/>
              </w:rPr>
            </w:pPr>
            <w:r w:rsidRPr="00785485">
              <w:rPr>
                <w:rFonts w:ascii="Times New Roman" w:hAnsi="Times New Roman"/>
                <w:sz w:val="24"/>
                <w:szCs w:val="24"/>
              </w:rPr>
              <w:t>X</w:t>
            </w:r>
            <w:r w:rsidRPr="00785485">
              <w:rPr>
                <w:rFonts w:ascii="Times New Roman" w:hAnsi="Times New Roman"/>
                <w:sz w:val="24"/>
                <w:szCs w:val="24"/>
                <w:vertAlign w:val="subscript"/>
              </w:rPr>
              <w:t>2</w:t>
            </w:r>
            <w:r w:rsidRPr="00785485">
              <w:rPr>
                <w:rFonts w:ascii="Times New Roman" w:hAnsi="Times New Roman"/>
                <w:sz w:val="24"/>
                <w:szCs w:val="24"/>
              </w:rPr>
              <w:t xml:space="preserve"> (Asset Quality)</w:t>
            </w:r>
          </w:p>
        </w:tc>
        <w:tc>
          <w:tcPr>
            <w:tcW w:w="5360" w:type="dxa"/>
            <w:shd w:val="clear" w:color="auto" w:fill="auto"/>
            <w:vAlign w:val="bottom"/>
          </w:tcPr>
          <w:p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Non-performing loans to total loans</w:t>
            </w:r>
          </w:p>
        </w:tc>
      </w:tr>
      <w:tr w:rsidR="002B5DAE" w:rsidRPr="00785485" w:rsidTr="000D05DF">
        <w:trPr>
          <w:trHeight w:val="552"/>
        </w:trPr>
        <w:tc>
          <w:tcPr>
            <w:tcW w:w="280" w:type="dxa"/>
            <w:shd w:val="clear" w:color="auto" w:fill="auto"/>
            <w:vAlign w:val="bottom"/>
          </w:tcPr>
          <w:p w:rsidR="002B5DAE" w:rsidRPr="00785485" w:rsidRDefault="002B5DAE" w:rsidP="00785485">
            <w:pPr>
              <w:spacing w:line="360" w:lineRule="auto"/>
              <w:contextualSpacing/>
              <w:mirrorIndents/>
              <w:rPr>
                <w:rFonts w:ascii="Times New Roman" w:hAnsi="Times New Roman"/>
                <w:w w:val="92"/>
                <w:sz w:val="24"/>
                <w:szCs w:val="24"/>
                <w:vertAlign w:val="subscript"/>
              </w:rPr>
            </w:pPr>
            <w:r w:rsidRPr="00785485">
              <w:rPr>
                <w:rFonts w:ascii="Times New Roman" w:hAnsi="Times New Roman"/>
                <w:w w:val="92"/>
                <w:sz w:val="24"/>
                <w:szCs w:val="24"/>
              </w:rPr>
              <w:t>X</w:t>
            </w:r>
            <w:r w:rsidRPr="00785485">
              <w:rPr>
                <w:rFonts w:ascii="Times New Roman" w:hAnsi="Times New Roman"/>
                <w:w w:val="92"/>
                <w:sz w:val="24"/>
                <w:szCs w:val="24"/>
                <w:vertAlign w:val="subscript"/>
              </w:rPr>
              <w:t>3</w:t>
            </w:r>
          </w:p>
        </w:tc>
        <w:tc>
          <w:tcPr>
            <w:tcW w:w="3040" w:type="dxa"/>
            <w:shd w:val="clear" w:color="auto" w:fill="auto"/>
            <w:vAlign w:val="bottom"/>
          </w:tcPr>
          <w:p w:rsidR="002B5DAE" w:rsidRPr="00785485" w:rsidRDefault="002B5DAE" w:rsidP="00785485">
            <w:pPr>
              <w:spacing w:line="360" w:lineRule="auto"/>
              <w:ind w:left="40"/>
              <w:contextualSpacing/>
              <w:mirrorIndents/>
              <w:rPr>
                <w:rFonts w:ascii="Times New Roman" w:hAnsi="Times New Roman"/>
                <w:sz w:val="24"/>
                <w:szCs w:val="24"/>
              </w:rPr>
            </w:pPr>
            <w:r w:rsidRPr="00785485">
              <w:rPr>
                <w:rFonts w:ascii="Times New Roman" w:hAnsi="Times New Roman"/>
                <w:sz w:val="24"/>
                <w:szCs w:val="24"/>
              </w:rPr>
              <w:t>(Liquidity)</w:t>
            </w:r>
          </w:p>
        </w:tc>
        <w:tc>
          <w:tcPr>
            <w:tcW w:w="5360" w:type="dxa"/>
            <w:shd w:val="clear" w:color="auto" w:fill="auto"/>
            <w:vAlign w:val="bottom"/>
          </w:tcPr>
          <w:p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Term  liquid  assets  to  total  liability</w:t>
            </w:r>
          </w:p>
        </w:tc>
      </w:tr>
      <w:tr w:rsidR="002B5DAE" w:rsidRPr="00785485" w:rsidTr="000D05DF">
        <w:trPr>
          <w:trHeight w:val="537"/>
        </w:trPr>
        <w:tc>
          <w:tcPr>
            <w:tcW w:w="280" w:type="dxa"/>
            <w:shd w:val="clear" w:color="auto" w:fill="auto"/>
            <w:vAlign w:val="bottom"/>
          </w:tcPr>
          <w:p w:rsidR="002B5DAE" w:rsidRPr="00785485" w:rsidRDefault="002B5DAE" w:rsidP="00785485">
            <w:pPr>
              <w:spacing w:line="360" w:lineRule="auto"/>
              <w:contextualSpacing/>
              <w:mirrorIndents/>
              <w:rPr>
                <w:rFonts w:ascii="Times New Roman" w:hAnsi="Times New Roman"/>
                <w:sz w:val="24"/>
                <w:szCs w:val="24"/>
              </w:rPr>
            </w:pPr>
          </w:p>
        </w:tc>
        <w:tc>
          <w:tcPr>
            <w:tcW w:w="3040" w:type="dxa"/>
            <w:shd w:val="clear" w:color="auto" w:fill="auto"/>
            <w:vAlign w:val="bottom"/>
          </w:tcPr>
          <w:p w:rsidR="002B5DAE" w:rsidRPr="00785485" w:rsidRDefault="002B5DAE" w:rsidP="00785485">
            <w:pPr>
              <w:spacing w:line="360" w:lineRule="auto"/>
              <w:contextualSpacing/>
              <w:mirrorIndents/>
              <w:rPr>
                <w:rFonts w:ascii="Times New Roman" w:hAnsi="Times New Roman"/>
                <w:sz w:val="24"/>
                <w:szCs w:val="24"/>
              </w:rPr>
            </w:pPr>
          </w:p>
        </w:tc>
        <w:tc>
          <w:tcPr>
            <w:tcW w:w="5360" w:type="dxa"/>
            <w:shd w:val="clear" w:color="auto" w:fill="auto"/>
            <w:vAlign w:val="bottom"/>
          </w:tcPr>
          <w:p w:rsidR="002B5DAE" w:rsidRPr="00785485" w:rsidRDefault="002B5DAE" w:rsidP="00785485">
            <w:pPr>
              <w:spacing w:line="360" w:lineRule="auto"/>
              <w:contextualSpacing/>
              <w:mirrorIndents/>
              <w:rPr>
                <w:rFonts w:ascii="Times New Roman" w:hAnsi="Times New Roman"/>
                <w:sz w:val="24"/>
                <w:szCs w:val="24"/>
              </w:rPr>
            </w:pPr>
            <w:r w:rsidRPr="00785485">
              <w:rPr>
                <w:rFonts w:ascii="Times New Roman" w:hAnsi="Times New Roman"/>
                <w:sz w:val="24"/>
                <w:szCs w:val="24"/>
              </w:rPr>
              <w:t xml:space="preserve">           Deposits</w:t>
            </w:r>
          </w:p>
        </w:tc>
      </w:tr>
      <w:tr w:rsidR="002B5DAE" w:rsidRPr="00785485" w:rsidTr="000D05DF">
        <w:trPr>
          <w:trHeight w:val="567"/>
        </w:trPr>
        <w:tc>
          <w:tcPr>
            <w:tcW w:w="280" w:type="dxa"/>
            <w:shd w:val="clear" w:color="auto" w:fill="auto"/>
            <w:vAlign w:val="bottom"/>
          </w:tcPr>
          <w:p w:rsidR="002B5DAE" w:rsidRPr="00785485" w:rsidRDefault="002B5DAE" w:rsidP="00785485">
            <w:pPr>
              <w:spacing w:line="360" w:lineRule="auto"/>
              <w:contextualSpacing/>
              <w:mirrorIndents/>
              <w:rPr>
                <w:rFonts w:ascii="Times New Roman" w:hAnsi="Times New Roman"/>
                <w:w w:val="92"/>
                <w:sz w:val="24"/>
                <w:szCs w:val="24"/>
                <w:vertAlign w:val="subscript"/>
              </w:rPr>
            </w:pPr>
            <w:r w:rsidRPr="00785485">
              <w:rPr>
                <w:rFonts w:ascii="Times New Roman" w:hAnsi="Times New Roman"/>
                <w:w w:val="92"/>
                <w:sz w:val="24"/>
                <w:szCs w:val="24"/>
              </w:rPr>
              <w:t xml:space="preserve"> X</w:t>
            </w:r>
            <w:r w:rsidRPr="00785485">
              <w:rPr>
                <w:rFonts w:ascii="Times New Roman" w:hAnsi="Times New Roman"/>
                <w:w w:val="92"/>
                <w:sz w:val="24"/>
                <w:szCs w:val="24"/>
                <w:vertAlign w:val="subscript"/>
              </w:rPr>
              <w:t>4</w:t>
            </w:r>
          </w:p>
        </w:tc>
        <w:tc>
          <w:tcPr>
            <w:tcW w:w="3040" w:type="dxa"/>
            <w:shd w:val="clear" w:color="auto" w:fill="auto"/>
            <w:vAlign w:val="bottom"/>
          </w:tcPr>
          <w:p w:rsidR="002B5DAE" w:rsidRPr="00785485" w:rsidRDefault="002B5DAE" w:rsidP="00785485">
            <w:pPr>
              <w:spacing w:line="360" w:lineRule="auto"/>
              <w:ind w:left="40"/>
              <w:contextualSpacing/>
              <w:mirrorIndents/>
              <w:rPr>
                <w:rFonts w:ascii="Times New Roman" w:hAnsi="Times New Roman"/>
                <w:sz w:val="24"/>
                <w:szCs w:val="24"/>
              </w:rPr>
            </w:pPr>
            <w:r w:rsidRPr="00785485">
              <w:rPr>
                <w:rFonts w:ascii="Times New Roman" w:hAnsi="Times New Roman"/>
                <w:sz w:val="24"/>
                <w:szCs w:val="24"/>
              </w:rPr>
              <w:t>(Operational Efficiency)</w:t>
            </w:r>
          </w:p>
        </w:tc>
        <w:tc>
          <w:tcPr>
            <w:tcW w:w="5360" w:type="dxa"/>
            <w:shd w:val="clear" w:color="auto" w:fill="auto"/>
            <w:vAlign w:val="bottom"/>
          </w:tcPr>
          <w:p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operating cost to net operating income</w:t>
            </w:r>
          </w:p>
        </w:tc>
      </w:tr>
      <w:tr w:rsidR="002B5DAE" w:rsidRPr="00785485" w:rsidTr="000D05DF">
        <w:trPr>
          <w:trHeight w:val="552"/>
        </w:trPr>
        <w:tc>
          <w:tcPr>
            <w:tcW w:w="280" w:type="dxa"/>
            <w:shd w:val="clear" w:color="auto" w:fill="auto"/>
            <w:vAlign w:val="bottom"/>
          </w:tcPr>
          <w:p w:rsidR="002B5DAE" w:rsidRPr="00785485" w:rsidRDefault="002B5DAE" w:rsidP="00785485">
            <w:pPr>
              <w:spacing w:line="360" w:lineRule="auto"/>
              <w:contextualSpacing/>
              <w:mirrorIndents/>
              <w:rPr>
                <w:rFonts w:ascii="Times New Roman" w:hAnsi="Times New Roman"/>
                <w:w w:val="92"/>
                <w:sz w:val="24"/>
                <w:szCs w:val="24"/>
                <w:vertAlign w:val="subscript"/>
              </w:rPr>
            </w:pPr>
            <w:r w:rsidRPr="00785485">
              <w:rPr>
                <w:rFonts w:ascii="Times New Roman" w:hAnsi="Times New Roman"/>
                <w:w w:val="92"/>
                <w:sz w:val="24"/>
                <w:szCs w:val="24"/>
              </w:rPr>
              <w:t>X</w:t>
            </w:r>
            <w:r w:rsidRPr="00785485">
              <w:rPr>
                <w:rFonts w:ascii="Times New Roman" w:hAnsi="Times New Roman"/>
                <w:w w:val="92"/>
                <w:sz w:val="24"/>
                <w:szCs w:val="24"/>
                <w:vertAlign w:val="subscript"/>
              </w:rPr>
              <w:t>5</w:t>
            </w:r>
          </w:p>
        </w:tc>
        <w:tc>
          <w:tcPr>
            <w:tcW w:w="3040" w:type="dxa"/>
            <w:shd w:val="clear" w:color="auto" w:fill="auto"/>
            <w:vAlign w:val="bottom"/>
          </w:tcPr>
          <w:p w:rsidR="002B5DAE" w:rsidRPr="00785485" w:rsidRDefault="002B5DAE" w:rsidP="00785485">
            <w:pPr>
              <w:spacing w:line="360" w:lineRule="auto"/>
              <w:ind w:left="40"/>
              <w:contextualSpacing/>
              <w:mirrorIndents/>
              <w:rPr>
                <w:rFonts w:ascii="Times New Roman" w:hAnsi="Times New Roman"/>
                <w:sz w:val="24"/>
                <w:szCs w:val="24"/>
              </w:rPr>
            </w:pPr>
            <w:r w:rsidRPr="00785485">
              <w:rPr>
                <w:rFonts w:ascii="Times New Roman" w:hAnsi="Times New Roman"/>
                <w:sz w:val="24"/>
                <w:szCs w:val="24"/>
              </w:rPr>
              <w:t>(Income Diversification)</w:t>
            </w:r>
          </w:p>
        </w:tc>
        <w:tc>
          <w:tcPr>
            <w:tcW w:w="5360" w:type="dxa"/>
            <w:shd w:val="clear" w:color="auto" w:fill="auto"/>
            <w:vAlign w:val="bottom"/>
          </w:tcPr>
          <w:p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non-interest income to total income</w:t>
            </w:r>
          </w:p>
        </w:tc>
      </w:tr>
    </w:tbl>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2B5DAE" w:rsidP="00785485">
      <w:pPr>
        <w:pStyle w:val="NoSpacing"/>
        <w:spacing w:line="360" w:lineRule="auto"/>
        <w:jc w:val="both"/>
        <w:rPr>
          <w:rFonts w:ascii="Times New Roman" w:hAnsi="Times New Roman"/>
          <w:b/>
          <w:sz w:val="24"/>
          <w:szCs w:val="24"/>
        </w:rPr>
      </w:pPr>
      <w:r w:rsidRPr="00785485">
        <w:rPr>
          <w:rFonts w:ascii="Times New Roman" w:hAnsi="Times New Roman"/>
          <w:b/>
          <w:sz w:val="24"/>
          <w:szCs w:val="24"/>
        </w:rPr>
        <w:t>DATA ANALYSIS TECHNIQUES</w:t>
      </w:r>
    </w:p>
    <w:p w:rsidR="002B5DAE" w:rsidRPr="00785485" w:rsidRDefault="002B5DAE" w:rsidP="00785485">
      <w:pPr>
        <w:pStyle w:val="NoSpacing"/>
        <w:spacing w:line="360" w:lineRule="auto"/>
        <w:ind w:firstLine="720"/>
        <w:jc w:val="both"/>
        <w:rPr>
          <w:rFonts w:ascii="Times New Roman" w:hAnsi="Times New Roman"/>
          <w:sz w:val="24"/>
          <w:szCs w:val="24"/>
        </w:rPr>
      </w:pPr>
      <w:r w:rsidRPr="00785485">
        <w:rPr>
          <w:rFonts w:ascii="Times New Roman" w:hAnsi="Times New Roman"/>
          <w:sz w:val="24"/>
          <w:szCs w:val="24"/>
        </w:rPr>
        <w:t>We study a sample because it would, be virtually impossible to study the entire population due to constraints of time and costs.</w:t>
      </w:r>
    </w:p>
    <w:p w:rsidR="002B5DAE" w:rsidRPr="00785485" w:rsidRDefault="002B5DAE" w:rsidP="00785485">
      <w:pPr>
        <w:pStyle w:val="NoSpacing"/>
        <w:spacing w:line="360" w:lineRule="auto"/>
        <w:jc w:val="both"/>
        <w:rPr>
          <w:rFonts w:ascii="Times New Roman" w:hAnsi="Times New Roman"/>
          <w:sz w:val="24"/>
          <w:szCs w:val="24"/>
        </w:rPr>
      </w:pPr>
      <w:r w:rsidRPr="00785485">
        <w:rPr>
          <w:rFonts w:ascii="Times New Roman" w:hAnsi="Times New Roman"/>
          <w:sz w:val="24"/>
          <w:szCs w:val="24"/>
        </w:rPr>
        <w:t>However, the sample must be representative of the population from which It is draw. In other to determine the sample size, the researcher used a 5% level of significance; the sample size was derived using Yaro Yammane formula</w:t>
      </w:r>
    </w:p>
    <w:p w:rsidR="002B5DAE" w:rsidRPr="00785485" w:rsidRDefault="002B5DAE" w:rsidP="00785485">
      <w:pPr>
        <w:pStyle w:val="NoSpacing"/>
        <w:spacing w:line="360" w:lineRule="auto"/>
        <w:jc w:val="both"/>
        <w:rPr>
          <w:rFonts w:ascii="Times New Roman" w:eastAsia="Times New Roman" w:hAnsi="Times New Roman"/>
          <w:sz w:val="24"/>
          <w:szCs w:val="24"/>
        </w:rPr>
      </w:pPr>
      <m:oMathPara>
        <m:oMath>
          <m:r>
            <w:rPr>
              <w:rFonts w:ascii="Cambria Math" w:hAnsi="Cambria Math"/>
              <w:sz w:val="24"/>
              <w:szCs w:val="24"/>
            </w:rPr>
            <m:t>n</m:t>
          </m:r>
          <m:r>
            <w:rPr>
              <w:rFonts w:ascii="Cambria Math" w:hAnsi="Times New Roman"/>
              <w:sz w:val="24"/>
              <w:szCs w:val="24"/>
            </w:rPr>
            <m:t xml:space="preserve">= </m:t>
          </m:r>
          <m:f>
            <m:fPr>
              <m:ctrlPr>
                <w:rPr>
                  <w:rFonts w:ascii="Cambria Math" w:hAnsi="Times New Roman"/>
                  <w:i/>
                  <w:sz w:val="24"/>
                  <w:szCs w:val="24"/>
                </w:rPr>
              </m:ctrlPr>
            </m:fPr>
            <m:num>
              <m:r>
                <w:rPr>
                  <w:rFonts w:ascii="Cambria Math" w:hAnsi="Cambria Math"/>
                  <w:sz w:val="24"/>
                  <w:szCs w:val="24"/>
                </w:rPr>
                <m:t>N</m:t>
              </m:r>
            </m:num>
            <m:den>
              <m:r>
                <w:rPr>
                  <w:rFonts w:ascii="Cambria Math" w:hAnsi="Times New Roman"/>
                  <w:sz w:val="24"/>
                  <w:szCs w:val="24"/>
                </w:rPr>
                <m:t>1+</m:t>
              </m:r>
              <m:r>
                <w:rPr>
                  <w:rFonts w:ascii="Cambria Math" w:hAnsi="Cambria Math"/>
                  <w:sz w:val="24"/>
                  <w:szCs w:val="24"/>
                </w:rPr>
                <m:t>N</m:t>
              </m:r>
              <m:sSup>
                <m:sSupPr>
                  <m:ctrlPr>
                    <w:rPr>
                      <w:rFonts w:ascii="Cambria Math" w:hAnsi="Times New Roman"/>
                      <w:i/>
                      <w:sz w:val="24"/>
                      <w:szCs w:val="24"/>
                    </w:rPr>
                  </m:ctrlPr>
                </m:sSupPr>
                <m:e>
                  <m:r>
                    <w:rPr>
                      <w:rFonts w:ascii="Cambria Math" w:hAnsi="Times New Roman"/>
                      <w:sz w:val="24"/>
                      <w:szCs w:val="24"/>
                    </w:rPr>
                    <m:t>(</m:t>
                  </m:r>
                  <m:r>
                    <w:rPr>
                      <w:rFonts w:ascii="Cambria Math" w:hAnsi="Cambria Math"/>
                      <w:sz w:val="24"/>
                      <w:szCs w:val="24"/>
                    </w:rPr>
                    <m:t>e</m:t>
                  </m:r>
                  <m:r>
                    <w:rPr>
                      <w:rFonts w:ascii="Cambria Math" w:hAnsi="Times New Roman"/>
                      <w:sz w:val="24"/>
                      <w:szCs w:val="24"/>
                    </w:rPr>
                    <m:t>)</m:t>
                  </m:r>
                </m:e>
                <m:sup>
                  <m:r>
                    <w:rPr>
                      <w:rFonts w:ascii="Cambria Math" w:hAnsi="Times New Roman"/>
                      <w:sz w:val="24"/>
                      <w:szCs w:val="24"/>
                    </w:rPr>
                    <m:t>2</m:t>
                  </m:r>
                </m:sup>
              </m:sSup>
            </m:den>
          </m:f>
        </m:oMath>
      </m:oMathPara>
    </w:p>
    <w:p w:rsidR="002B5DAE" w:rsidRPr="00785485" w:rsidRDefault="002B5DAE" w:rsidP="00785485">
      <w:pPr>
        <w:pStyle w:val="NoSpacing"/>
        <w:spacing w:line="360" w:lineRule="auto"/>
        <w:jc w:val="both"/>
        <w:rPr>
          <w:rFonts w:ascii="Times New Roman" w:eastAsia="Times New Roman" w:hAnsi="Times New Roman"/>
          <w:sz w:val="24"/>
          <w:szCs w:val="24"/>
        </w:rPr>
      </w:pPr>
      <w:r w:rsidRPr="00785485">
        <w:rPr>
          <w:rFonts w:ascii="Times New Roman" w:eastAsia="Times New Roman" w:hAnsi="Times New Roman"/>
          <w:sz w:val="24"/>
          <w:szCs w:val="24"/>
        </w:rPr>
        <w:t>Where n = sample size</w:t>
      </w:r>
    </w:p>
    <w:p w:rsidR="002B5DAE" w:rsidRPr="00785485" w:rsidRDefault="002B5DAE" w:rsidP="00785485">
      <w:pPr>
        <w:pStyle w:val="NoSpacing"/>
        <w:spacing w:line="360" w:lineRule="auto"/>
        <w:jc w:val="both"/>
        <w:rPr>
          <w:rFonts w:ascii="Times New Roman" w:eastAsia="Times New Roman" w:hAnsi="Times New Roman"/>
          <w:sz w:val="24"/>
          <w:szCs w:val="24"/>
        </w:rPr>
      </w:pPr>
      <w:r w:rsidRPr="00785485">
        <w:rPr>
          <w:rFonts w:ascii="Times New Roman" w:eastAsia="Times New Roman" w:hAnsi="Times New Roman"/>
          <w:sz w:val="24"/>
          <w:szCs w:val="24"/>
        </w:rPr>
        <w:t>N = population of the study</w:t>
      </w:r>
    </w:p>
    <w:p w:rsidR="002B5DAE" w:rsidRPr="00785485" w:rsidRDefault="002B5DAE" w:rsidP="00785485">
      <w:pPr>
        <w:pStyle w:val="NoSpacing"/>
        <w:spacing w:line="360" w:lineRule="auto"/>
        <w:jc w:val="both"/>
        <w:rPr>
          <w:rFonts w:ascii="Times New Roman" w:eastAsia="Times New Roman" w:hAnsi="Times New Roman"/>
          <w:sz w:val="24"/>
          <w:szCs w:val="24"/>
        </w:rPr>
      </w:pPr>
      <w:r w:rsidRPr="00785485">
        <w:rPr>
          <w:rFonts w:ascii="Times New Roman" w:eastAsia="Times New Roman" w:hAnsi="Times New Roman"/>
          <w:sz w:val="24"/>
          <w:szCs w:val="24"/>
        </w:rPr>
        <w:tab/>
        <w:t xml:space="preserve">  e = level of significance/ error estimate a 5%</w:t>
      </w:r>
    </w:p>
    <w:p w:rsidR="002B5DAE" w:rsidRPr="00785485" w:rsidRDefault="002B5DAE" w:rsidP="00785485">
      <w:pPr>
        <w:spacing w:after="0" w:line="360" w:lineRule="auto"/>
        <w:rPr>
          <w:rFonts w:ascii="Times New Roman" w:hAnsi="Times New Roman"/>
          <w:b/>
          <w:bCs/>
          <w:sz w:val="24"/>
          <w:szCs w:val="24"/>
        </w:rPr>
      </w:pPr>
      <w:r w:rsidRPr="00785485">
        <w:rPr>
          <w:rFonts w:ascii="Times New Roman" w:eastAsia="Times New Roman" w:hAnsi="Times New Roman"/>
          <w:sz w:val="24"/>
          <w:szCs w:val="24"/>
        </w:rPr>
        <w:tab/>
        <w:t xml:space="preserve">  I = constant</w:t>
      </w: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5C6D0F" w:rsidRDefault="005C6D0F" w:rsidP="00785485">
      <w:pPr>
        <w:spacing w:after="0" w:line="360" w:lineRule="auto"/>
        <w:jc w:val="center"/>
        <w:rPr>
          <w:rFonts w:ascii="Times New Roman" w:hAnsi="Times New Roman"/>
          <w:b/>
          <w:bCs/>
          <w:sz w:val="24"/>
          <w:szCs w:val="24"/>
        </w:rPr>
      </w:pPr>
    </w:p>
    <w:p w:rsidR="005C6D0F" w:rsidRDefault="005C6D0F"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lastRenderedPageBreak/>
        <w:t>CHAPTER FOUR</w:t>
      </w:r>
    </w:p>
    <w:p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t>DATA PRESENTATION, ANALYSIS AND INTERPRETATION</w:t>
      </w: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4.1</w:t>
      </w:r>
      <w:r w:rsidRPr="00785485">
        <w:rPr>
          <w:rFonts w:ascii="Times New Roman" w:hAnsi="Times New Roman"/>
          <w:b/>
          <w:bCs/>
          <w:sz w:val="24"/>
          <w:szCs w:val="24"/>
        </w:rPr>
        <w:tab/>
        <w:t xml:space="preserve">INTRODUCTION </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b/>
          <w:bCs/>
          <w:sz w:val="24"/>
          <w:szCs w:val="24"/>
        </w:rPr>
        <w:tab/>
      </w:r>
      <w:r w:rsidRPr="00785485">
        <w:rPr>
          <w:rFonts w:ascii="Times New Roman" w:hAnsi="Times New Roman"/>
          <w:sz w:val="24"/>
          <w:szCs w:val="24"/>
        </w:rPr>
        <w:t xml:space="preserve">This chapter focuses on data presentation analysis and interpretation of data obtained from questionnaire administered for this research work. </w:t>
      </w: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4.2</w:t>
      </w:r>
      <w:r w:rsidRPr="00785485">
        <w:rPr>
          <w:rFonts w:ascii="Times New Roman" w:hAnsi="Times New Roman"/>
          <w:b/>
          <w:bCs/>
          <w:sz w:val="24"/>
          <w:szCs w:val="24"/>
        </w:rPr>
        <w:tab/>
        <w:t xml:space="preserve">DATA PRESENTATION AND ANALYSIS </w:t>
      </w:r>
    </w:p>
    <w:p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t>SECTION A</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2B5DAE" w:rsidRPr="00785485" w:rsidTr="000D05DF">
        <w:trPr>
          <w:cantSplit/>
        </w:trPr>
        <w:tc>
          <w:tcPr>
            <w:tcW w:w="6746"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 Sex</w:t>
            </w:r>
          </w:p>
        </w:tc>
      </w:tr>
      <w:tr w:rsidR="002B5DAE" w:rsidRPr="00785485" w:rsidTr="000D05DF">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1023"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6"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9"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r>
      <w:tr w:rsidR="002B5DAE" w:rsidRPr="00785485"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102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6"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9"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1023"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1 above shows that 11(55%) of the respondents are Males, while 9(45%) are females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281"/>
        <w:gridCol w:w="901"/>
        <w:gridCol w:w="1393"/>
        <w:gridCol w:w="1486"/>
      </w:tblGrid>
      <w:tr w:rsidR="002B5DAE" w:rsidRPr="00785485" w:rsidTr="000D05DF">
        <w:trPr>
          <w:cantSplit/>
        </w:trPr>
        <w:tc>
          <w:tcPr>
            <w:tcW w:w="7740"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2: Age</w:t>
            </w:r>
          </w:p>
        </w:tc>
      </w:tr>
      <w:tr w:rsidR="002B5DAE" w:rsidRPr="00785485" w:rsidTr="000D05DF">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81"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01"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25 years and below</w:t>
            </w:r>
          </w:p>
        </w:tc>
        <w:tc>
          <w:tcPr>
            <w:tcW w:w="1281"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01"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3"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6"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r>
      <w:tr w:rsidR="002B5DAE" w:rsidRPr="00785485"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31-35 years</w:t>
            </w:r>
          </w:p>
        </w:tc>
        <w:tc>
          <w:tcPr>
            <w:tcW w:w="128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0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6"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41 years and above</w:t>
            </w:r>
          </w:p>
        </w:tc>
        <w:tc>
          <w:tcPr>
            <w:tcW w:w="128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0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6"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81"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01"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2 above shows that 11(55%) of the respondents are within the ages of 25 years and below, 8 (40%) are within the ages of 31-35years, while 1(5%) are within the ages of 41 years and above</w:t>
      </w:r>
    </w:p>
    <w:tbl>
      <w:tblPr>
        <w:tblW w:w="714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1352"/>
        <w:gridCol w:w="1258"/>
        <w:gridCol w:w="927"/>
        <w:gridCol w:w="1395"/>
        <w:gridCol w:w="1488"/>
      </w:tblGrid>
      <w:tr w:rsidR="002B5DAE" w:rsidRPr="00785485" w:rsidTr="000D05DF">
        <w:trPr>
          <w:cantSplit/>
        </w:trPr>
        <w:tc>
          <w:tcPr>
            <w:tcW w:w="7140"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3: Educational Qualification</w:t>
            </w:r>
          </w:p>
        </w:tc>
      </w:tr>
      <w:tr w:rsidR="002B5DAE" w:rsidRPr="00785485" w:rsidTr="000D05DF">
        <w:trPr>
          <w:cantSplit/>
        </w:trPr>
        <w:tc>
          <w:tcPr>
            <w:tcW w:w="2072"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58"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27"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352"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OND/NCE</w:t>
            </w:r>
          </w:p>
        </w:tc>
        <w:tc>
          <w:tcPr>
            <w:tcW w:w="1258"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27"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r>
      <w:tr w:rsidR="002B5DAE" w:rsidRPr="00785485" w:rsidTr="000D05D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352"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HND/B.Sc</w:t>
            </w:r>
          </w:p>
        </w:tc>
        <w:tc>
          <w:tcPr>
            <w:tcW w:w="1258"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27"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rsidTr="000D05D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352"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M.Sc/MED</w:t>
            </w:r>
          </w:p>
        </w:tc>
        <w:tc>
          <w:tcPr>
            <w:tcW w:w="1258"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27"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352"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58"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27"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3 above shows that 9 (45%) of the respondents are OND/NCE holders, 9 (45%) are HND/B.Sc holders, while 2 (10%) are M.Sc/MED holders.</w:t>
      </w:r>
    </w:p>
    <w:p w:rsidR="002B5DAE" w:rsidRPr="00785485" w:rsidRDefault="002B5DAE" w:rsidP="00785485">
      <w:pPr>
        <w:spacing w:after="0" w:line="360" w:lineRule="auto"/>
        <w:ind w:firstLine="720"/>
        <w:jc w:val="center"/>
        <w:rPr>
          <w:rFonts w:ascii="Times New Roman" w:hAnsi="Times New Roman"/>
          <w:b/>
          <w:sz w:val="24"/>
          <w:szCs w:val="24"/>
        </w:rPr>
      </w:pPr>
      <w:r w:rsidRPr="00785485">
        <w:rPr>
          <w:rFonts w:ascii="Times New Roman" w:hAnsi="Times New Roman"/>
          <w:b/>
          <w:sz w:val="24"/>
          <w:szCs w:val="24"/>
        </w:rPr>
        <w:t>SECTION B</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2B5DAE" w:rsidRPr="00785485" w:rsidTr="000D05DF">
        <w:trPr>
          <w:cantSplit/>
        </w:trPr>
        <w:tc>
          <w:tcPr>
            <w:tcW w:w="7434"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 Extent to which first bank of Nigeria Plc use client appraisal in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4:</w:t>
            </w:r>
          </w:p>
        </w:tc>
      </w:tr>
      <w:tr w:rsidR="002B5DAE" w:rsidRPr="00785485" w:rsidTr="000D05DF">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53"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53"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4"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7"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Moderate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12</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Low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53"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4 above shows that 2 (10%) of the respondents accepted Great extent, 12(60%) accepted moderate extent, while 6(30%) chooses low extent.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241"/>
        <w:gridCol w:w="941"/>
        <w:gridCol w:w="1394"/>
        <w:gridCol w:w="1487"/>
      </w:tblGrid>
      <w:tr w:rsidR="002B5DAE" w:rsidRPr="00785485" w:rsidTr="000D05DF">
        <w:trPr>
          <w:cantSplit/>
        </w:trPr>
        <w:tc>
          <w:tcPr>
            <w:tcW w:w="760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2: Client Appraisal Is A Viable Strategy For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5</w:t>
            </w:r>
          </w:p>
        </w:tc>
      </w:tr>
      <w:tr w:rsidR="002B5DAE" w:rsidRPr="00785485" w:rsidTr="000D05D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41"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41"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41"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41"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4"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7"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sidRPr="00785485">
              <w:rPr>
                <w:rFonts w:ascii="Times New Roman" w:hAnsi="Times New Roman"/>
                <w:sz w:val="24"/>
                <w:szCs w:val="24"/>
              </w:rPr>
              <w:t>Dis</w:t>
            </w:r>
            <w:r w:rsidR="00EF55B3">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41"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41"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5 above shows that 8(40%)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8(40%) </w:t>
      </w:r>
      <w:r w:rsidR="00EF55B3">
        <w:rPr>
          <w:rFonts w:ascii="Times New Roman" w:hAnsi="Times New Roman"/>
          <w:sz w:val="24"/>
          <w:szCs w:val="24"/>
        </w:rPr>
        <w:t>Agree</w:t>
      </w:r>
      <w:r w:rsidRPr="00785485">
        <w:rPr>
          <w:rFonts w:ascii="Times New Roman" w:hAnsi="Times New Roman"/>
          <w:sz w:val="24"/>
          <w:szCs w:val="24"/>
        </w:rPr>
        <w:t xml:space="preserve">d, 3(15%) are neutral, while 1(5%) strongly </w:t>
      </w:r>
      <w:r w:rsidR="00EF55B3" w:rsidRPr="00785485">
        <w:rPr>
          <w:rFonts w:ascii="Times New Roman" w:hAnsi="Times New Roman"/>
          <w:sz w:val="24"/>
          <w:szCs w:val="24"/>
        </w:rPr>
        <w:t>dis</w:t>
      </w:r>
      <w:r w:rsidR="00EF55B3">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3: Client appraisal considers the characters of the customers seeking credit facilities</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6</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sidR="00EF55B3">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6 above shows that 1(5%) of the respondents strongly </w:t>
      </w:r>
      <w:r w:rsidR="00EF55B3">
        <w:rPr>
          <w:rFonts w:ascii="Times New Roman" w:hAnsi="Times New Roman"/>
          <w:sz w:val="24"/>
          <w:szCs w:val="24"/>
        </w:rPr>
        <w:t>Agree</w:t>
      </w:r>
      <w:r w:rsidRPr="00785485">
        <w:rPr>
          <w:rFonts w:ascii="Times New Roman" w:hAnsi="Times New Roman"/>
          <w:sz w:val="24"/>
          <w:szCs w:val="24"/>
        </w:rPr>
        <w:t xml:space="preserve">d with the question, 11(55%) </w:t>
      </w:r>
      <w:r w:rsidR="00EF55B3">
        <w:rPr>
          <w:rFonts w:ascii="Times New Roman" w:hAnsi="Times New Roman"/>
          <w:sz w:val="24"/>
          <w:szCs w:val="24"/>
        </w:rPr>
        <w:t>Agreed</w:t>
      </w:r>
      <w:r w:rsidRPr="00785485">
        <w:rPr>
          <w:rFonts w:ascii="Times New Roman" w:hAnsi="Times New Roman"/>
          <w:sz w:val="24"/>
          <w:szCs w:val="24"/>
        </w:rPr>
        <w:t xml:space="preserve">, 7(35%) are neutral, while 1(5%) </w:t>
      </w:r>
      <w:r w:rsidR="00EF55B3" w:rsidRPr="00785485">
        <w:rPr>
          <w:rFonts w:ascii="Times New Roman" w:hAnsi="Times New Roman"/>
          <w:sz w:val="24"/>
          <w:szCs w:val="24"/>
        </w:rPr>
        <w:t>dis</w:t>
      </w:r>
      <w:r w:rsidR="00EF55B3">
        <w:rPr>
          <w:rFonts w:ascii="Times New Roman" w:hAnsi="Times New Roman"/>
          <w:sz w:val="24"/>
          <w:szCs w:val="24"/>
        </w:rPr>
        <w:t>agree</w:t>
      </w:r>
      <w:r w:rsidR="00EF55B3" w:rsidRPr="00785485">
        <w:rPr>
          <w:rFonts w:ascii="Times New Roman" w:hAnsi="Times New Roman"/>
          <w:sz w:val="24"/>
          <w:szCs w:val="24"/>
        </w:rPr>
        <w:t>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4: Aspects of collateral are considered while appraising client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7</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7 above shows that 7(35)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9(45%) </w:t>
      </w:r>
      <w:r w:rsidR="005C6D0F">
        <w:rPr>
          <w:rFonts w:ascii="Times New Roman" w:hAnsi="Times New Roman"/>
          <w:sz w:val="24"/>
          <w:szCs w:val="24"/>
        </w:rPr>
        <w:t>Agreed</w:t>
      </w:r>
      <w:r w:rsidRPr="00785485">
        <w:rPr>
          <w:rFonts w:ascii="Times New Roman" w:hAnsi="Times New Roman"/>
          <w:sz w:val="24"/>
          <w:szCs w:val="24"/>
        </w:rPr>
        <w:t xml:space="preserve">, 4(20%) are neutral, while no respondent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5: First Bank Has Competent Personnel For Carrying Out Client Appraisal</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8</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8 above shows that 3(15%) of the respondents strongly </w:t>
      </w:r>
      <w:r w:rsidR="005C6D0F">
        <w:rPr>
          <w:rFonts w:ascii="Times New Roman" w:hAnsi="Times New Roman"/>
          <w:sz w:val="24"/>
          <w:szCs w:val="24"/>
        </w:rPr>
        <w:t>Agreed</w:t>
      </w:r>
      <w:r w:rsidRPr="00785485">
        <w:rPr>
          <w:rFonts w:ascii="Times New Roman" w:hAnsi="Times New Roman"/>
          <w:sz w:val="24"/>
          <w:szCs w:val="24"/>
        </w:rPr>
        <w:t xml:space="preserve"> with the question, 10(50%) </w:t>
      </w:r>
      <w:r w:rsidR="005C6D0F">
        <w:rPr>
          <w:rFonts w:ascii="Times New Roman" w:hAnsi="Times New Roman"/>
          <w:sz w:val="24"/>
          <w:szCs w:val="24"/>
        </w:rPr>
        <w:t>Agreed</w:t>
      </w:r>
      <w:r w:rsidRPr="00785485">
        <w:rPr>
          <w:rFonts w:ascii="Times New Roman" w:hAnsi="Times New Roman"/>
          <w:sz w:val="24"/>
          <w:szCs w:val="24"/>
        </w:rPr>
        <w:t xml:space="preserve">, 7(35%)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5C6D0F" w:rsidRDefault="005C6D0F" w:rsidP="00785485">
      <w:pPr>
        <w:spacing w:after="0" w:line="360" w:lineRule="auto"/>
        <w:ind w:firstLine="720"/>
        <w:rPr>
          <w:rFonts w:ascii="Times New Roman" w:hAnsi="Times New Roman"/>
          <w:sz w:val="24"/>
          <w:szCs w:val="24"/>
        </w:rPr>
      </w:pPr>
    </w:p>
    <w:p w:rsidR="005C6D0F" w:rsidRPr="00785485" w:rsidRDefault="005C6D0F" w:rsidP="00785485">
      <w:pPr>
        <w:spacing w:after="0" w:line="360" w:lineRule="auto"/>
        <w:ind w:firstLine="720"/>
        <w:rPr>
          <w:rFonts w:ascii="Times New Roman" w:hAnsi="Times New Roman"/>
          <w:sz w:val="24"/>
          <w:szCs w:val="24"/>
        </w:rPr>
      </w:pP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2B5DAE" w:rsidRPr="00785485" w:rsidTr="000D05DF">
        <w:trPr>
          <w:cantSplit/>
        </w:trPr>
        <w:tc>
          <w:tcPr>
            <w:tcW w:w="7434"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6: Extent Which First Bank Of Nigeria Plc Use Credit Risk In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9</w:t>
            </w:r>
          </w:p>
        </w:tc>
      </w:tr>
      <w:tr w:rsidR="002B5DAE" w:rsidRPr="00785485" w:rsidTr="000D05DF">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53"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53"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4"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7"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Moderate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Low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53"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Table 9 above shows that 7 (35%) of the respondents accepted Great extent, 10(50%) accepted moderate extent, while 3(15%) chooses low extent.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293"/>
        <w:gridCol w:w="971"/>
        <w:gridCol w:w="270"/>
        <w:gridCol w:w="649"/>
        <w:gridCol w:w="292"/>
        <w:gridCol w:w="1103"/>
        <w:gridCol w:w="291"/>
        <w:gridCol w:w="1197"/>
        <w:gridCol w:w="290"/>
      </w:tblGrid>
      <w:tr w:rsidR="002B5DAE" w:rsidRPr="00785485" w:rsidTr="000D05DF">
        <w:trPr>
          <w:gridAfter w:val="1"/>
          <w:wAfter w:w="290" w:type="dxa"/>
          <w:cantSplit/>
        </w:trPr>
        <w:tc>
          <w:tcPr>
            <w:tcW w:w="7312" w:type="dxa"/>
            <w:gridSpan w:val="10"/>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7: Imposing Loan Size Limits Is Viable Strategy In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10</w:t>
            </w:r>
          </w:p>
        </w:tc>
      </w:tr>
      <w:tr w:rsidR="002B5DAE" w:rsidRPr="00785485" w:rsidTr="000D05DF">
        <w:trPr>
          <w:gridAfter w:val="1"/>
          <w:wAfter w:w="290" w:type="dxa"/>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gridSpan w:val="2"/>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gridSpan w:val="2"/>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gridSpan w:val="2"/>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gridSpan w:val="2"/>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gridAfter w:val="1"/>
          <w:wAfter w:w="29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gridSpan w:val="2"/>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gridSpan w:val="2"/>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gridSpan w:val="2"/>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gridSpan w:val="2"/>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r>
      <w:tr w:rsidR="002B5DAE" w:rsidRPr="00785485"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19"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5"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8"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sidR="00EF55B3">
              <w:rPr>
                <w:rFonts w:ascii="Times New Roman" w:hAnsi="Times New Roman"/>
                <w:sz w:val="24"/>
                <w:szCs w:val="24"/>
              </w:rPr>
              <w:t>Agreed</w:t>
            </w:r>
          </w:p>
        </w:tc>
        <w:tc>
          <w:tcPr>
            <w:tcW w:w="1264"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gridSpan w:val="2"/>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gridSpan w:val="2"/>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gridSpan w:val="2"/>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gridSpan w:val="2"/>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r w:rsidR="002B5DAE" w:rsidRPr="00785485" w:rsidTr="000D05DF">
        <w:trPr>
          <w:cantSplit/>
        </w:trPr>
        <w:tc>
          <w:tcPr>
            <w:tcW w:w="7602" w:type="dxa"/>
            <w:gridSpan w:val="11"/>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Table 10 above shows that 4(20%) of the respondents strongly </w:t>
            </w:r>
            <w:r w:rsidR="005C6D0F">
              <w:rPr>
                <w:rFonts w:ascii="Times New Roman" w:hAnsi="Times New Roman"/>
                <w:sz w:val="24"/>
                <w:szCs w:val="24"/>
              </w:rPr>
              <w:t>Agreed</w:t>
            </w:r>
            <w:r w:rsidRPr="00785485">
              <w:rPr>
                <w:rFonts w:ascii="Times New Roman" w:hAnsi="Times New Roman"/>
                <w:sz w:val="24"/>
                <w:szCs w:val="24"/>
              </w:rPr>
              <w:t xml:space="preserve"> with the question, 11(55%) </w:t>
            </w:r>
            <w:r w:rsidR="005C6D0F">
              <w:rPr>
                <w:rFonts w:ascii="Times New Roman" w:hAnsi="Times New Roman"/>
                <w:sz w:val="24"/>
                <w:szCs w:val="24"/>
              </w:rPr>
              <w:t>Agree</w:t>
            </w:r>
            <w:r w:rsidRPr="00785485">
              <w:rPr>
                <w:rFonts w:ascii="Times New Roman" w:hAnsi="Times New Roman"/>
                <w:sz w:val="24"/>
                <w:szCs w:val="24"/>
              </w:rPr>
              <w:t xml:space="preserve">d, 4(20%) are neutral, 1 (5%)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 xml:space="preserve">, while no respondents strongly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Question 8: The Use Of Credit Checks On Regular Basis Enhance Credit Management</w:t>
            </w:r>
          </w:p>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11</w:t>
            </w:r>
          </w:p>
        </w:tc>
      </w:tr>
      <w:tr w:rsidR="002B5DAE" w:rsidRPr="00785485" w:rsidTr="000D05DF">
        <w:trPr>
          <w:cantSplit/>
        </w:trPr>
        <w:tc>
          <w:tcPr>
            <w:tcW w:w="2539" w:type="dxa"/>
            <w:gridSpan w:val="3"/>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41" w:type="dxa"/>
            <w:gridSpan w:val="2"/>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41" w:type="dxa"/>
            <w:gridSpan w:val="2"/>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gridSpan w:val="2"/>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gridSpan w:val="2"/>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796" w:type="dxa"/>
            <w:gridSpan w:val="2"/>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41" w:type="dxa"/>
            <w:gridSpan w:val="2"/>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41" w:type="dxa"/>
            <w:gridSpan w:val="2"/>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4" w:type="dxa"/>
            <w:gridSpan w:val="2"/>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7" w:type="dxa"/>
            <w:gridSpan w:val="2"/>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41"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41"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4"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7"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41"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41"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4"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7"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sidR="00EF55B3">
              <w:rPr>
                <w:rFonts w:ascii="Times New Roman" w:hAnsi="Times New Roman"/>
                <w:sz w:val="24"/>
                <w:szCs w:val="24"/>
              </w:rPr>
              <w:t>Agreed</w:t>
            </w:r>
          </w:p>
        </w:tc>
        <w:tc>
          <w:tcPr>
            <w:tcW w:w="1241"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Strongly Dis</w:t>
            </w:r>
            <w:r w:rsidR="00EF55B3">
              <w:rPr>
                <w:rFonts w:ascii="Times New Roman" w:hAnsi="Times New Roman"/>
                <w:sz w:val="24"/>
                <w:szCs w:val="24"/>
              </w:rPr>
              <w:t>Agreed</w:t>
            </w:r>
          </w:p>
        </w:tc>
        <w:tc>
          <w:tcPr>
            <w:tcW w:w="1241"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gridSpan w:val="2"/>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41" w:type="dxa"/>
            <w:gridSpan w:val="2"/>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41" w:type="dxa"/>
            <w:gridSpan w:val="2"/>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gridSpan w:val="2"/>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gridSpan w:val="2"/>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Table 11 above shows that 3(15%)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11(55%) </w:t>
      </w:r>
      <w:r w:rsidR="005C6D0F">
        <w:rPr>
          <w:rFonts w:ascii="Times New Roman" w:hAnsi="Times New Roman"/>
          <w:sz w:val="24"/>
          <w:szCs w:val="24"/>
        </w:rPr>
        <w:t>Agree</w:t>
      </w:r>
      <w:r w:rsidRPr="00785485">
        <w:rPr>
          <w:rFonts w:ascii="Times New Roman" w:hAnsi="Times New Roman"/>
          <w:sz w:val="24"/>
          <w:szCs w:val="24"/>
        </w:rPr>
        <w:t xml:space="preserve">d, 4(20%) are neutral, 1 (5%)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 xml:space="preserve">, while 1 (5%) respondents strongly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241"/>
        <w:gridCol w:w="941"/>
        <w:gridCol w:w="1394"/>
        <w:gridCol w:w="1487"/>
      </w:tblGrid>
      <w:tr w:rsidR="002B5DAE" w:rsidRPr="00785485" w:rsidTr="000D05DF">
        <w:trPr>
          <w:cantSplit/>
        </w:trPr>
        <w:tc>
          <w:tcPr>
            <w:tcW w:w="760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Question 9: Flexible Repayment Periods Improve Loan Repayments</w:t>
            </w:r>
          </w:p>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12</w:t>
            </w:r>
          </w:p>
        </w:tc>
      </w:tr>
      <w:tr w:rsidR="002B5DAE" w:rsidRPr="00785485" w:rsidTr="000D05D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41"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41"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41"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41"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5C6D0F" w:rsidRPr="00785485">
              <w:rPr>
                <w:rFonts w:ascii="Times New Roman" w:hAnsi="Times New Roman"/>
                <w:sz w:val="24"/>
                <w:szCs w:val="24"/>
              </w:rPr>
              <w:t>Dis</w:t>
            </w:r>
            <w:r w:rsidR="005C6D0F">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41"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41"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Table 12 above shows that 5(25%)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10(50%) </w:t>
      </w:r>
      <w:r w:rsidR="005C6D0F">
        <w:rPr>
          <w:rFonts w:ascii="Times New Roman" w:hAnsi="Times New Roman"/>
          <w:sz w:val="24"/>
          <w:szCs w:val="24"/>
        </w:rPr>
        <w:t>Agree</w:t>
      </w:r>
      <w:r w:rsidRPr="00785485">
        <w:rPr>
          <w:rFonts w:ascii="Times New Roman" w:hAnsi="Times New Roman"/>
          <w:sz w:val="24"/>
          <w:szCs w:val="24"/>
        </w:rPr>
        <w:t xml:space="preserve">d, 4(20%) are neutral, 1 (5%) strongly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 xml:space="preserve">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10: Penalty For Late Payment Enhance Customers Commitment To Loan Repayment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13</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Table 13 above shows that 5(25%)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8(40%) </w:t>
      </w:r>
      <w:r w:rsidR="00EF55B3">
        <w:rPr>
          <w:rFonts w:ascii="Times New Roman" w:hAnsi="Times New Roman"/>
          <w:sz w:val="24"/>
          <w:szCs w:val="24"/>
        </w:rPr>
        <w:t>Agreed</w:t>
      </w:r>
      <w:r w:rsidRPr="00785485">
        <w:rPr>
          <w:rFonts w:ascii="Times New Roman" w:hAnsi="Times New Roman"/>
          <w:sz w:val="24"/>
          <w:szCs w:val="24"/>
        </w:rPr>
        <w:t xml:space="preserve">, 7(35%)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11: The Use Of Customer Credit Applications From Improves Monitoring And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14</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12</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14 above shows that 3(15%)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12(60%) </w:t>
      </w:r>
      <w:r w:rsidR="005C6D0F">
        <w:rPr>
          <w:rFonts w:ascii="Times New Roman" w:hAnsi="Times New Roman"/>
          <w:sz w:val="24"/>
          <w:szCs w:val="24"/>
        </w:rPr>
        <w:t>Agree</w:t>
      </w:r>
      <w:r w:rsidRPr="00785485">
        <w:rPr>
          <w:rFonts w:ascii="Times New Roman" w:hAnsi="Times New Roman"/>
          <w:sz w:val="24"/>
          <w:szCs w:val="24"/>
        </w:rPr>
        <w:t xml:space="preserve">d, 5(25%)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Question 12: Interest Rate Changed Affect Performance Of Loan In The Bank</w:t>
            </w:r>
          </w:p>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15</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5C6D0F"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lastRenderedPageBreak/>
        <w:t xml:space="preserve">Table 15 above shows that 8(40%)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7(35%) </w:t>
      </w:r>
      <w:r w:rsidR="005C6D0F">
        <w:rPr>
          <w:rFonts w:ascii="Times New Roman" w:hAnsi="Times New Roman"/>
          <w:sz w:val="24"/>
          <w:szCs w:val="24"/>
        </w:rPr>
        <w:t>Agreed</w:t>
      </w:r>
      <w:r w:rsidRPr="00785485">
        <w:rPr>
          <w:rFonts w:ascii="Times New Roman" w:hAnsi="Times New Roman"/>
          <w:sz w:val="24"/>
          <w:szCs w:val="24"/>
        </w:rPr>
        <w:t xml:space="preserve">, 3(15%) are neutral, while 2 (10%)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2B5DAE" w:rsidRPr="00785485" w:rsidTr="000D05DF">
        <w:trPr>
          <w:cantSplit/>
        </w:trPr>
        <w:tc>
          <w:tcPr>
            <w:tcW w:w="7434"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13: Extent Of Which First Bank Use Collective Policy In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16</w:t>
            </w:r>
          </w:p>
        </w:tc>
      </w:tr>
      <w:tr w:rsidR="002B5DAE" w:rsidRPr="00785485" w:rsidTr="000D05DF">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53"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53"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4"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7"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Moderate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12</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Low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53"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Table 16 above shows that 2 (10%) of the respondents accepted Great extent, 12(60%) accepted moderate extent, while 6(30%) chooses low extent.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14: Available Collection Policies Have Assisted Towards Effective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17</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17 above shows that 10(50%)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4(20%) </w:t>
      </w:r>
      <w:r w:rsidR="005C6D0F">
        <w:rPr>
          <w:rFonts w:ascii="Times New Roman" w:hAnsi="Times New Roman"/>
          <w:sz w:val="24"/>
          <w:szCs w:val="24"/>
        </w:rPr>
        <w:t>Agree</w:t>
      </w:r>
      <w:r w:rsidRPr="00785485">
        <w:rPr>
          <w:rFonts w:ascii="Times New Roman" w:hAnsi="Times New Roman"/>
          <w:sz w:val="24"/>
          <w:szCs w:val="24"/>
        </w:rPr>
        <w:t xml:space="preserve">d, 6(30%) are neutral, while 2 (10%)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lastRenderedPageBreak/>
              <w:t>Question 15: Enforcement To Guarantee Policies Provides Chances For Loan Recovery In Case Of Loan Defaults</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18</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13</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5C6D0F"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18 above shows that 2(10%)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13(65%) </w:t>
      </w:r>
      <w:r w:rsidR="00EF55B3">
        <w:rPr>
          <w:rFonts w:ascii="Times New Roman" w:hAnsi="Times New Roman"/>
          <w:sz w:val="24"/>
          <w:szCs w:val="24"/>
        </w:rPr>
        <w:t>Agreed</w:t>
      </w:r>
      <w:r w:rsidRPr="00785485">
        <w:rPr>
          <w:rFonts w:ascii="Times New Roman" w:hAnsi="Times New Roman"/>
          <w:sz w:val="24"/>
          <w:szCs w:val="24"/>
        </w:rPr>
        <w:t xml:space="preserve">, 4(20%) are neutral, while 1 (5%)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5C6D0F" w:rsidRPr="00785485" w:rsidRDefault="005C6D0F" w:rsidP="00785485">
      <w:pPr>
        <w:spacing w:after="0" w:line="360" w:lineRule="auto"/>
        <w:ind w:firstLine="720"/>
        <w:rPr>
          <w:rFonts w:ascii="Times New Roman" w:hAnsi="Times New Roman"/>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16: A Stringent Policy Is More Effective In Debt Recovery Than A Limit Policy</w:t>
            </w:r>
          </w:p>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19</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19 above shows that 9(45%)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5(25%) </w:t>
      </w:r>
      <w:r w:rsidR="005C6D0F">
        <w:rPr>
          <w:rFonts w:ascii="Times New Roman" w:hAnsi="Times New Roman"/>
          <w:sz w:val="24"/>
          <w:szCs w:val="24"/>
        </w:rPr>
        <w:t>Agreed</w:t>
      </w:r>
      <w:r w:rsidRPr="00785485">
        <w:rPr>
          <w:rFonts w:ascii="Times New Roman" w:hAnsi="Times New Roman"/>
          <w:sz w:val="24"/>
          <w:szCs w:val="24"/>
        </w:rPr>
        <w:t xml:space="preserve">, 6(30%)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lastRenderedPageBreak/>
              <w:t>Question 17: Credit risk management has significant relationship with bank performance</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20</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20 above shows that 2(10%)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14(70%) </w:t>
      </w:r>
      <w:r w:rsidR="005C6D0F">
        <w:rPr>
          <w:rFonts w:ascii="Times New Roman" w:hAnsi="Times New Roman"/>
          <w:sz w:val="24"/>
          <w:szCs w:val="24"/>
        </w:rPr>
        <w:t>Agree</w:t>
      </w:r>
      <w:r w:rsidRPr="00785485">
        <w:rPr>
          <w:rFonts w:ascii="Times New Roman" w:hAnsi="Times New Roman"/>
          <w:sz w:val="24"/>
          <w:szCs w:val="24"/>
        </w:rPr>
        <w:t xml:space="preserve">d, 4(20%)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5C6D0F" w:rsidRDefault="005C6D0F" w:rsidP="00785485">
      <w:pPr>
        <w:spacing w:after="0" w:line="360" w:lineRule="auto"/>
        <w:ind w:firstLine="720"/>
        <w:rPr>
          <w:rFonts w:ascii="Times New Roman" w:hAnsi="Times New Roman"/>
          <w:sz w:val="24"/>
          <w:szCs w:val="24"/>
        </w:rPr>
      </w:pPr>
    </w:p>
    <w:p w:rsidR="005C6D0F" w:rsidRDefault="005C6D0F" w:rsidP="00785485">
      <w:pPr>
        <w:spacing w:after="0" w:line="360" w:lineRule="auto"/>
        <w:ind w:firstLine="720"/>
        <w:rPr>
          <w:rFonts w:ascii="Times New Roman" w:hAnsi="Times New Roman"/>
          <w:sz w:val="24"/>
          <w:szCs w:val="24"/>
        </w:rPr>
      </w:pPr>
    </w:p>
    <w:p w:rsidR="005C6D0F" w:rsidRPr="00785485" w:rsidRDefault="005C6D0F" w:rsidP="00785485">
      <w:pPr>
        <w:spacing w:after="0" w:line="360" w:lineRule="auto"/>
        <w:ind w:firstLine="720"/>
        <w:rPr>
          <w:rFonts w:ascii="Times New Roman" w:hAnsi="Times New Roman"/>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18: Appropriate credit policy enhance bank performance</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21</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21 above shows that 10(50%)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4(20%) </w:t>
      </w:r>
      <w:r w:rsidR="005C6D0F">
        <w:rPr>
          <w:rFonts w:ascii="Times New Roman" w:hAnsi="Times New Roman"/>
          <w:sz w:val="24"/>
          <w:szCs w:val="24"/>
        </w:rPr>
        <w:t>Agree</w:t>
      </w:r>
      <w:r w:rsidRPr="00785485">
        <w:rPr>
          <w:rFonts w:ascii="Times New Roman" w:hAnsi="Times New Roman"/>
          <w:sz w:val="24"/>
          <w:szCs w:val="24"/>
        </w:rPr>
        <w:t xml:space="preserve">d, 6(30%)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lastRenderedPageBreak/>
              <w:t>Question 19: CBN should design appropriate penalty measure against defaulters</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22</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22 above shows that 4(20%)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14(70%) </w:t>
      </w:r>
      <w:r w:rsidR="005C6D0F">
        <w:rPr>
          <w:rFonts w:ascii="Times New Roman" w:hAnsi="Times New Roman"/>
          <w:sz w:val="24"/>
          <w:szCs w:val="24"/>
        </w:rPr>
        <w:t>Agree</w:t>
      </w:r>
      <w:r w:rsidRPr="00785485">
        <w:rPr>
          <w:rFonts w:ascii="Times New Roman" w:hAnsi="Times New Roman"/>
          <w:sz w:val="24"/>
          <w:szCs w:val="24"/>
        </w:rPr>
        <w:t xml:space="preserve">d, 2(10%)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5C6D0F" w:rsidRDefault="005C6D0F" w:rsidP="00785485">
      <w:pPr>
        <w:spacing w:after="0" w:line="360" w:lineRule="auto"/>
        <w:ind w:firstLine="720"/>
        <w:rPr>
          <w:rFonts w:ascii="Times New Roman" w:hAnsi="Times New Roman"/>
          <w:sz w:val="24"/>
          <w:szCs w:val="24"/>
        </w:rPr>
      </w:pPr>
    </w:p>
    <w:p w:rsidR="005C6D0F" w:rsidRDefault="005C6D0F" w:rsidP="00785485">
      <w:pPr>
        <w:spacing w:after="0" w:line="360" w:lineRule="auto"/>
        <w:ind w:firstLine="720"/>
        <w:rPr>
          <w:rFonts w:ascii="Times New Roman" w:hAnsi="Times New Roman"/>
          <w:sz w:val="24"/>
          <w:szCs w:val="24"/>
        </w:rPr>
      </w:pPr>
    </w:p>
    <w:p w:rsidR="005C6D0F" w:rsidRDefault="005C6D0F" w:rsidP="00785485">
      <w:pPr>
        <w:spacing w:after="0" w:line="360" w:lineRule="auto"/>
        <w:ind w:firstLine="720"/>
        <w:rPr>
          <w:rFonts w:ascii="Times New Roman" w:hAnsi="Times New Roman"/>
          <w:sz w:val="24"/>
          <w:szCs w:val="24"/>
        </w:rPr>
      </w:pPr>
    </w:p>
    <w:p w:rsidR="005C6D0F" w:rsidRPr="00785485" w:rsidRDefault="005C6D0F" w:rsidP="00785485">
      <w:pPr>
        <w:spacing w:after="0" w:line="360" w:lineRule="auto"/>
        <w:ind w:firstLine="720"/>
        <w:rPr>
          <w:rFonts w:ascii="Times New Roman" w:hAnsi="Times New Roman"/>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Question 20: Heavy penalty should be imposed on defaulters</w:t>
            </w:r>
          </w:p>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23</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5C6D0F"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23 above shows that 7(35%)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6(30%) </w:t>
      </w:r>
      <w:r w:rsidR="005C6D0F">
        <w:rPr>
          <w:rFonts w:ascii="Times New Roman" w:hAnsi="Times New Roman"/>
          <w:sz w:val="24"/>
          <w:szCs w:val="24"/>
        </w:rPr>
        <w:t>Agree</w:t>
      </w:r>
      <w:r w:rsidRPr="00785485">
        <w:rPr>
          <w:rFonts w:ascii="Times New Roman" w:hAnsi="Times New Roman"/>
          <w:sz w:val="24"/>
          <w:szCs w:val="24"/>
        </w:rPr>
        <w:t xml:space="preserve">d, 4(20%) are neutral, while 3(15%)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lastRenderedPageBreak/>
              <w:t>Question 21: Penalty for late payment should be heavy</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24</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13</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24 above shows that 2(10%)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13(65%) </w:t>
      </w:r>
      <w:r w:rsidR="005C6D0F">
        <w:rPr>
          <w:rFonts w:ascii="Times New Roman" w:hAnsi="Times New Roman"/>
          <w:sz w:val="24"/>
          <w:szCs w:val="24"/>
        </w:rPr>
        <w:t>Agreed</w:t>
      </w:r>
      <w:r w:rsidRPr="00785485">
        <w:rPr>
          <w:rFonts w:ascii="Times New Roman" w:hAnsi="Times New Roman"/>
          <w:sz w:val="24"/>
          <w:szCs w:val="24"/>
        </w:rPr>
        <w:t xml:space="preserve">, 5(25%)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2B5DAE" w:rsidRPr="00785485" w:rsidRDefault="002B5DAE" w:rsidP="00785485">
      <w:pPr>
        <w:pStyle w:val="Heading1"/>
        <w:tabs>
          <w:tab w:val="left" w:pos="960"/>
          <w:tab w:val="left" w:pos="961"/>
        </w:tabs>
        <w:spacing w:line="360" w:lineRule="auto"/>
        <w:ind w:left="0" w:firstLine="0"/>
        <w:rPr>
          <w:sz w:val="24"/>
          <w:szCs w:val="24"/>
        </w:rPr>
      </w:pPr>
      <w:r w:rsidRPr="00785485">
        <w:rPr>
          <w:sz w:val="24"/>
          <w:szCs w:val="24"/>
        </w:rPr>
        <w:t>TESTING OF HYPOTHESES</w:t>
      </w:r>
    </w:p>
    <w:p w:rsidR="002B5DAE" w:rsidRPr="00785485" w:rsidRDefault="002B5DAE" w:rsidP="00785485">
      <w:pPr>
        <w:pStyle w:val="Heading1"/>
        <w:tabs>
          <w:tab w:val="left" w:pos="960"/>
          <w:tab w:val="left" w:pos="961"/>
        </w:tabs>
        <w:spacing w:line="360" w:lineRule="auto"/>
        <w:ind w:left="0" w:firstLine="0"/>
        <w:rPr>
          <w:sz w:val="24"/>
          <w:szCs w:val="24"/>
        </w:rPr>
      </w:pPr>
      <w:r w:rsidRPr="00785485">
        <w:rPr>
          <w:sz w:val="24"/>
          <w:szCs w:val="24"/>
        </w:rPr>
        <w:t>Regression</w:t>
      </w:r>
    </w:p>
    <w:p w:rsidR="002B5DAE" w:rsidRPr="00785485" w:rsidRDefault="002B5DAE" w:rsidP="00785485">
      <w:pPr>
        <w:pStyle w:val="BodyText"/>
        <w:spacing w:line="360" w:lineRule="auto"/>
        <w:ind w:right="618" w:firstLine="480"/>
        <w:rPr>
          <w:sz w:val="24"/>
          <w:szCs w:val="24"/>
        </w:rPr>
      </w:pPr>
      <w:r w:rsidRPr="00785485">
        <w:rPr>
          <w:sz w:val="24"/>
          <w:szCs w:val="24"/>
        </w:rPr>
        <w:t xml:space="preserve">Table 25 presents the result of the regression based on Fixed effects and Random effects techniques. It demonstrates an </w:t>
      </w:r>
      <w:r w:rsidR="005C6D0F">
        <w:rPr>
          <w:sz w:val="24"/>
          <w:szCs w:val="24"/>
        </w:rPr>
        <w:t>Agreem</w:t>
      </w:r>
      <w:r w:rsidR="005C6D0F" w:rsidRPr="00785485">
        <w:rPr>
          <w:sz w:val="24"/>
          <w:szCs w:val="24"/>
        </w:rPr>
        <w:t>ent</w:t>
      </w:r>
      <w:r w:rsidRPr="00785485">
        <w:rPr>
          <w:sz w:val="24"/>
          <w:szCs w:val="24"/>
        </w:rPr>
        <w:t xml:space="preserve"> in the results of the two approaches. The coefficients of the non-performing loan to total loan ratio (NPLLR) and capital adequacy ratio (CAR) are positively related to performance proxies, ROA and ROE. This indicates a direct relationship between the two credit risk parameters and financial performance. Also, the ratio of non-performing loan to total deposit is negatively related with the two performance proxies.</w:t>
      </w:r>
    </w:p>
    <w:p w:rsidR="002B5DAE" w:rsidRPr="00785485" w:rsidRDefault="002B5DAE" w:rsidP="00785485">
      <w:pPr>
        <w:pStyle w:val="BodyText"/>
        <w:spacing w:line="360" w:lineRule="auto"/>
        <w:ind w:left="0"/>
        <w:jc w:val="left"/>
        <w:rPr>
          <w:sz w:val="24"/>
          <w:szCs w:val="24"/>
        </w:rPr>
      </w:pPr>
    </w:p>
    <w:p w:rsidR="002B5DAE" w:rsidRPr="00785485" w:rsidRDefault="002B5DAE" w:rsidP="00785485">
      <w:pPr>
        <w:pStyle w:val="Heading1"/>
        <w:spacing w:line="360" w:lineRule="auto"/>
        <w:ind w:left="240" w:firstLine="0"/>
        <w:jc w:val="both"/>
        <w:rPr>
          <w:sz w:val="24"/>
          <w:szCs w:val="24"/>
        </w:rPr>
      </w:pPr>
      <w:r w:rsidRPr="00785485">
        <w:rPr>
          <w:sz w:val="24"/>
          <w:szCs w:val="24"/>
        </w:rPr>
        <w:t>Table 25: Regression Results</w:t>
      </w:r>
    </w:p>
    <w:p w:rsidR="002B5DAE" w:rsidRPr="00785485" w:rsidRDefault="002B5DAE" w:rsidP="00785485">
      <w:pPr>
        <w:pStyle w:val="BodyText"/>
        <w:spacing w:line="360" w:lineRule="auto"/>
        <w:ind w:left="0"/>
        <w:jc w:val="left"/>
        <w:rPr>
          <w:b/>
          <w:sz w:val="24"/>
          <w:szCs w:val="24"/>
        </w:rPr>
      </w:pPr>
    </w:p>
    <w:tbl>
      <w:tblPr>
        <w:tblW w:w="0" w:type="auto"/>
        <w:tblInd w:w="238" w:type="dxa"/>
        <w:tblLayout w:type="fixed"/>
        <w:tblCellMar>
          <w:left w:w="0" w:type="dxa"/>
          <w:right w:w="0" w:type="dxa"/>
        </w:tblCellMar>
        <w:tblLook w:val="01E0"/>
      </w:tblPr>
      <w:tblGrid>
        <w:gridCol w:w="14"/>
        <w:gridCol w:w="1551"/>
        <w:gridCol w:w="405"/>
        <w:gridCol w:w="1514"/>
        <w:gridCol w:w="190"/>
        <w:gridCol w:w="1494"/>
        <w:gridCol w:w="100"/>
        <w:gridCol w:w="1660"/>
        <w:gridCol w:w="51"/>
        <w:gridCol w:w="2055"/>
      </w:tblGrid>
      <w:tr w:rsidR="002B5DAE" w:rsidRPr="00785485" w:rsidTr="000D05DF">
        <w:trPr>
          <w:gridBefore w:val="1"/>
          <w:wBefore w:w="14" w:type="dxa"/>
          <w:trHeight w:val="290"/>
        </w:trPr>
        <w:tc>
          <w:tcPr>
            <w:tcW w:w="1551" w:type="dxa"/>
            <w:tcBorders>
              <w:top w:val="single" w:sz="4" w:space="0" w:color="000000"/>
            </w:tcBorders>
          </w:tcPr>
          <w:p w:rsidR="002B5DAE" w:rsidRPr="00785485" w:rsidRDefault="002B5DAE" w:rsidP="00785485">
            <w:pPr>
              <w:pStyle w:val="TableParagraph"/>
              <w:spacing w:line="360" w:lineRule="auto"/>
              <w:rPr>
                <w:sz w:val="24"/>
                <w:szCs w:val="24"/>
              </w:rPr>
            </w:pPr>
          </w:p>
        </w:tc>
        <w:tc>
          <w:tcPr>
            <w:tcW w:w="2109" w:type="dxa"/>
            <w:gridSpan w:val="3"/>
            <w:tcBorders>
              <w:top w:val="single" w:sz="4" w:space="0" w:color="000000"/>
            </w:tcBorders>
          </w:tcPr>
          <w:p w:rsidR="002B5DAE" w:rsidRPr="00785485" w:rsidRDefault="002B5DAE" w:rsidP="00785485">
            <w:pPr>
              <w:pStyle w:val="TableParagraph"/>
              <w:spacing w:line="360" w:lineRule="auto"/>
              <w:ind w:left="1387"/>
              <w:rPr>
                <w:b/>
                <w:sz w:val="24"/>
                <w:szCs w:val="24"/>
              </w:rPr>
            </w:pPr>
            <w:r w:rsidRPr="00785485">
              <w:rPr>
                <w:b/>
                <w:sz w:val="24"/>
                <w:szCs w:val="24"/>
              </w:rPr>
              <w:t>Fixed</w:t>
            </w:r>
          </w:p>
        </w:tc>
        <w:tc>
          <w:tcPr>
            <w:tcW w:w="1594" w:type="dxa"/>
            <w:gridSpan w:val="2"/>
            <w:tcBorders>
              <w:top w:val="single" w:sz="4" w:space="0" w:color="000000"/>
            </w:tcBorders>
          </w:tcPr>
          <w:p w:rsidR="002B5DAE" w:rsidRPr="00785485" w:rsidRDefault="002B5DAE" w:rsidP="00785485">
            <w:pPr>
              <w:pStyle w:val="TableParagraph"/>
              <w:spacing w:line="360" w:lineRule="auto"/>
              <w:ind w:left="245"/>
              <w:rPr>
                <w:b/>
                <w:sz w:val="24"/>
                <w:szCs w:val="24"/>
              </w:rPr>
            </w:pPr>
            <w:r w:rsidRPr="00785485">
              <w:rPr>
                <w:b/>
                <w:sz w:val="24"/>
                <w:szCs w:val="24"/>
              </w:rPr>
              <w:t>effects</w:t>
            </w:r>
          </w:p>
        </w:tc>
        <w:tc>
          <w:tcPr>
            <w:tcW w:w="1711" w:type="dxa"/>
            <w:gridSpan w:val="2"/>
            <w:tcBorders>
              <w:top w:val="single" w:sz="4" w:space="0" w:color="000000"/>
            </w:tcBorders>
          </w:tcPr>
          <w:p w:rsidR="002B5DAE" w:rsidRPr="00785485" w:rsidRDefault="002B5DAE" w:rsidP="00785485">
            <w:pPr>
              <w:pStyle w:val="TableParagraph"/>
              <w:spacing w:line="360" w:lineRule="auto"/>
              <w:ind w:left="398"/>
              <w:rPr>
                <w:b/>
                <w:sz w:val="24"/>
                <w:szCs w:val="24"/>
              </w:rPr>
            </w:pPr>
            <w:r w:rsidRPr="00785485">
              <w:rPr>
                <w:b/>
                <w:sz w:val="24"/>
                <w:szCs w:val="24"/>
              </w:rPr>
              <w:t>Random</w:t>
            </w:r>
          </w:p>
        </w:tc>
        <w:tc>
          <w:tcPr>
            <w:tcW w:w="2055" w:type="dxa"/>
            <w:tcBorders>
              <w:top w:val="single" w:sz="4" w:space="0" w:color="000000"/>
            </w:tcBorders>
          </w:tcPr>
          <w:p w:rsidR="002B5DAE" w:rsidRPr="00785485" w:rsidRDefault="002B5DAE" w:rsidP="00785485">
            <w:pPr>
              <w:pStyle w:val="TableParagraph"/>
              <w:spacing w:line="360" w:lineRule="auto"/>
              <w:ind w:left="361"/>
              <w:rPr>
                <w:b/>
                <w:sz w:val="24"/>
                <w:szCs w:val="24"/>
              </w:rPr>
            </w:pPr>
            <w:r w:rsidRPr="00785485">
              <w:rPr>
                <w:b/>
                <w:sz w:val="24"/>
                <w:szCs w:val="24"/>
              </w:rPr>
              <w:t>effects</w:t>
            </w:r>
          </w:p>
        </w:tc>
      </w:tr>
      <w:tr w:rsidR="002B5DAE" w:rsidRPr="00785485" w:rsidTr="000D05DF">
        <w:trPr>
          <w:gridBefore w:val="1"/>
          <w:wBefore w:w="14" w:type="dxa"/>
          <w:trHeight w:val="518"/>
        </w:trPr>
        <w:tc>
          <w:tcPr>
            <w:tcW w:w="1551" w:type="dxa"/>
            <w:tcBorders>
              <w:bottom w:val="single" w:sz="4" w:space="0" w:color="000000"/>
            </w:tcBorders>
          </w:tcPr>
          <w:p w:rsidR="002B5DAE" w:rsidRPr="00785485" w:rsidRDefault="002B5DAE" w:rsidP="00785485">
            <w:pPr>
              <w:pStyle w:val="TableParagraph"/>
              <w:spacing w:line="360" w:lineRule="auto"/>
              <w:rPr>
                <w:sz w:val="24"/>
                <w:szCs w:val="24"/>
              </w:rPr>
            </w:pPr>
          </w:p>
        </w:tc>
        <w:tc>
          <w:tcPr>
            <w:tcW w:w="2109" w:type="dxa"/>
            <w:gridSpan w:val="3"/>
            <w:tcBorders>
              <w:bottom w:val="single" w:sz="4" w:space="0" w:color="000000"/>
            </w:tcBorders>
          </w:tcPr>
          <w:p w:rsidR="002B5DAE" w:rsidRPr="00785485" w:rsidRDefault="002B5DAE" w:rsidP="00785485">
            <w:pPr>
              <w:pStyle w:val="TableParagraph"/>
              <w:spacing w:line="360" w:lineRule="auto"/>
              <w:ind w:left="734" w:right="682"/>
              <w:rPr>
                <w:sz w:val="24"/>
                <w:szCs w:val="24"/>
              </w:rPr>
            </w:pPr>
            <w:r w:rsidRPr="00785485">
              <w:rPr>
                <w:sz w:val="24"/>
                <w:szCs w:val="24"/>
              </w:rPr>
              <w:t>Model 1 (ROA)</w:t>
            </w:r>
          </w:p>
        </w:tc>
        <w:tc>
          <w:tcPr>
            <w:tcW w:w="1594" w:type="dxa"/>
            <w:gridSpan w:val="2"/>
            <w:tcBorders>
              <w:bottom w:val="single" w:sz="4" w:space="0" w:color="000000"/>
            </w:tcBorders>
          </w:tcPr>
          <w:p w:rsidR="002B5DAE" w:rsidRPr="00785485" w:rsidRDefault="002B5DAE" w:rsidP="00785485">
            <w:pPr>
              <w:pStyle w:val="TableParagraph"/>
              <w:spacing w:line="360" w:lineRule="auto"/>
              <w:ind w:left="245" w:right="656"/>
              <w:rPr>
                <w:sz w:val="24"/>
                <w:szCs w:val="24"/>
              </w:rPr>
            </w:pPr>
            <w:r w:rsidRPr="00785485">
              <w:rPr>
                <w:sz w:val="24"/>
                <w:szCs w:val="24"/>
              </w:rPr>
              <w:t>Model 2 (ROE)</w:t>
            </w:r>
          </w:p>
        </w:tc>
        <w:tc>
          <w:tcPr>
            <w:tcW w:w="1711" w:type="dxa"/>
            <w:gridSpan w:val="2"/>
            <w:tcBorders>
              <w:bottom w:val="single" w:sz="4" w:space="0" w:color="000000"/>
            </w:tcBorders>
          </w:tcPr>
          <w:p w:rsidR="002B5DAE" w:rsidRPr="00785485" w:rsidRDefault="002B5DAE" w:rsidP="00785485">
            <w:pPr>
              <w:pStyle w:val="TableParagraph"/>
              <w:spacing w:line="360" w:lineRule="auto"/>
              <w:ind w:left="398" w:right="620"/>
              <w:rPr>
                <w:sz w:val="24"/>
                <w:szCs w:val="24"/>
              </w:rPr>
            </w:pPr>
            <w:r w:rsidRPr="00785485">
              <w:rPr>
                <w:sz w:val="24"/>
                <w:szCs w:val="24"/>
              </w:rPr>
              <w:t>Model 1 (ROA)</w:t>
            </w:r>
          </w:p>
        </w:tc>
        <w:tc>
          <w:tcPr>
            <w:tcW w:w="2055" w:type="dxa"/>
            <w:tcBorders>
              <w:bottom w:val="single" w:sz="4" w:space="0" w:color="000000"/>
            </w:tcBorders>
          </w:tcPr>
          <w:p w:rsidR="002B5DAE" w:rsidRPr="00785485" w:rsidRDefault="002B5DAE" w:rsidP="00785485">
            <w:pPr>
              <w:pStyle w:val="TableParagraph"/>
              <w:spacing w:line="360" w:lineRule="auto"/>
              <w:ind w:left="361" w:right="1001"/>
              <w:rPr>
                <w:sz w:val="24"/>
                <w:szCs w:val="24"/>
              </w:rPr>
            </w:pPr>
            <w:r w:rsidRPr="00785485">
              <w:rPr>
                <w:sz w:val="24"/>
                <w:szCs w:val="24"/>
              </w:rPr>
              <w:t>Model 2 (ROE)</w:t>
            </w:r>
          </w:p>
        </w:tc>
      </w:tr>
      <w:tr w:rsidR="002B5DAE" w:rsidRPr="00785485" w:rsidTr="000D05DF">
        <w:trPr>
          <w:gridBefore w:val="1"/>
          <w:wBefore w:w="14" w:type="dxa"/>
          <w:trHeight w:val="228"/>
        </w:trPr>
        <w:tc>
          <w:tcPr>
            <w:tcW w:w="1551" w:type="dxa"/>
            <w:tcBorders>
              <w:top w:val="single" w:sz="4" w:space="0" w:color="000000"/>
            </w:tcBorders>
          </w:tcPr>
          <w:p w:rsidR="002B5DAE" w:rsidRPr="00785485" w:rsidRDefault="002B5DAE" w:rsidP="00785485">
            <w:pPr>
              <w:pStyle w:val="TableParagraph"/>
              <w:spacing w:line="360" w:lineRule="auto"/>
              <w:ind w:left="108"/>
              <w:rPr>
                <w:sz w:val="24"/>
                <w:szCs w:val="24"/>
              </w:rPr>
            </w:pPr>
            <w:r w:rsidRPr="00785485">
              <w:rPr>
                <w:sz w:val="24"/>
                <w:szCs w:val="24"/>
              </w:rPr>
              <w:t>Constant</w:t>
            </w:r>
          </w:p>
        </w:tc>
        <w:tc>
          <w:tcPr>
            <w:tcW w:w="2109" w:type="dxa"/>
            <w:gridSpan w:val="3"/>
            <w:tcBorders>
              <w:top w:val="single" w:sz="4" w:space="0" w:color="000000"/>
            </w:tcBorders>
          </w:tcPr>
          <w:p w:rsidR="002B5DAE" w:rsidRPr="00785485" w:rsidRDefault="002B5DAE" w:rsidP="00785485">
            <w:pPr>
              <w:pStyle w:val="TableParagraph"/>
              <w:spacing w:line="360" w:lineRule="auto"/>
              <w:ind w:left="734"/>
              <w:rPr>
                <w:sz w:val="24"/>
                <w:szCs w:val="24"/>
              </w:rPr>
            </w:pPr>
            <w:r w:rsidRPr="00785485">
              <w:rPr>
                <w:sz w:val="24"/>
                <w:szCs w:val="24"/>
              </w:rPr>
              <w:t>-0.380</w:t>
            </w:r>
          </w:p>
        </w:tc>
        <w:tc>
          <w:tcPr>
            <w:tcW w:w="1594" w:type="dxa"/>
            <w:gridSpan w:val="2"/>
            <w:tcBorders>
              <w:top w:val="single" w:sz="4" w:space="0" w:color="000000"/>
            </w:tcBorders>
          </w:tcPr>
          <w:p w:rsidR="002B5DAE" w:rsidRPr="00785485" w:rsidRDefault="002B5DAE" w:rsidP="00785485">
            <w:pPr>
              <w:pStyle w:val="TableParagraph"/>
              <w:spacing w:line="360" w:lineRule="auto"/>
              <w:ind w:left="245"/>
              <w:rPr>
                <w:sz w:val="24"/>
                <w:szCs w:val="24"/>
              </w:rPr>
            </w:pPr>
            <w:r w:rsidRPr="00785485">
              <w:rPr>
                <w:sz w:val="24"/>
                <w:szCs w:val="24"/>
              </w:rPr>
              <w:t>-17.214</w:t>
            </w:r>
          </w:p>
        </w:tc>
        <w:tc>
          <w:tcPr>
            <w:tcW w:w="1711" w:type="dxa"/>
            <w:gridSpan w:val="2"/>
            <w:tcBorders>
              <w:top w:val="single" w:sz="4" w:space="0" w:color="000000"/>
            </w:tcBorders>
          </w:tcPr>
          <w:p w:rsidR="002B5DAE" w:rsidRPr="00785485" w:rsidRDefault="002B5DAE" w:rsidP="00785485">
            <w:pPr>
              <w:pStyle w:val="TableParagraph"/>
              <w:spacing w:line="360" w:lineRule="auto"/>
              <w:ind w:left="398"/>
              <w:rPr>
                <w:sz w:val="24"/>
                <w:szCs w:val="24"/>
              </w:rPr>
            </w:pPr>
            <w:r w:rsidRPr="00785485">
              <w:rPr>
                <w:sz w:val="24"/>
                <w:szCs w:val="24"/>
              </w:rPr>
              <w:t>-0.166</w:t>
            </w:r>
          </w:p>
        </w:tc>
        <w:tc>
          <w:tcPr>
            <w:tcW w:w="2055" w:type="dxa"/>
            <w:tcBorders>
              <w:top w:val="single" w:sz="4" w:space="0" w:color="000000"/>
            </w:tcBorders>
          </w:tcPr>
          <w:p w:rsidR="002B5DAE" w:rsidRPr="00785485" w:rsidRDefault="002B5DAE" w:rsidP="00785485">
            <w:pPr>
              <w:pStyle w:val="TableParagraph"/>
              <w:spacing w:line="360" w:lineRule="auto"/>
              <w:ind w:left="361"/>
              <w:rPr>
                <w:sz w:val="24"/>
                <w:szCs w:val="24"/>
              </w:rPr>
            </w:pPr>
            <w:r w:rsidRPr="00785485">
              <w:rPr>
                <w:sz w:val="24"/>
                <w:szCs w:val="24"/>
              </w:rPr>
              <w:t>-7.567</w:t>
            </w:r>
          </w:p>
        </w:tc>
      </w:tr>
      <w:tr w:rsidR="002B5DAE" w:rsidRPr="00785485" w:rsidTr="000D05DF">
        <w:trPr>
          <w:gridBefore w:val="1"/>
          <w:wBefore w:w="14" w:type="dxa"/>
          <w:trHeight w:val="229"/>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(-1.556)</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(-0.987)</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(-1.738)*</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(-1.219)</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{0.123}</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{0.326}</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{0.085}</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{0.226}</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ind w:left="108"/>
              <w:rPr>
                <w:sz w:val="24"/>
                <w:szCs w:val="24"/>
              </w:rPr>
            </w:pPr>
            <w:r w:rsidRPr="00785485">
              <w:rPr>
                <w:sz w:val="24"/>
                <w:szCs w:val="24"/>
              </w:rPr>
              <w:t>NPLLR</w:t>
            </w: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0.342</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11.401</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0.280</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7.662</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(5.216)***</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(2.432)**</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(5.096)***</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(1.934)*</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{0.000}</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{0.017)</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{0.000}</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{0.056)</w:t>
            </w:r>
          </w:p>
        </w:tc>
      </w:tr>
      <w:tr w:rsidR="002B5DAE" w:rsidRPr="00785485" w:rsidTr="000D05DF">
        <w:trPr>
          <w:gridBefore w:val="1"/>
          <w:wBefore w:w="14" w:type="dxa"/>
          <w:trHeight w:val="229"/>
        </w:trPr>
        <w:tc>
          <w:tcPr>
            <w:tcW w:w="1551" w:type="dxa"/>
          </w:tcPr>
          <w:p w:rsidR="002B5DAE" w:rsidRPr="00785485" w:rsidRDefault="002B5DAE" w:rsidP="00785485">
            <w:pPr>
              <w:pStyle w:val="TableParagraph"/>
              <w:spacing w:line="360" w:lineRule="auto"/>
              <w:ind w:left="108"/>
              <w:rPr>
                <w:sz w:val="24"/>
                <w:szCs w:val="24"/>
              </w:rPr>
            </w:pPr>
            <w:r w:rsidRPr="00785485">
              <w:rPr>
                <w:sz w:val="24"/>
                <w:szCs w:val="24"/>
              </w:rPr>
              <w:t>NPLDR</w:t>
            </w: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-0.841</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-30.989</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-0.733</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-25.370</w:t>
            </w:r>
          </w:p>
        </w:tc>
      </w:tr>
      <w:tr w:rsidR="002B5DAE" w:rsidRPr="00785485" w:rsidTr="000D05DF">
        <w:trPr>
          <w:gridBefore w:val="1"/>
          <w:wBefore w:w="14" w:type="dxa"/>
          <w:trHeight w:val="229"/>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(-6.635)***</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(-3.421)***</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(-6.864)***</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(-3.283)***</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{0.000}</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{0.001}</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{0.000}</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{0.001}</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ind w:left="108"/>
              <w:rPr>
                <w:sz w:val="24"/>
                <w:szCs w:val="24"/>
              </w:rPr>
            </w:pPr>
            <w:r w:rsidRPr="00785485">
              <w:rPr>
                <w:sz w:val="24"/>
                <w:szCs w:val="24"/>
              </w:rPr>
              <w:t>CAR</w:t>
            </w: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0.343</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12.366</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0.320</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9.915</w:t>
            </w:r>
          </w:p>
        </w:tc>
      </w:tr>
      <w:tr w:rsidR="002B5DAE" w:rsidRPr="00785485" w:rsidTr="000D05DF">
        <w:trPr>
          <w:gridBefore w:val="1"/>
          <w:wBefore w:w="14" w:type="dxa"/>
          <w:trHeight w:val="225"/>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(6.984)***</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(3.521)***</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(7.298)***</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(3.149)***</w:t>
            </w:r>
          </w:p>
        </w:tc>
      </w:tr>
      <w:tr w:rsidR="002B5DAE" w:rsidRPr="00785485" w:rsidTr="000D05DF">
        <w:trPr>
          <w:trHeight w:val="225"/>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{0.000}</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{0.001}</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{0.000}</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{0.002}</w:t>
            </w:r>
          </w:p>
        </w:tc>
      </w:tr>
      <w:tr w:rsidR="002B5DAE" w:rsidRPr="00785485" w:rsidTr="000D05DF">
        <w:trPr>
          <w:trHeight w:val="230"/>
        </w:trPr>
        <w:tc>
          <w:tcPr>
            <w:tcW w:w="1970" w:type="dxa"/>
            <w:gridSpan w:val="3"/>
          </w:tcPr>
          <w:p w:rsidR="002B5DAE" w:rsidRPr="00785485" w:rsidRDefault="002B5DAE" w:rsidP="00785485">
            <w:pPr>
              <w:pStyle w:val="TableParagraph"/>
              <w:spacing w:line="360" w:lineRule="auto"/>
              <w:ind w:left="122"/>
              <w:rPr>
                <w:sz w:val="24"/>
                <w:szCs w:val="24"/>
              </w:rPr>
            </w:pPr>
            <w:r w:rsidRPr="00785485">
              <w:rPr>
                <w:sz w:val="24"/>
                <w:szCs w:val="24"/>
              </w:rPr>
              <w:t>FSZ</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0.029</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1.384</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0.012</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0.614</w:t>
            </w:r>
          </w:p>
        </w:tc>
      </w:tr>
      <w:tr w:rsidR="002B5DAE" w:rsidRPr="00785485" w:rsidTr="000D05DF">
        <w:trPr>
          <w:trHeight w:val="229"/>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(1.438)</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(0.949)</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(1.508)</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(1.219)</w:t>
            </w:r>
          </w:p>
        </w:tc>
      </w:tr>
      <w:tr w:rsidR="002B5DAE" w:rsidRPr="00785485" w:rsidTr="000D05DF">
        <w:trPr>
          <w:trHeight w:val="229"/>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{0.154}</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{0.345}</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{0.134}</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{0.225}</w:t>
            </w:r>
          </w:p>
        </w:tc>
      </w:tr>
      <w:tr w:rsidR="002B5DAE" w:rsidRPr="00785485" w:rsidTr="000D05DF">
        <w:trPr>
          <w:trHeight w:val="230"/>
        </w:trPr>
        <w:tc>
          <w:tcPr>
            <w:tcW w:w="1970" w:type="dxa"/>
            <w:gridSpan w:val="3"/>
          </w:tcPr>
          <w:p w:rsidR="002B5DAE" w:rsidRPr="00785485" w:rsidRDefault="002B5DAE" w:rsidP="00785485">
            <w:pPr>
              <w:pStyle w:val="TableParagraph"/>
              <w:spacing w:line="360" w:lineRule="auto"/>
              <w:ind w:left="122"/>
              <w:rPr>
                <w:sz w:val="24"/>
                <w:szCs w:val="24"/>
              </w:rPr>
            </w:pPr>
            <w:r w:rsidRPr="00785485">
              <w:rPr>
                <w:sz w:val="24"/>
                <w:szCs w:val="24"/>
              </w:rPr>
              <w:t>LEV</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0.059</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5.560</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0.078</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5.020</w:t>
            </w:r>
          </w:p>
        </w:tc>
      </w:tr>
      <w:tr w:rsidR="002B5DAE" w:rsidRPr="00785485" w:rsidTr="000D05DF">
        <w:trPr>
          <w:trHeight w:val="230"/>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(1.002)</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(1.315)</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(1.761)*</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(1.633)</w:t>
            </w:r>
          </w:p>
        </w:tc>
      </w:tr>
      <w:tr w:rsidR="002B5DAE" w:rsidRPr="00785485" w:rsidTr="000D05DF">
        <w:trPr>
          <w:trHeight w:val="210"/>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{0.319}</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{0.192}</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{0.081}</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{0.105}</w:t>
            </w:r>
          </w:p>
        </w:tc>
      </w:tr>
      <w:tr w:rsidR="002B5DAE" w:rsidRPr="00785485" w:rsidTr="000D05DF">
        <w:trPr>
          <w:trHeight w:val="235"/>
        </w:trPr>
        <w:tc>
          <w:tcPr>
            <w:tcW w:w="1970" w:type="dxa"/>
            <w:gridSpan w:val="3"/>
          </w:tcPr>
          <w:p w:rsidR="002B5DAE" w:rsidRPr="00785485" w:rsidRDefault="002B5DAE" w:rsidP="00785485">
            <w:pPr>
              <w:pStyle w:val="TableParagraph"/>
              <w:spacing w:line="360" w:lineRule="auto"/>
              <w:ind w:left="122"/>
              <w:rPr>
                <w:sz w:val="24"/>
                <w:szCs w:val="24"/>
              </w:rPr>
            </w:pPr>
            <w:r w:rsidRPr="00785485">
              <w:rPr>
                <w:position w:val="-8"/>
                <w:sz w:val="24"/>
                <w:szCs w:val="24"/>
              </w:rPr>
              <w:t>R</w:t>
            </w:r>
            <w:r w:rsidRPr="00785485">
              <w:rPr>
                <w:sz w:val="24"/>
                <w:szCs w:val="24"/>
              </w:rPr>
              <w:t>2</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0.678</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0.468</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0.564</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0.277</w:t>
            </w:r>
          </w:p>
        </w:tc>
      </w:tr>
      <w:tr w:rsidR="002B5DAE" w:rsidRPr="00785485" w:rsidTr="000D05DF">
        <w:trPr>
          <w:trHeight w:val="243"/>
        </w:trPr>
        <w:tc>
          <w:tcPr>
            <w:tcW w:w="1970" w:type="dxa"/>
            <w:gridSpan w:val="3"/>
          </w:tcPr>
          <w:p w:rsidR="002B5DAE" w:rsidRPr="00785485" w:rsidRDefault="002B5DAE" w:rsidP="00785485">
            <w:pPr>
              <w:pStyle w:val="TableParagraph"/>
              <w:spacing w:line="360" w:lineRule="auto"/>
              <w:ind w:left="122"/>
              <w:rPr>
                <w:sz w:val="24"/>
                <w:szCs w:val="24"/>
              </w:rPr>
            </w:pPr>
            <w:r w:rsidRPr="00785485">
              <w:rPr>
                <w:sz w:val="24"/>
                <w:szCs w:val="24"/>
              </w:rPr>
              <w:t>Adjusted R</w:t>
            </w:r>
            <w:r w:rsidRPr="00785485">
              <w:rPr>
                <w:sz w:val="24"/>
                <w:szCs w:val="24"/>
                <w:vertAlign w:val="superscript"/>
              </w:rPr>
              <w:t>2</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0.592</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0.327</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0.545</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0.245</w:t>
            </w:r>
          </w:p>
        </w:tc>
      </w:tr>
      <w:tr w:rsidR="002B5DAE" w:rsidRPr="00785485" w:rsidTr="000D05DF">
        <w:trPr>
          <w:trHeight w:val="229"/>
        </w:trPr>
        <w:tc>
          <w:tcPr>
            <w:tcW w:w="1970" w:type="dxa"/>
            <w:gridSpan w:val="3"/>
          </w:tcPr>
          <w:p w:rsidR="002B5DAE" w:rsidRPr="00785485" w:rsidRDefault="002B5DAE" w:rsidP="00785485">
            <w:pPr>
              <w:pStyle w:val="TableParagraph"/>
              <w:spacing w:line="360" w:lineRule="auto"/>
              <w:ind w:left="122"/>
              <w:rPr>
                <w:sz w:val="24"/>
                <w:szCs w:val="24"/>
              </w:rPr>
            </w:pPr>
            <w:r w:rsidRPr="00785485">
              <w:rPr>
                <w:sz w:val="24"/>
                <w:szCs w:val="24"/>
              </w:rPr>
              <w:t>Durbin-Watson</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2.542</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3.103</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2.322</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2.636</w:t>
            </w:r>
          </w:p>
        </w:tc>
      </w:tr>
      <w:tr w:rsidR="002B5DAE" w:rsidRPr="00785485" w:rsidTr="000D05DF">
        <w:trPr>
          <w:trHeight w:val="230"/>
        </w:trPr>
        <w:tc>
          <w:tcPr>
            <w:tcW w:w="1970" w:type="dxa"/>
            <w:gridSpan w:val="3"/>
          </w:tcPr>
          <w:p w:rsidR="002B5DAE" w:rsidRPr="00785485" w:rsidRDefault="002B5DAE" w:rsidP="00785485">
            <w:pPr>
              <w:pStyle w:val="TableParagraph"/>
              <w:spacing w:line="360" w:lineRule="auto"/>
              <w:ind w:left="122"/>
              <w:rPr>
                <w:sz w:val="24"/>
                <w:szCs w:val="24"/>
              </w:rPr>
            </w:pPr>
            <w:r w:rsidRPr="00785485">
              <w:rPr>
                <w:sz w:val="24"/>
                <w:szCs w:val="24"/>
              </w:rPr>
              <w:t>F-stat</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7.909***</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3.308***</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29.530***</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8.732***</w:t>
            </w:r>
          </w:p>
        </w:tc>
      </w:tr>
      <w:tr w:rsidR="002B5DAE" w:rsidRPr="00785485" w:rsidTr="000D05DF">
        <w:trPr>
          <w:trHeight w:val="230"/>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{0.000}</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{0.000}</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{0.000}</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{0.000}</w:t>
            </w:r>
          </w:p>
        </w:tc>
      </w:tr>
      <w:tr w:rsidR="002B5DAE" w:rsidRPr="00785485" w:rsidTr="000D05DF">
        <w:trPr>
          <w:trHeight w:val="232"/>
        </w:trPr>
        <w:tc>
          <w:tcPr>
            <w:tcW w:w="1970" w:type="dxa"/>
            <w:gridSpan w:val="3"/>
            <w:tcBorders>
              <w:bottom w:val="single" w:sz="4" w:space="0" w:color="000000"/>
            </w:tcBorders>
          </w:tcPr>
          <w:p w:rsidR="002B5DAE" w:rsidRPr="00785485" w:rsidRDefault="002B5DAE" w:rsidP="00785485">
            <w:pPr>
              <w:pStyle w:val="TableParagraph"/>
              <w:spacing w:line="360" w:lineRule="auto"/>
              <w:ind w:left="122"/>
              <w:rPr>
                <w:sz w:val="24"/>
                <w:szCs w:val="24"/>
              </w:rPr>
            </w:pPr>
            <w:r w:rsidRPr="00785485">
              <w:rPr>
                <w:sz w:val="24"/>
                <w:szCs w:val="24"/>
              </w:rPr>
              <w:t>No of observations</w:t>
            </w:r>
          </w:p>
        </w:tc>
        <w:tc>
          <w:tcPr>
            <w:tcW w:w="1514" w:type="dxa"/>
            <w:tcBorders>
              <w:bottom w:val="single" w:sz="4" w:space="0" w:color="000000"/>
            </w:tcBorders>
          </w:tcPr>
          <w:p w:rsidR="002B5DAE" w:rsidRPr="00785485" w:rsidRDefault="002B5DAE" w:rsidP="00785485">
            <w:pPr>
              <w:pStyle w:val="TableParagraph"/>
              <w:spacing w:line="360" w:lineRule="auto"/>
              <w:ind w:left="329"/>
              <w:rPr>
                <w:sz w:val="24"/>
                <w:szCs w:val="24"/>
              </w:rPr>
            </w:pPr>
            <w:r w:rsidRPr="00785485">
              <w:rPr>
                <w:sz w:val="24"/>
                <w:szCs w:val="24"/>
              </w:rPr>
              <w:t>120</w:t>
            </w:r>
          </w:p>
        </w:tc>
        <w:tc>
          <w:tcPr>
            <w:tcW w:w="1684" w:type="dxa"/>
            <w:gridSpan w:val="2"/>
            <w:tcBorders>
              <w:bottom w:val="single" w:sz="4" w:space="0" w:color="000000"/>
            </w:tcBorders>
          </w:tcPr>
          <w:p w:rsidR="002B5DAE" w:rsidRPr="00785485" w:rsidRDefault="002B5DAE" w:rsidP="00785485">
            <w:pPr>
              <w:pStyle w:val="TableParagraph"/>
              <w:spacing w:line="360" w:lineRule="auto"/>
              <w:ind w:left="435"/>
              <w:rPr>
                <w:sz w:val="24"/>
                <w:szCs w:val="24"/>
              </w:rPr>
            </w:pPr>
            <w:r w:rsidRPr="00785485">
              <w:rPr>
                <w:sz w:val="24"/>
                <w:szCs w:val="24"/>
              </w:rPr>
              <w:t>120</w:t>
            </w:r>
          </w:p>
        </w:tc>
        <w:tc>
          <w:tcPr>
            <w:tcW w:w="1760" w:type="dxa"/>
            <w:gridSpan w:val="2"/>
            <w:tcBorders>
              <w:bottom w:val="single" w:sz="4" w:space="0" w:color="000000"/>
            </w:tcBorders>
          </w:tcPr>
          <w:p w:rsidR="002B5DAE" w:rsidRPr="00785485" w:rsidRDefault="002B5DAE" w:rsidP="00785485">
            <w:pPr>
              <w:pStyle w:val="TableParagraph"/>
              <w:spacing w:line="360" w:lineRule="auto"/>
              <w:ind w:left="499"/>
              <w:rPr>
                <w:sz w:val="24"/>
                <w:szCs w:val="24"/>
              </w:rPr>
            </w:pPr>
            <w:r w:rsidRPr="00785485">
              <w:rPr>
                <w:sz w:val="24"/>
                <w:szCs w:val="24"/>
              </w:rPr>
              <w:t>120</w:t>
            </w:r>
          </w:p>
        </w:tc>
        <w:tc>
          <w:tcPr>
            <w:tcW w:w="2105" w:type="dxa"/>
            <w:gridSpan w:val="2"/>
            <w:tcBorders>
              <w:bottom w:val="single" w:sz="4" w:space="0" w:color="000000"/>
            </w:tcBorders>
          </w:tcPr>
          <w:p w:rsidR="002B5DAE" w:rsidRPr="00785485" w:rsidRDefault="002B5DAE" w:rsidP="00785485">
            <w:pPr>
              <w:pStyle w:val="TableParagraph"/>
              <w:spacing w:line="360" w:lineRule="auto"/>
              <w:ind w:left="412"/>
              <w:rPr>
                <w:sz w:val="24"/>
                <w:szCs w:val="24"/>
              </w:rPr>
            </w:pPr>
            <w:r w:rsidRPr="00785485">
              <w:rPr>
                <w:sz w:val="24"/>
                <w:szCs w:val="24"/>
              </w:rPr>
              <w:t>120</w:t>
            </w:r>
          </w:p>
        </w:tc>
      </w:tr>
    </w:tbl>
    <w:p w:rsidR="002B5DAE" w:rsidRPr="00785485" w:rsidRDefault="002B5DAE" w:rsidP="00785485">
      <w:pPr>
        <w:pStyle w:val="BodyText"/>
        <w:spacing w:line="360" w:lineRule="auto"/>
        <w:ind w:left="0"/>
        <w:jc w:val="left"/>
        <w:rPr>
          <w:b/>
          <w:sz w:val="24"/>
          <w:szCs w:val="24"/>
        </w:rPr>
      </w:pPr>
    </w:p>
    <w:p w:rsidR="002B5DAE" w:rsidRPr="00785485" w:rsidRDefault="002B5DAE" w:rsidP="00785485">
      <w:pPr>
        <w:pStyle w:val="BodyText"/>
        <w:spacing w:line="360" w:lineRule="auto"/>
        <w:jc w:val="left"/>
        <w:rPr>
          <w:sz w:val="24"/>
          <w:szCs w:val="24"/>
        </w:rPr>
      </w:pPr>
      <w:r w:rsidRPr="00785485">
        <w:rPr>
          <w:sz w:val="24"/>
          <w:szCs w:val="24"/>
        </w:rPr>
        <w:t>*, **, *** indicate significant at 10%, 5%, 1% levels, respectively</w:t>
      </w:r>
    </w:p>
    <w:p w:rsidR="002B5DAE" w:rsidRPr="00785485" w:rsidRDefault="002B5DAE" w:rsidP="00785485">
      <w:pPr>
        <w:pStyle w:val="BodyText"/>
        <w:spacing w:line="360" w:lineRule="auto"/>
        <w:ind w:right="2490"/>
        <w:jc w:val="left"/>
        <w:rPr>
          <w:sz w:val="24"/>
          <w:szCs w:val="24"/>
        </w:rPr>
      </w:pPr>
      <w:r w:rsidRPr="00785485">
        <w:rPr>
          <w:sz w:val="24"/>
          <w:szCs w:val="24"/>
        </w:rPr>
        <w:t>The prob values are in parentheses style {} while t-stat values are in parentheses style ( ). Source: Researchers’ computation (2018)</w:t>
      </w:r>
    </w:p>
    <w:p w:rsidR="002B5DAE" w:rsidRPr="00785485" w:rsidRDefault="002B5DAE" w:rsidP="00785485">
      <w:pPr>
        <w:pStyle w:val="BodyText"/>
        <w:spacing w:line="360" w:lineRule="auto"/>
        <w:ind w:left="0"/>
        <w:jc w:val="left"/>
        <w:rPr>
          <w:sz w:val="24"/>
          <w:szCs w:val="24"/>
        </w:rPr>
      </w:pPr>
    </w:p>
    <w:p w:rsidR="002B5DAE" w:rsidRPr="00785485" w:rsidRDefault="002B5DAE" w:rsidP="00785485">
      <w:pPr>
        <w:pStyle w:val="Heading1"/>
        <w:numPr>
          <w:ilvl w:val="1"/>
          <w:numId w:val="14"/>
        </w:numPr>
        <w:tabs>
          <w:tab w:val="left" w:pos="961"/>
        </w:tabs>
        <w:spacing w:line="360" w:lineRule="auto"/>
        <w:jc w:val="both"/>
        <w:rPr>
          <w:sz w:val="24"/>
          <w:szCs w:val="24"/>
        </w:rPr>
      </w:pPr>
      <w:r w:rsidRPr="00785485">
        <w:rPr>
          <w:sz w:val="24"/>
          <w:szCs w:val="24"/>
        </w:rPr>
        <w:t>Hausman’s</w:t>
      </w:r>
      <w:r w:rsidRPr="00785485">
        <w:rPr>
          <w:spacing w:val="-2"/>
          <w:sz w:val="24"/>
          <w:szCs w:val="24"/>
        </w:rPr>
        <w:t xml:space="preserve"> </w:t>
      </w:r>
      <w:r w:rsidRPr="00785485">
        <w:rPr>
          <w:sz w:val="24"/>
          <w:szCs w:val="24"/>
        </w:rPr>
        <w:t>Specification</w:t>
      </w:r>
    </w:p>
    <w:p w:rsidR="002B5DAE" w:rsidRPr="00785485" w:rsidRDefault="002B5DAE" w:rsidP="00785485">
      <w:pPr>
        <w:pStyle w:val="BodyText"/>
        <w:spacing w:line="360" w:lineRule="auto"/>
        <w:ind w:right="614"/>
        <w:rPr>
          <w:sz w:val="24"/>
          <w:szCs w:val="24"/>
        </w:rPr>
      </w:pPr>
      <w:r w:rsidRPr="00785485">
        <w:rPr>
          <w:sz w:val="24"/>
          <w:szCs w:val="24"/>
        </w:rPr>
        <w:t xml:space="preserve">In order to determine which of the results of the two regressions (Fixed effects </w:t>
      </w:r>
      <w:r w:rsidRPr="00785485">
        <w:rPr>
          <w:sz w:val="24"/>
          <w:szCs w:val="24"/>
        </w:rPr>
        <w:lastRenderedPageBreak/>
        <w:t>and Random effects models) is appropriate for purpose of valid inference, the Hausman’s(1978) specification test was conducted. Table 6presents the result of Hausman’s specification test.</w:t>
      </w:r>
    </w:p>
    <w:p w:rsidR="002B5DAE" w:rsidRPr="00785485" w:rsidRDefault="002B5DAE" w:rsidP="00785485">
      <w:pPr>
        <w:pStyle w:val="Heading1"/>
        <w:spacing w:line="360" w:lineRule="auto"/>
        <w:ind w:left="240" w:firstLine="0"/>
        <w:jc w:val="both"/>
        <w:rPr>
          <w:sz w:val="24"/>
          <w:szCs w:val="24"/>
        </w:rPr>
      </w:pPr>
      <w:r w:rsidRPr="00785485">
        <w:rPr>
          <w:sz w:val="24"/>
          <w:szCs w:val="24"/>
        </w:rPr>
        <w:t>Table 26:Hausman’s Specification Result</w:t>
      </w:r>
    </w:p>
    <w:p w:rsidR="002B5DAE" w:rsidRPr="00785485" w:rsidRDefault="002B5DAE" w:rsidP="00785485">
      <w:pPr>
        <w:pStyle w:val="BodyText"/>
        <w:spacing w:line="360" w:lineRule="auto"/>
        <w:ind w:left="0"/>
        <w:jc w:val="left"/>
        <w:rPr>
          <w:b/>
          <w:sz w:val="24"/>
          <w:szCs w:val="24"/>
        </w:rPr>
      </w:pPr>
    </w:p>
    <w:tbl>
      <w:tblPr>
        <w:tblW w:w="0" w:type="auto"/>
        <w:tblInd w:w="125" w:type="dxa"/>
        <w:tblLayout w:type="fixed"/>
        <w:tblCellMar>
          <w:left w:w="0" w:type="dxa"/>
          <w:right w:w="0" w:type="dxa"/>
        </w:tblCellMar>
        <w:tblLook w:val="01E0"/>
      </w:tblPr>
      <w:tblGrid>
        <w:gridCol w:w="1319"/>
        <w:gridCol w:w="2037"/>
        <w:gridCol w:w="1881"/>
        <w:gridCol w:w="2013"/>
        <w:gridCol w:w="2010"/>
      </w:tblGrid>
      <w:tr w:rsidR="002B5DAE" w:rsidRPr="00785485" w:rsidTr="000D05DF">
        <w:trPr>
          <w:trHeight w:val="578"/>
        </w:trPr>
        <w:tc>
          <w:tcPr>
            <w:tcW w:w="1319" w:type="dxa"/>
            <w:tcBorders>
              <w:top w:val="single" w:sz="4" w:space="0" w:color="000000"/>
              <w:bottom w:val="single" w:sz="4" w:space="0" w:color="000000"/>
            </w:tcBorders>
          </w:tcPr>
          <w:p w:rsidR="002B5DAE" w:rsidRPr="00785485" w:rsidRDefault="002B5DAE" w:rsidP="00785485">
            <w:pPr>
              <w:pStyle w:val="TableParagraph"/>
              <w:spacing w:line="360" w:lineRule="auto"/>
              <w:ind w:left="122"/>
              <w:rPr>
                <w:b/>
                <w:sz w:val="24"/>
                <w:szCs w:val="24"/>
              </w:rPr>
            </w:pPr>
            <w:r w:rsidRPr="00785485">
              <w:rPr>
                <w:b/>
                <w:sz w:val="24"/>
                <w:szCs w:val="24"/>
              </w:rPr>
              <w:t>Model</w:t>
            </w:r>
          </w:p>
        </w:tc>
        <w:tc>
          <w:tcPr>
            <w:tcW w:w="2037" w:type="dxa"/>
            <w:tcBorders>
              <w:top w:val="single" w:sz="4" w:space="0" w:color="000000"/>
              <w:bottom w:val="single" w:sz="4" w:space="0" w:color="000000"/>
            </w:tcBorders>
          </w:tcPr>
          <w:p w:rsidR="002B5DAE" w:rsidRPr="00785485" w:rsidRDefault="002B5DAE" w:rsidP="00785485">
            <w:pPr>
              <w:pStyle w:val="TableParagraph"/>
              <w:spacing w:line="360" w:lineRule="auto"/>
              <w:ind w:left="651" w:right="443"/>
              <w:rPr>
                <w:b/>
                <w:sz w:val="24"/>
                <w:szCs w:val="24"/>
              </w:rPr>
            </w:pPr>
            <w:r w:rsidRPr="00785485">
              <w:rPr>
                <w:b/>
                <w:sz w:val="24"/>
                <w:szCs w:val="24"/>
              </w:rPr>
              <w:t>Dependent</w:t>
            </w:r>
            <w:r w:rsidRPr="00785485">
              <w:rPr>
                <w:b/>
                <w:w w:val="99"/>
                <w:sz w:val="24"/>
                <w:szCs w:val="24"/>
              </w:rPr>
              <w:t xml:space="preserve"> </w:t>
            </w:r>
            <w:r w:rsidRPr="00785485">
              <w:rPr>
                <w:b/>
                <w:sz w:val="24"/>
                <w:szCs w:val="24"/>
              </w:rPr>
              <w:t>Variable</w:t>
            </w:r>
          </w:p>
        </w:tc>
        <w:tc>
          <w:tcPr>
            <w:tcW w:w="1881" w:type="dxa"/>
            <w:tcBorders>
              <w:top w:val="single" w:sz="4" w:space="0" w:color="000000"/>
              <w:bottom w:val="single" w:sz="4" w:space="0" w:color="000000"/>
            </w:tcBorders>
          </w:tcPr>
          <w:p w:rsidR="002B5DAE" w:rsidRPr="00785485" w:rsidRDefault="002B5DAE" w:rsidP="00785485">
            <w:pPr>
              <w:pStyle w:val="TableParagraph"/>
              <w:spacing w:line="360" w:lineRule="auto"/>
              <w:ind w:left="462"/>
              <w:rPr>
                <w:b/>
                <w:sz w:val="24"/>
                <w:szCs w:val="24"/>
              </w:rPr>
            </w:pPr>
            <w:r w:rsidRPr="00785485">
              <w:rPr>
                <w:b/>
                <w:w w:val="95"/>
                <w:sz w:val="24"/>
                <w:szCs w:val="24"/>
              </w:rPr>
              <w:t xml:space="preserve">Chi-Square </w:t>
            </w:r>
            <w:r w:rsidRPr="00785485">
              <w:rPr>
                <w:b/>
                <w:sz w:val="24"/>
                <w:szCs w:val="24"/>
              </w:rPr>
              <w:t>Statistic</w:t>
            </w:r>
          </w:p>
        </w:tc>
        <w:tc>
          <w:tcPr>
            <w:tcW w:w="2013" w:type="dxa"/>
            <w:tcBorders>
              <w:top w:val="single" w:sz="4" w:space="0" w:color="000000"/>
              <w:bottom w:val="single" w:sz="4" w:space="0" w:color="000000"/>
            </w:tcBorders>
          </w:tcPr>
          <w:p w:rsidR="002B5DAE" w:rsidRPr="00785485" w:rsidRDefault="002B5DAE" w:rsidP="00785485">
            <w:pPr>
              <w:pStyle w:val="TableParagraph"/>
              <w:spacing w:line="360" w:lineRule="auto"/>
              <w:ind w:left="430"/>
              <w:rPr>
                <w:b/>
                <w:sz w:val="24"/>
                <w:szCs w:val="24"/>
              </w:rPr>
            </w:pPr>
            <w:r w:rsidRPr="00785485">
              <w:rPr>
                <w:b/>
                <w:sz w:val="24"/>
                <w:szCs w:val="24"/>
              </w:rPr>
              <w:t>Chi-Square d. f</w:t>
            </w:r>
          </w:p>
        </w:tc>
        <w:tc>
          <w:tcPr>
            <w:tcW w:w="2010" w:type="dxa"/>
            <w:tcBorders>
              <w:top w:val="single" w:sz="4" w:space="0" w:color="000000"/>
              <w:bottom w:val="single" w:sz="4" w:space="0" w:color="000000"/>
            </w:tcBorders>
          </w:tcPr>
          <w:p w:rsidR="002B5DAE" w:rsidRPr="00785485" w:rsidRDefault="002B5DAE" w:rsidP="00785485">
            <w:pPr>
              <w:pStyle w:val="TableParagraph"/>
              <w:spacing w:line="360" w:lineRule="auto"/>
              <w:ind w:left="265"/>
              <w:rPr>
                <w:b/>
                <w:sz w:val="24"/>
                <w:szCs w:val="24"/>
              </w:rPr>
            </w:pPr>
            <w:r w:rsidRPr="00785485">
              <w:rPr>
                <w:b/>
                <w:sz w:val="24"/>
                <w:szCs w:val="24"/>
              </w:rPr>
              <w:t>Probability</w:t>
            </w:r>
          </w:p>
        </w:tc>
      </w:tr>
      <w:tr w:rsidR="002B5DAE" w:rsidRPr="00785485" w:rsidTr="000D05DF">
        <w:trPr>
          <w:trHeight w:val="288"/>
        </w:trPr>
        <w:tc>
          <w:tcPr>
            <w:tcW w:w="1319" w:type="dxa"/>
            <w:tcBorders>
              <w:top w:val="single" w:sz="4" w:space="0" w:color="000000"/>
            </w:tcBorders>
          </w:tcPr>
          <w:p w:rsidR="002B5DAE" w:rsidRPr="00785485" w:rsidRDefault="002B5DAE" w:rsidP="00785485">
            <w:pPr>
              <w:pStyle w:val="TableParagraph"/>
              <w:spacing w:line="360" w:lineRule="auto"/>
              <w:ind w:left="122"/>
              <w:rPr>
                <w:sz w:val="24"/>
                <w:szCs w:val="24"/>
              </w:rPr>
            </w:pPr>
            <w:r w:rsidRPr="00785485">
              <w:rPr>
                <w:w w:val="99"/>
                <w:sz w:val="24"/>
                <w:szCs w:val="24"/>
              </w:rPr>
              <w:t>1</w:t>
            </w:r>
          </w:p>
        </w:tc>
        <w:tc>
          <w:tcPr>
            <w:tcW w:w="2037" w:type="dxa"/>
            <w:tcBorders>
              <w:top w:val="single" w:sz="4" w:space="0" w:color="000000"/>
            </w:tcBorders>
          </w:tcPr>
          <w:p w:rsidR="002B5DAE" w:rsidRPr="00785485" w:rsidRDefault="002B5DAE" w:rsidP="00785485">
            <w:pPr>
              <w:pStyle w:val="TableParagraph"/>
              <w:spacing w:line="360" w:lineRule="auto"/>
              <w:ind w:left="651"/>
              <w:rPr>
                <w:sz w:val="24"/>
                <w:szCs w:val="24"/>
              </w:rPr>
            </w:pPr>
            <w:r w:rsidRPr="00785485">
              <w:rPr>
                <w:sz w:val="24"/>
                <w:szCs w:val="24"/>
              </w:rPr>
              <w:t>ROA</w:t>
            </w:r>
          </w:p>
        </w:tc>
        <w:tc>
          <w:tcPr>
            <w:tcW w:w="1881" w:type="dxa"/>
            <w:tcBorders>
              <w:top w:val="single" w:sz="4" w:space="0" w:color="000000"/>
            </w:tcBorders>
          </w:tcPr>
          <w:p w:rsidR="002B5DAE" w:rsidRPr="00785485" w:rsidRDefault="002B5DAE" w:rsidP="00785485">
            <w:pPr>
              <w:pStyle w:val="TableParagraph"/>
              <w:spacing w:line="360" w:lineRule="auto"/>
              <w:ind w:left="462"/>
              <w:rPr>
                <w:sz w:val="24"/>
                <w:szCs w:val="24"/>
              </w:rPr>
            </w:pPr>
            <w:r w:rsidRPr="00785485">
              <w:rPr>
                <w:sz w:val="24"/>
                <w:szCs w:val="24"/>
              </w:rPr>
              <w:t>5.193</w:t>
            </w:r>
          </w:p>
        </w:tc>
        <w:tc>
          <w:tcPr>
            <w:tcW w:w="2013" w:type="dxa"/>
            <w:tcBorders>
              <w:top w:val="single" w:sz="4" w:space="0" w:color="000000"/>
            </w:tcBorders>
          </w:tcPr>
          <w:p w:rsidR="002B5DAE" w:rsidRPr="00785485" w:rsidRDefault="002B5DAE" w:rsidP="00785485">
            <w:pPr>
              <w:pStyle w:val="TableParagraph"/>
              <w:spacing w:line="360" w:lineRule="auto"/>
              <w:ind w:left="430"/>
              <w:rPr>
                <w:sz w:val="24"/>
                <w:szCs w:val="24"/>
              </w:rPr>
            </w:pPr>
            <w:r w:rsidRPr="00785485">
              <w:rPr>
                <w:w w:val="99"/>
                <w:sz w:val="24"/>
                <w:szCs w:val="24"/>
              </w:rPr>
              <w:t>5</w:t>
            </w:r>
          </w:p>
        </w:tc>
        <w:tc>
          <w:tcPr>
            <w:tcW w:w="2010" w:type="dxa"/>
            <w:tcBorders>
              <w:top w:val="single" w:sz="4" w:space="0" w:color="000000"/>
            </w:tcBorders>
          </w:tcPr>
          <w:p w:rsidR="002B5DAE" w:rsidRPr="00785485" w:rsidRDefault="002B5DAE" w:rsidP="00785485">
            <w:pPr>
              <w:pStyle w:val="TableParagraph"/>
              <w:spacing w:line="360" w:lineRule="auto"/>
              <w:ind w:left="265"/>
              <w:rPr>
                <w:sz w:val="24"/>
                <w:szCs w:val="24"/>
              </w:rPr>
            </w:pPr>
            <w:r w:rsidRPr="00785485">
              <w:rPr>
                <w:sz w:val="24"/>
                <w:szCs w:val="24"/>
              </w:rPr>
              <w:t>0.393</w:t>
            </w:r>
          </w:p>
        </w:tc>
      </w:tr>
      <w:tr w:rsidR="002B5DAE" w:rsidRPr="00785485" w:rsidTr="000D05DF">
        <w:trPr>
          <w:trHeight w:val="411"/>
        </w:trPr>
        <w:tc>
          <w:tcPr>
            <w:tcW w:w="1319" w:type="dxa"/>
            <w:tcBorders>
              <w:bottom w:val="single" w:sz="4" w:space="0" w:color="000000"/>
            </w:tcBorders>
          </w:tcPr>
          <w:p w:rsidR="002B5DAE" w:rsidRPr="00785485" w:rsidRDefault="002B5DAE" w:rsidP="00785485">
            <w:pPr>
              <w:pStyle w:val="TableParagraph"/>
              <w:spacing w:line="360" w:lineRule="auto"/>
              <w:ind w:left="122"/>
              <w:rPr>
                <w:sz w:val="24"/>
                <w:szCs w:val="24"/>
              </w:rPr>
            </w:pPr>
            <w:r w:rsidRPr="00785485">
              <w:rPr>
                <w:w w:val="99"/>
                <w:sz w:val="24"/>
                <w:szCs w:val="24"/>
              </w:rPr>
              <w:t>2</w:t>
            </w:r>
          </w:p>
        </w:tc>
        <w:tc>
          <w:tcPr>
            <w:tcW w:w="2037" w:type="dxa"/>
            <w:tcBorders>
              <w:bottom w:val="single" w:sz="4" w:space="0" w:color="000000"/>
            </w:tcBorders>
          </w:tcPr>
          <w:p w:rsidR="002B5DAE" w:rsidRPr="00785485" w:rsidRDefault="002B5DAE" w:rsidP="00785485">
            <w:pPr>
              <w:pStyle w:val="TableParagraph"/>
              <w:spacing w:line="360" w:lineRule="auto"/>
              <w:ind w:left="651"/>
              <w:rPr>
                <w:sz w:val="24"/>
                <w:szCs w:val="24"/>
              </w:rPr>
            </w:pPr>
            <w:r w:rsidRPr="00785485">
              <w:rPr>
                <w:sz w:val="24"/>
                <w:szCs w:val="24"/>
              </w:rPr>
              <w:t>ROE</w:t>
            </w:r>
          </w:p>
        </w:tc>
        <w:tc>
          <w:tcPr>
            <w:tcW w:w="1881" w:type="dxa"/>
            <w:tcBorders>
              <w:bottom w:val="single" w:sz="4" w:space="0" w:color="000000"/>
            </w:tcBorders>
          </w:tcPr>
          <w:p w:rsidR="002B5DAE" w:rsidRPr="00785485" w:rsidRDefault="002B5DAE" w:rsidP="00785485">
            <w:pPr>
              <w:pStyle w:val="TableParagraph"/>
              <w:spacing w:line="360" w:lineRule="auto"/>
              <w:ind w:left="462"/>
              <w:rPr>
                <w:sz w:val="24"/>
                <w:szCs w:val="24"/>
              </w:rPr>
            </w:pPr>
            <w:r w:rsidRPr="00785485">
              <w:rPr>
                <w:sz w:val="24"/>
                <w:szCs w:val="24"/>
              </w:rPr>
              <w:t>4.742</w:t>
            </w:r>
          </w:p>
        </w:tc>
        <w:tc>
          <w:tcPr>
            <w:tcW w:w="2013" w:type="dxa"/>
            <w:tcBorders>
              <w:bottom w:val="single" w:sz="4" w:space="0" w:color="000000"/>
            </w:tcBorders>
          </w:tcPr>
          <w:p w:rsidR="002B5DAE" w:rsidRPr="00785485" w:rsidRDefault="002B5DAE" w:rsidP="00785485">
            <w:pPr>
              <w:pStyle w:val="TableParagraph"/>
              <w:spacing w:line="360" w:lineRule="auto"/>
              <w:ind w:left="430"/>
              <w:rPr>
                <w:sz w:val="24"/>
                <w:szCs w:val="24"/>
              </w:rPr>
            </w:pPr>
            <w:r w:rsidRPr="00785485">
              <w:rPr>
                <w:w w:val="99"/>
                <w:sz w:val="24"/>
                <w:szCs w:val="24"/>
              </w:rPr>
              <w:t>5</w:t>
            </w:r>
          </w:p>
        </w:tc>
        <w:tc>
          <w:tcPr>
            <w:tcW w:w="2010" w:type="dxa"/>
            <w:tcBorders>
              <w:bottom w:val="single" w:sz="4" w:space="0" w:color="000000"/>
            </w:tcBorders>
          </w:tcPr>
          <w:p w:rsidR="002B5DAE" w:rsidRPr="00785485" w:rsidRDefault="002B5DAE" w:rsidP="00785485">
            <w:pPr>
              <w:pStyle w:val="TableParagraph"/>
              <w:spacing w:line="360" w:lineRule="auto"/>
              <w:ind w:left="265"/>
              <w:rPr>
                <w:sz w:val="24"/>
                <w:szCs w:val="24"/>
              </w:rPr>
            </w:pPr>
            <w:r w:rsidRPr="00785485">
              <w:rPr>
                <w:sz w:val="24"/>
                <w:szCs w:val="24"/>
              </w:rPr>
              <w:t>0.448</w:t>
            </w:r>
          </w:p>
        </w:tc>
      </w:tr>
    </w:tbl>
    <w:p w:rsidR="002B5DAE" w:rsidRPr="00785485" w:rsidRDefault="002B5DAE" w:rsidP="00785485">
      <w:pPr>
        <w:pStyle w:val="BodyText"/>
        <w:spacing w:line="360" w:lineRule="auto"/>
        <w:rPr>
          <w:sz w:val="24"/>
          <w:szCs w:val="24"/>
        </w:rPr>
      </w:pPr>
      <w:r w:rsidRPr="00785485">
        <w:rPr>
          <w:sz w:val="24"/>
          <w:szCs w:val="24"/>
        </w:rPr>
        <w:t>Source: Authors’ computation (</w:t>
      </w:r>
      <w:r w:rsidR="00EF55B3">
        <w:rPr>
          <w:sz w:val="24"/>
          <w:szCs w:val="24"/>
        </w:rPr>
        <w:t>2025</w:t>
      </w:r>
      <w:r w:rsidRPr="00785485">
        <w:rPr>
          <w:sz w:val="24"/>
          <w:szCs w:val="24"/>
        </w:rPr>
        <w:t>)</w:t>
      </w:r>
    </w:p>
    <w:p w:rsidR="002B5DAE" w:rsidRPr="00785485" w:rsidRDefault="002B5DAE" w:rsidP="00785485">
      <w:pPr>
        <w:pStyle w:val="BodyText"/>
        <w:spacing w:line="360" w:lineRule="auto"/>
        <w:ind w:right="618"/>
        <w:rPr>
          <w:sz w:val="24"/>
          <w:szCs w:val="24"/>
        </w:rPr>
      </w:pPr>
      <w:r w:rsidRPr="00785485">
        <w:rPr>
          <w:sz w:val="24"/>
          <w:szCs w:val="24"/>
        </w:rPr>
        <w:t>According to Gujarati and Porter (2009), when the p-value is significant at 5% level, the Fixed effects model is more appropriate for valid inferences to be made. However, if the p-value is not significant at 5%, then the Random effects model is suitable to be used for inference.</w:t>
      </w:r>
    </w:p>
    <w:p w:rsidR="002B5DAE" w:rsidRPr="00785485" w:rsidRDefault="002B5DAE" w:rsidP="00785485">
      <w:pPr>
        <w:pStyle w:val="BodyText"/>
        <w:spacing w:line="360" w:lineRule="auto"/>
        <w:ind w:right="617"/>
        <w:rPr>
          <w:sz w:val="24"/>
          <w:szCs w:val="24"/>
        </w:rPr>
      </w:pPr>
      <w:r w:rsidRPr="00785485">
        <w:rPr>
          <w:sz w:val="24"/>
          <w:szCs w:val="24"/>
        </w:rPr>
        <w:t>The results of the p-values for the two models as shown in Table 6 are greater than 5%, hence the discussion of regression results was made using the outcome of the Random effects model</w:t>
      </w:r>
    </w:p>
    <w:p w:rsidR="002B5DAE" w:rsidRPr="00785485" w:rsidRDefault="002B5DAE" w:rsidP="00785485">
      <w:pPr>
        <w:pStyle w:val="Heading1"/>
        <w:numPr>
          <w:ilvl w:val="1"/>
          <w:numId w:val="14"/>
        </w:numPr>
        <w:tabs>
          <w:tab w:val="left" w:pos="961"/>
        </w:tabs>
        <w:spacing w:line="360" w:lineRule="auto"/>
        <w:jc w:val="both"/>
        <w:rPr>
          <w:sz w:val="24"/>
          <w:szCs w:val="24"/>
        </w:rPr>
      </w:pPr>
    </w:p>
    <w:p w:rsidR="002B5DAE" w:rsidRPr="00785485" w:rsidRDefault="002B5DAE" w:rsidP="00785485">
      <w:pPr>
        <w:pStyle w:val="Heading1"/>
        <w:numPr>
          <w:ilvl w:val="1"/>
          <w:numId w:val="14"/>
        </w:numPr>
        <w:tabs>
          <w:tab w:val="left" w:pos="961"/>
        </w:tabs>
        <w:spacing w:line="360" w:lineRule="auto"/>
        <w:jc w:val="both"/>
        <w:rPr>
          <w:sz w:val="24"/>
          <w:szCs w:val="24"/>
        </w:rPr>
      </w:pPr>
      <w:r w:rsidRPr="00785485">
        <w:rPr>
          <w:sz w:val="24"/>
          <w:szCs w:val="24"/>
        </w:rPr>
        <w:t>Discussion of Regression</w:t>
      </w:r>
      <w:r w:rsidRPr="00785485">
        <w:rPr>
          <w:spacing w:val="-1"/>
          <w:sz w:val="24"/>
          <w:szCs w:val="24"/>
        </w:rPr>
        <w:t xml:space="preserve"> </w:t>
      </w:r>
      <w:r w:rsidRPr="00785485">
        <w:rPr>
          <w:sz w:val="24"/>
          <w:szCs w:val="24"/>
        </w:rPr>
        <w:t>Result</w:t>
      </w:r>
    </w:p>
    <w:p w:rsidR="002B5DAE" w:rsidRPr="00785485" w:rsidRDefault="002B5DAE" w:rsidP="00785485">
      <w:pPr>
        <w:pStyle w:val="BodyText"/>
        <w:spacing w:line="360" w:lineRule="auto"/>
        <w:rPr>
          <w:sz w:val="24"/>
          <w:szCs w:val="24"/>
        </w:rPr>
      </w:pPr>
      <w:r w:rsidRPr="00785485">
        <w:rPr>
          <w:sz w:val="24"/>
          <w:szCs w:val="24"/>
        </w:rPr>
        <w:t>The result of the regression for Model 1 in Table 26 provides that the coefficient of determination (R-square) of</w:t>
      </w:r>
    </w:p>
    <w:p w:rsidR="002B5DAE" w:rsidRPr="00785485" w:rsidRDefault="002B5DAE" w:rsidP="00785485">
      <w:pPr>
        <w:pStyle w:val="BodyText"/>
        <w:spacing w:line="360" w:lineRule="auto"/>
        <w:ind w:right="616"/>
        <w:rPr>
          <w:sz w:val="24"/>
          <w:szCs w:val="24"/>
        </w:rPr>
      </w:pPr>
      <w:r w:rsidRPr="00785485">
        <w:rPr>
          <w:sz w:val="24"/>
          <w:szCs w:val="24"/>
        </w:rPr>
        <w:t>0.564 (56.4%) and Adjusted R-square of 0.545 (54.5%) indicating that 56.4% variation in the dependent variable (ROA) is explained by the explanatory and control variables (NPLLR, NPLDR, CAR, FSZ and LEV). The Durbin-Watson value of 2.322 (which falls within the acceptable region) clearly shows the absence of auto- serial correlation in the successive values of the parameters.F-statistic is 29.530 and this is significant at 1% level (p = 0.000). This affirms that the model as a whole is jointly fit. Hence, the explanatory values are significantly linked with the dependent variable.</w:t>
      </w:r>
    </w:p>
    <w:p w:rsidR="002B5DAE" w:rsidRPr="00785485" w:rsidRDefault="002B5DAE" w:rsidP="00785485">
      <w:pPr>
        <w:pStyle w:val="BodyText"/>
        <w:spacing w:line="360" w:lineRule="auto"/>
        <w:ind w:right="615"/>
        <w:rPr>
          <w:sz w:val="24"/>
          <w:szCs w:val="24"/>
        </w:rPr>
      </w:pPr>
      <w:r w:rsidRPr="00785485">
        <w:rPr>
          <w:sz w:val="24"/>
          <w:szCs w:val="24"/>
        </w:rPr>
        <w:t xml:space="preserve">From Table 6, the relationship between NPLLR and ROA is positive and </w:t>
      </w:r>
      <w:r w:rsidRPr="00785485">
        <w:rPr>
          <w:sz w:val="24"/>
          <w:szCs w:val="24"/>
        </w:rPr>
        <w:lastRenderedPageBreak/>
        <w:t xml:space="preserve">significant at 1% level. It indicates that the higher the bad debts, the higher the profits of Nigerian banks. This finding to some extent is contrary to the theoretical expectation of negative relationship between the two variables. The possible reason for this result is the tendency of Nigerian banks to transfer costs associated with loan default to other customers. In some cases, Nigerian banks’ interest rate on loan is as high as 25% per annum (excluding other administrative charges). This high rate is used as a buffer to mitigate the huge non-performing loans from other customers in their books. The outcome of this study is consistent with the works of Boahene, Dasah and Agyei (2012), Afriyie and Akotey (2013), Idowu and Awoyemi (2014), Soyemi, Ogunleye and Ashogbon (2014), Kurawa and Garba (2014), Annor and Obeng (2017), Aigbomian and Akinlosotu(2017) and Okere, et al (2018) and provides evidence in support of Signaling Hypothesis. </w:t>
      </w:r>
    </w:p>
    <w:p w:rsidR="002B5DAE" w:rsidRPr="00785485" w:rsidRDefault="002B5DAE" w:rsidP="00785485">
      <w:pPr>
        <w:pStyle w:val="BodyText"/>
        <w:spacing w:line="360" w:lineRule="auto"/>
        <w:ind w:right="616"/>
        <w:rPr>
          <w:sz w:val="24"/>
          <w:szCs w:val="24"/>
        </w:rPr>
      </w:pPr>
      <w:r w:rsidRPr="00785485">
        <w:rPr>
          <w:sz w:val="24"/>
          <w:szCs w:val="24"/>
        </w:rPr>
        <w:t>The CAR has a positive relationship with ROA and is significant at1% level. This confirms the theoretical expectation that says that banks with excellent capital adequacy tend to have excellent profitability because such banks will be strong enough to avert unforeseen bank run and huge loan default by customers. The outcome of the study is in line with the findings of Vong and Chan (2009), Roman and Danulletiu (2013), Obamuyi (2013), Ogboi and Unuafe (2013), Soyemi et al (2014),Mubbushar (2016), Annor and Obeng (2017),Mamoud-Abdul (2017), Lotto(2018) and Okere, et al (2018). It is however in contrast with the findings of Idowu and Awoyemi (2014), Kurawa and Garba (2014), Mendoza and Rivera (2017), who found a positive and insignificant relationship and that of Djan, Stephen, Bawuah, Halidu and Kuutol (2015), who found a negative and significant relationship, between the two variables in their studies. The null hypothesis 3 is rejected. Thus, there is a significant relationship between capital adequacy ratio (CAR) and performance (ROA).</w:t>
      </w:r>
    </w:p>
    <w:p w:rsidR="002B5DAE" w:rsidRDefault="002B5DAE" w:rsidP="005C6D0F">
      <w:pPr>
        <w:pStyle w:val="BodyText"/>
        <w:spacing w:line="360" w:lineRule="auto"/>
        <w:ind w:right="616"/>
        <w:rPr>
          <w:sz w:val="24"/>
          <w:szCs w:val="24"/>
        </w:rPr>
      </w:pPr>
      <w:r w:rsidRPr="00785485">
        <w:rPr>
          <w:sz w:val="24"/>
          <w:szCs w:val="24"/>
        </w:rPr>
        <w:t xml:space="preserve">As for the control variables, firm size has a positive and insignificant relationship with ROA, Leverage, in support of the prediction of Static-trade off theory, has a positive and significant relationship at 10% level with ROA (Myers&amp;Majluf, 1984,Kyereboah-Coleman, 2007, Kajola, 2015 and Onaolapo, </w:t>
      </w:r>
      <w:r w:rsidRPr="00785485">
        <w:rPr>
          <w:sz w:val="24"/>
          <w:szCs w:val="24"/>
        </w:rPr>
        <w:lastRenderedPageBreak/>
        <w:t>Kajola &amp; Nwidobie, 2015).</w:t>
      </w: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Pr="005C6D0F" w:rsidRDefault="005C6D0F" w:rsidP="005C6D0F">
      <w:pPr>
        <w:pStyle w:val="BodyText"/>
        <w:spacing w:line="360" w:lineRule="auto"/>
        <w:ind w:right="616"/>
        <w:rPr>
          <w:sz w:val="24"/>
          <w:szCs w:val="24"/>
        </w:rPr>
      </w:pPr>
    </w:p>
    <w:p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t>CHAPTER FIVE</w:t>
      </w:r>
    </w:p>
    <w:p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t>SUMMARY, CONCLUSION AND RECOMMENDATIONS</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5.1</w:t>
      </w:r>
      <w:r w:rsidRPr="00785485">
        <w:rPr>
          <w:rFonts w:ascii="Times New Roman" w:hAnsi="Times New Roman"/>
          <w:b/>
          <w:color w:val="000000"/>
          <w:sz w:val="24"/>
          <w:szCs w:val="24"/>
        </w:rPr>
        <w:tab/>
        <w:t xml:space="preserve">SUMMARY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The study revealed that FBN sue client appraisal in credit management to a great extent. Further it established that client appraisal is available strategy for credit, customer’s capacity to repay results in loan defaults, client appraisal considers the character of the customers seeking credit facilities and that FBN have competent personnel for carrying out client appraisal. The study established that FBN use credit risk control in credit management to a great extent. The study further established that interest rates changed affects performance of loans in the FBN, credit committees involvement in making decisions regular basis enhances commitment to loan repayment, the use of customer, credit application forms improve monitoring and credit management, flexible </w:t>
      </w:r>
      <w:r w:rsidRPr="00785485">
        <w:rPr>
          <w:rFonts w:ascii="Times New Roman" w:hAnsi="Times New Roman"/>
          <w:color w:val="000000"/>
          <w:sz w:val="24"/>
          <w:szCs w:val="24"/>
        </w:rPr>
        <w:lastRenderedPageBreak/>
        <w:t>repayment periods improve loan repayment and finally that the use of credit checks on regular basis enhances credit management.</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5.2</w:t>
      </w:r>
      <w:r w:rsidRPr="00785485">
        <w:rPr>
          <w:rFonts w:ascii="Times New Roman" w:hAnsi="Times New Roman"/>
          <w:b/>
          <w:color w:val="000000"/>
          <w:sz w:val="24"/>
          <w:szCs w:val="24"/>
        </w:rPr>
        <w:tab/>
        <w:t xml:space="preserve">CONCLUSION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In conclusion, this study has assessed the impact of bank credit on agricultural development in Nigeria, focusing on First Bank of Nigeria as a case study. The findings highlight the importance of bank credit in driving agricultural growth, improving productivity, and enhancing the financial performance of farmers and agribusinesses. Access to credit enables agricultural stakeholders to invest in modern technologies, increase yields, and improve efficiency.</w:t>
      </w:r>
    </w:p>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5C6D0F" w:rsidP="00785485">
      <w:pPr>
        <w:spacing w:after="0" w:line="360" w:lineRule="auto"/>
        <w:jc w:val="both"/>
        <w:rPr>
          <w:rFonts w:ascii="Times New Roman" w:hAnsi="Times New Roman"/>
          <w:color w:val="000000"/>
          <w:sz w:val="24"/>
          <w:szCs w:val="24"/>
        </w:rPr>
      </w:pPr>
      <w:r>
        <w:rPr>
          <w:rFonts w:ascii="Times New Roman" w:hAnsi="Times New Roman"/>
          <w:color w:val="000000"/>
          <w:sz w:val="24"/>
          <w:szCs w:val="24"/>
        </w:rPr>
        <w:t>zenith</w:t>
      </w:r>
      <w:r w:rsidR="002B5DAE" w:rsidRPr="00785485">
        <w:rPr>
          <w:rFonts w:ascii="Times New Roman" w:hAnsi="Times New Roman"/>
          <w:color w:val="000000"/>
          <w:sz w:val="24"/>
          <w:szCs w:val="24"/>
        </w:rPr>
        <w:t xml:space="preserve"> Bank of Nigeria plays a significant role in providing agricultural credit facilities, but there are challenges that need to be addressed to enhance the effectiveness of their initiatives. These challenges include cumbersome loan application processes, high collateral requirements, and the need for increased financial literacy among farmers and agribusinesses.</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The study recommends several policy implications to improve the impact of bank credit on agricultural development in Nigeria. These recommendations include enhancing access to agricultural credit, promoting financial literacy and capacity building, developing risk mitigation and insurance mechanisms, supporting value chain development, strengthening agricultural data and information systems, and fostering public-private partnerships.</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By implementing these recommendations, policymakers, financial institutions, and agricultural stakeholders can work together to create an enabling environment for agricultural development, promote sustainable growth, and ensure food security in Nigeria. Additionally, the findings of this study contribute to the existing knowledge by filling gaps in understanding the relationship between bank credit and agricultural development in Nigeria.</w:t>
      </w:r>
    </w:p>
    <w:p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color w:val="000000"/>
          <w:sz w:val="24"/>
          <w:szCs w:val="24"/>
        </w:rPr>
        <w:t xml:space="preserve">From the findings, the study found that client appraisal, credit risk control and collection policy had effect on financial performance of FBN. The study established that there was strong relationship between financial performance of the FBN and client appraisal, Credit risk control and collection policy.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lastRenderedPageBreak/>
        <w:t>5.3</w:t>
      </w:r>
      <w:r w:rsidRPr="00785485">
        <w:rPr>
          <w:rFonts w:ascii="Times New Roman" w:hAnsi="Times New Roman"/>
          <w:b/>
          <w:color w:val="000000"/>
          <w:sz w:val="24"/>
          <w:szCs w:val="24"/>
        </w:rPr>
        <w:tab/>
        <w:t xml:space="preserve">RECOMMENDATIONS </w:t>
      </w:r>
    </w:p>
    <w:p w:rsidR="002B5DAE" w:rsidRPr="00785485" w:rsidRDefault="002B5DAE" w:rsidP="00785485">
      <w:pPr>
        <w:spacing w:after="0" w:line="360" w:lineRule="auto"/>
        <w:ind w:left="720" w:hanging="720"/>
        <w:jc w:val="both"/>
        <w:rPr>
          <w:rFonts w:ascii="Times New Roman" w:hAnsi="Times New Roman"/>
          <w:color w:val="000000"/>
          <w:sz w:val="24"/>
          <w:szCs w:val="24"/>
        </w:rPr>
      </w:pPr>
      <w:r w:rsidRPr="00785485">
        <w:rPr>
          <w:rFonts w:ascii="Times New Roman" w:hAnsi="Times New Roman"/>
          <w:color w:val="000000"/>
          <w:sz w:val="24"/>
          <w:szCs w:val="24"/>
        </w:rPr>
        <w:t>The study recommends that the followings should be encouraged and done:</w:t>
      </w:r>
    </w:p>
    <w:p w:rsidR="002B5DAE" w:rsidRPr="005C6D0F" w:rsidRDefault="002B5DAE" w:rsidP="005C6D0F">
      <w:pPr>
        <w:pStyle w:val="ListParagraph"/>
        <w:numPr>
          <w:ilvl w:val="0"/>
          <w:numId w:val="18"/>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Enhancing Access to Agricultural Credit:</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Encourage banks and financial institutions to allocate a significant portion of their loan portfolios to agricultural credit.</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Develop policies that streamline loan application processes, reduce bureaucracy, and ensure efficient disbursement of credit to farmers and agribusinesses.</w:t>
      </w:r>
    </w:p>
    <w:p w:rsidR="002B5DAE" w:rsidRPr="00785485" w:rsidRDefault="002B5DAE" w:rsidP="005C6D0F">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Facilitate the establishment of dedicated agricultural credit bureaus to assess creditworthiness and mitigate risks associated with lending to the agricultural sector.</w:t>
      </w:r>
    </w:p>
    <w:p w:rsidR="002B5DAE" w:rsidRPr="00785485" w:rsidRDefault="002B5DAE" w:rsidP="00785485">
      <w:pPr>
        <w:pStyle w:val="ListParagraph"/>
        <w:numPr>
          <w:ilvl w:val="0"/>
          <w:numId w:val="18"/>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Financial Literacy and Capacity Building:</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Promote financial literacy programs specifically tailored for farmers and agribusinesses to enhance their understanding of financial management, loan utilization, and repayment obligations.</w:t>
      </w:r>
    </w:p>
    <w:p w:rsidR="002B5DAE"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Collaborate with agricultural extension services to provide training and capacity building programs that address modern farming techniques, agribusiness management, and investment decision-making.</w:t>
      </w:r>
    </w:p>
    <w:p w:rsidR="005C6D0F" w:rsidRDefault="005C6D0F" w:rsidP="00785485">
      <w:pPr>
        <w:spacing w:after="0" w:line="360" w:lineRule="auto"/>
        <w:ind w:firstLine="360"/>
        <w:jc w:val="both"/>
        <w:rPr>
          <w:rFonts w:ascii="Times New Roman" w:hAnsi="Times New Roman"/>
          <w:color w:val="000000"/>
          <w:sz w:val="24"/>
          <w:szCs w:val="24"/>
        </w:rPr>
      </w:pPr>
    </w:p>
    <w:p w:rsidR="005C6D0F" w:rsidRPr="00785485" w:rsidRDefault="005C6D0F" w:rsidP="00785485">
      <w:pPr>
        <w:spacing w:after="0" w:line="360" w:lineRule="auto"/>
        <w:ind w:firstLine="360"/>
        <w:jc w:val="both"/>
        <w:rPr>
          <w:rFonts w:ascii="Times New Roman" w:hAnsi="Times New Roman"/>
          <w:color w:val="000000"/>
          <w:sz w:val="24"/>
          <w:szCs w:val="24"/>
        </w:rPr>
      </w:pPr>
    </w:p>
    <w:p w:rsidR="002B5DAE" w:rsidRPr="00785485" w:rsidRDefault="002B5DAE" w:rsidP="00785485">
      <w:pPr>
        <w:spacing w:after="0" w:line="360" w:lineRule="auto"/>
        <w:ind w:firstLine="360"/>
        <w:jc w:val="both"/>
        <w:rPr>
          <w:rFonts w:ascii="Times New Roman" w:hAnsi="Times New Roman"/>
          <w:color w:val="000000"/>
          <w:sz w:val="24"/>
          <w:szCs w:val="24"/>
        </w:rPr>
      </w:pPr>
    </w:p>
    <w:p w:rsidR="002B5DAE" w:rsidRPr="00785485" w:rsidRDefault="002B5DAE" w:rsidP="00785485">
      <w:pPr>
        <w:pStyle w:val="ListParagraph"/>
        <w:numPr>
          <w:ilvl w:val="0"/>
          <w:numId w:val="18"/>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 Risk Mitigation and Insurance:</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Encourage the development and implementation of agricultural insurance schemes to protect farmers and lenders against risks such as natural disasters, pest infestations, and crop failures.</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Provide incentives for financial institutions to offer insurance-linked credit products that provide loan repayment guarantees in the event of unforeseen circumstances.</w:t>
      </w:r>
    </w:p>
    <w:p w:rsidR="002B5DAE" w:rsidRPr="00785485" w:rsidRDefault="002B5DAE" w:rsidP="00785485">
      <w:pPr>
        <w:spacing w:after="0" w:line="360" w:lineRule="auto"/>
        <w:ind w:firstLine="360"/>
        <w:jc w:val="both"/>
        <w:rPr>
          <w:rFonts w:ascii="Times New Roman" w:hAnsi="Times New Roman"/>
          <w:color w:val="000000"/>
          <w:sz w:val="24"/>
          <w:szCs w:val="24"/>
        </w:rPr>
      </w:pP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4. Support for Value Chain Development:</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Foster collaborations between banks, agricultural input suppliers, processors, and marketing agencies to strengthen agricultural value chains.</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Facilitate the provision of credit along the entire agricultural value chain, including input financing, production credit, and marketing loans.</w:t>
      </w:r>
    </w:p>
    <w:p w:rsidR="002B5DAE" w:rsidRPr="00785485" w:rsidRDefault="002B5DAE" w:rsidP="00785485">
      <w:pPr>
        <w:spacing w:after="0" w:line="360" w:lineRule="auto"/>
        <w:ind w:firstLine="360"/>
        <w:jc w:val="both"/>
        <w:rPr>
          <w:rFonts w:ascii="Times New Roman" w:hAnsi="Times New Roman"/>
          <w:color w:val="000000"/>
          <w:sz w:val="24"/>
          <w:szCs w:val="24"/>
        </w:rPr>
      </w:pP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5. Strengthening Agricultural Data and Information Systems:</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Invest in the development of comprehensive agricultural data systems that provide accurate and up-to-date information on market trends, weather patterns, and crop yields to inform credit decision-making.</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Collaborate with relevant stakeholders to establish platforms for sharing agricultural data and promoting transparency in the sector.</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6. Public-Private Partnerships:</w:t>
      </w:r>
    </w:p>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Foster partnerships between government agencies, financial institutions, and agricultural associations to leverage their collective resources and expertise in supporting agricultural development.</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Encourage private sector investment in agriculture by creating an enabling environment, providing incentives, and ensuring policy stability.</w:t>
      </w:r>
    </w:p>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br w:type="page"/>
      </w:r>
      <w:r w:rsidRPr="00785485">
        <w:rPr>
          <w:rFonts w:ascii="Times New Roman" w:hAnsi="Times New Roman"/>
          <w:b/>
          <w:color w:val="000000"/>
          <w:sz w:val="24"/>
          <w:szCs w:val="24"/>
        </w:rPr>
        <w:lastRenderedPageBreak/>
        <w:t>REFERENCES</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Adebayo, A. O. &amp; Oluwaremi, F. (2017). Relationship between credit risk management and the performance of money deposit banks in Nigeria. IOSRJournal of Economics and Finance, 8(2), 38-48.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Afriyie, H. O. &amp;Akotey, J. O. (2013).Credit risk management and profitability of rural banks in the BrongAhafo Region of Ghana.European Journal of Business and Management, 5(24), 24-33.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Aigbomian, E. &amp;Akinlosotu, N. T. (2017).Credit risk management and profitability of deposit money banks in Ekpoma, Edo State.Journal of Economics and Sustainable Development, 8(3), 1-5.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Alshatti, A. S. (2015). The effect of credit risk management on financial performance of Jordanian commercial banks. Investment Management and Financial Innovations, 12(1 &amp; 2), 338-345.</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Annor, E. S., &amp;Obeng, F. S. (2017). Impact of credit risk management on the profitability of selected commercial banks listed on the Ghana stock exchange. Journal of Economics, Management and Trade, 20(2), 1- 10.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Arthur J. Keonwn David Scotch (1992 and 1995) Basic Finance Management USA: John Hottan Press Inc.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Asfaw, A. H. &amp;Veni, P. (2015).Empirical study on credit risk management practice of Ethiopian commercial banks.Research Journal of Finance and Accounting, 6(3), 134-147.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Aykut, E. (2016). The effect of credit and market risk on bank performance: Evidence from Turkey. International Journal of Economics and Financial Issues, 6(2), 427-434.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Basel Committee on Banking Supervision (2001). Risk management practices and regulatory capital: Crosssectional comparison. Available on-line: www.bis.org.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Boahene, S. H., Dasah, J., &amp;Agyei, S. K. (2012).Credit risk and profitability of selected banks in Ghana. Research Journal of Finance and Accounting, 3(7), 6-14.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David Begg, Stanley Fisher (1984) Economic Second 2</w:t>
      </w:r>
      <w:r w:rsidRPr="00785485">
        <w:rPr>
          <w:rFonts w:ascii="Times New Roman" w:hAnsi="Times New Roman"/>
          <w:sz w:val="24"/>
          <w:szCs w:val="24"/>
          <w:vertAlign w:val="superscript"/>
        </w:rPr>
        <w:t>nd</w:t>
      </w:r>
      <w:r w:rsidRPr="00785485">
        <w:rPr>
          <w:rFonts w:ascii="Times New Roman" w:hAnsi="Times New Roman"/>
          <w:sz w:val="24"/>
          <w:szCs w:val="24"/>
        </w:rPr>
        <w:t xml:space="preserve"> Edition Britain, London: Pitman Publishing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lastRenderedPageBreak/>
        <w:t xml:space="preserve">Djan, G. O., Stephen, F., Bawuah, J., Halidu, O. B.&amp;Kuutol, P. K. (2015).Credit risk management and its impact on financial performance of listed banks in Ghana.International Journal of Financial Markets, 2(2), 24- 32.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Edwards, P.&amp; Turnbull, A. (1994). Finance for small and medium sized enterprises, information and the income gearing challenge. International Journal of Marketing, 12(6), 3-9.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Ejoh, N. O., Okpa, I. B. &amp;Egbe, A. A. (2014).The impact of credit and liquidity risk management on the profitability of deposit money banks in Nigeria.International Journal of Economics, Commerce and Management, 2(9), 1-15.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Femi Adekanye (1983) The element of banking in Nigeria Lagos: F and A Publisher Ltd.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Greuning, H. &amp;Bratanovic, S. B. (2003).Analysing and Managing Banking Risk: A Framework for Assessing Corporate Governance and Financial Risks. 2nd Edition, Washington, D. C: The World Bank.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Gujarati, D. N. (2003).Basic Econometrics, New York: McGraw-Hill/Irwin. [16]. Gujarati, D. N.&amp; Porter, D. C. (2009). Basic Econometrics, New York: McGraw-Hill/Irwin.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Harcourt, E. E. (2017). Credit risk management and performance of deposit money banks in Nigeria. International Journal of Managerial Studies and Research, 5(8), 47-57.</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Hausman, J. A. (1978). Specification tests in econometrics. Econometrics, 46(6), 1215-1271.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Idowu, A. &amp;Awoyemi, S. O. (2014).The impact of credit risk management on the commercial banks performance in Nigeria. International Journal of Management and Sustainability, 3(5), 295-306.s</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James C. Van Home (1993) Financial Management and Policy Publication Seventh Edition, London: McGraw Hill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Layi Afolabi (1991) Monetary Economic Lagos Inner way Publisher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Patrick R.A.K (2002): Modern Credit Management Lagos: RIO Publisher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Robert H.I (1994) and 1995) Consumer and Commercial Credit Management BPP Publishing Limited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lastRenderedPageBreak/>
        <w:t>Saidu. H (1994 and 1995) The Administration of Credit Consideration Handout on Practice of Banking, Lagos. Unpublished.</w:t>
      </w:r>
    </w:p>
    <w:p w:rsidR="002B5DAE" w:rsidRPr="00785485" w:rsidRDefault="002B5DAE" w:rsidP="005C6D0F">
      <w:pPr>
        <w:spacing w:after="0" w:line="360" w:lineRule="auto"/>
        <w:ind w:left="1440" w:hanging="1440"/>
        <w:jc w:val="center"/>
        <w:rPr>
          <w:rFonts w:ascii="Times New Roman" w:hAnsi="Times New Roman"/>
          <w:sz w:val="24"/>
          <w:szCs w:val="24"/>
        </w:rPr>
      </w:pPr>
      <w:r w:rsidRPr="00785485">
        <w:rPr>
          <w:rFonts w:ascii="Times New Roman" w:hAnsi="Times New Roman"/>
          <w:sz w:val="24"/>
          <w:szCs w:val="24"/>
        </w:rPr>
        <w:br w:type="page"/>
      </w:r>
      <w:r w:rsidR="005C6D0F" w:rsidRPr="00785485">
        <w:rPr>
          <w:rFonts w:ascii="Times New Roman" w:hAnsi="Times New Roman"/>
          <w:sz w:val="24"/>
          <w:szCs w:val="24"/>
        </w:rPr>
        <w:lastRenderedPageBreak/>
        <w:t xml:space="preserve"> </w:t>
      </w:r>
    </w:p>
    <w:p w:rsidR="000D05DF" w:rsidRPr="00785485" w:rsidRDefault="000D05DF" w:rsidP="00785485">
      <w:pPr>
        <w:spacing w:line="360" w:lineRule="auto"/>
        <w:rPr>
          <w:rFonts w:ascii="Times New Roman" w:hAnsi="Times New Roman"/>
          <w:sz w:val="24"/>
          <w:szCs w:val="24"/>
        </w:rPr>
      </w:pPr>
    </w:p>
    <w:sectPr w:rsidR="000D05DF" w:rsidRPr="00785485" w:rsidSect="00A05B39">
      <w:footerReference w:type="default" r:id="rId8"/>
      <w:pgSz w:w="11520" w:h="15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EF" w:rsidRDefault="00C83CEF" w:rsidP="00E66E17">
      <w:pPr>
        <w:spacing w:after="0" w:line="240" w:lineRule="auto"/>
      </w:pPr>
      <w:r>
        <w:separator/>
      </w:r>
    </w:p>
  </w:endnote>
  <w:endnote w:type="continuationSeparator" w:id="1">
    <w:p w:rsidR="00C83CEF" w:rsidRDefault="00C83CEF" w:rsidP="00E66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C9" w:rsidRDefault="004118C9">
    <w:pPr>
      <w:pStyle w:val="Footer"/>
      <w:jc w:val="center"/>
    </w:pPr>
    <w:fldSimple w:instr=" PAGE   \* MERGEFORMAT ">
      <w:r w:rsidR="005C6D0F">
        <w:rPr>
          <w:noProof/>
        </w:rPr>
        <w:t>vi</w:t>
      </w:r>
    </w:fldSimple>
  </w:p>
  <w:p w:rsidR="004118C9" w:rsidRDefault="004118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170"/>
      <w:docPartObj>
        <w:docPartGallery w:val="Page Numbers (Bottom of Page)"/>
        <w:docPartUnique/>
      </w:docPartObj>
    </w:sdtPr>
    <w:sdtContent>
      <w:p w:rsidR="000D05DF" w:rsidRDefault="000D05DF">
        <w:pPr>
          <w:pStyle w:val="Footer"/>
          <w:jc w:val="center"/>
        </w:pPr>
        <w:fldSimple w:instr=" PAGE   \* MERGEFORMAT ">
          <w:r w:rsidR="005C6D0F">
            <w:rPr>
              <w:noProof/>
            </w:rPr>
            <w:t>33</w:t>
          </w:r>
        </w:fldSimple>
      </w:p>
    </w:sdtContent>
  </w:sdt>
  <w:p w:rsidR="000D05DF" w:rsidRDefault="000D0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EF" w:rsidRDefault="00C83CEF" w:rsidP="00E66E17">
      <w:pPr>
        <w:spacing w:after="0" w:line="240" w:lineRule="auto"/>
      </w:pPr>
      <w:r>
        <w:separator/>
      </w:r>
    </w:p>
  </w:footnote>
  <w:footnote w:type="continuationSeparator" w:id="1">
    <w:p w:rsidR="00C83CEF" w:rsidRDefault="00C83CEF" w:rsidP="00E66E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625558EC"/>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10216C"/>
    <w:multiLevelType w:val="hybridMultilevel"/>
    <w:tmpl w:val="EDB628F8"/>
    <w:lvl w:ilvl="0" w:tplc="04090019">
      <w:start w:val="1"/>
      <w:numFmt w:val="lowerLetter"/>
      <w:lvlText w:val="%1."/>
      <w:lvlJc w:val="left"/>
      <w:pPr>
        <w:ind w:left="750" w:hanging="360"/>
      </w:pPr>
      <w:rPr>
        <w:b/>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0D301C49"/>
    <w:multiLevelType w:val="hybridMultilevel"/>
    <w:tmpl w:val="0226D372"/>
    <w:lvl w:ilvl="0" w:tplc="04090019">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
    <w:nsid w:val="106B0F43"/>
    <w:multiLevelType w:val="hybridMultilevel"/>
    <w:tmpl w:val="E34C5D3C"/>
    <w:lvl w:ilvl="0" w:tplc="A0ECF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A88"/>
    <w:multiLevelType w:val="hybridMultilevel"/>
    <w:tmpl w:val="24C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55D6B"/>
    <w:multiLevelType w:val="multilevel"/>
    <w:tmpl w:val="AFE6A34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200A5309"/>
    <w:multiLevelType w:val="hybridMultilevel"/>
    <w:tmpl w:val="C046D836"/>
    <w:lvl w:ilvl="0" w:tplc="5A8E5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84E47"/>
    <w:multiLevelType w:val="hybridMultilevel"/>
    <w:tmpl w:val="F48C3ED2"/>
    <w:lvl w:ilvl="0" w:tplc="5BD8BF78">
      <w:start w:val="1"/>
      <w:numFmt w:val="lowerLetter"/>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2DEC73DE"/>
    <w:multiLevelType w:val="hybridMultilevel"/>
    <w:tmpl w:val="DBD06266"/>
    <w:lvl w:ilvl="0" w:tplc="F5E27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BB76A9"/>
    <w:multiLevelType w:val="hybridMultilevel"/>
    <w:tmpl w:val="301E4318"/>
    <w:lvl w:ilvl="0" w:tplc="715C632E">
      <w:start w:val="4"/>
      <w:numFmt w:val="decimal"/>
      <w:lvlText w:val="%1"/>
      <w:lvlJc w:val="left"/>
      <w:pPr>
        <w:ind w:left="960" w:hanging="720"/>
      </w:pPr>
      <w:rPr>
        <w:rFonts w:hint="default"/>
        <w:lang w:val="en-US" w:eastAsia="en-US" w:bidi="ar-SA"/>
      </w:rPr>
    </w:lvl>
    <w:lvl w:ilvl="1" w:tplc="2FB6C4EE">
      <w:numFmt w:val="none"/>
      <w:lvlText w:val=""/>
      <w:lvlJc w:val="left"/>
      <w:pPr>
        <w:tabs>
          <w:tab w:val="num" w:pos="360"/>
        </w:tabs>
      </w:pPr>
    </w:lvl>
    <w:lvl w:ilvl="2" w:tplc="6C706E0C">
      <w:numFmt w:val="bullet"/>
      <w:lvlText w:val="•"/>
      <w:lvlJc w:val="left"/>
      <w:pPr>
        <w:ind w:left="2745" w:hanging="720"/>
      </w:pPr>
      <w:rPr>
        <w:rFonts w:hint="default"/>
        <w:lang w:val="en-US" w:eastAsia="en-US" w:bidi="ar-SA"/>
      </w:rPr>
    </w:lvl>
    <w:lvl w:ilvl="3" w:tplc="5F3620FA">
      <w:numFmt w:val="bullet"/>
      <w:lvlText w:val="•"/>
      <w:lvlJc w:val="left"/>
      <w:pPr>
        <w:ind w:left="3637" w:hanging="720"/>
      </w:pPr>
      <w:rPr>
        <w:rFonts w:hint="default"/>
        <w:lang w:val="en-US" w:eastAsia="en-US" w:bidi="ar-SA"/>
      </w:rPr>
    </w:lvl>
    <w:lvl w:ilvl="4" w:tplc="57D046EC">
      <w:numFmt w:val="bullet"/>
      <w:lvlText w:val="•"/>
      <w:lvlJc w:val="left"/>
      <w:pPr>
        <w:ind w:left="4530" w:hanging="720"/>
      </w:pPr>
      <w:rPr>
        <w:rFonts w:hint="default"/>
        <w:lang w:val="en-US" w:eastAsia="en-US" w:bidi="ar-SA"/>
      </w:rPr>
    </w:lvl>
    <w:lvl w:ilvl="5" w:tplc="174E918E">
      <w:numFmt w:val="bullet"/>
      <w:lvlText w:val="•"/>
      <w:lvlJc w:val="left"/>
      <w:pPr>
        <w:ind w:left="5423" w:hanging="720"/>
      </w:pPr>
      <w:rPr>
        <w:rFonts w:hint="default"/>
        <w:lang w:val="en-US" w:eastAsia="en-US" w:bidi="ar-SA"/>
      </w:rPr>
    </w:lvl>
    <w:lvl w:ilvl="6" w:tplc="6FC2F9B4">
      <w:numFmt w:val="bullet"/>
      <w:lvlText w:val="•"/>
      <w:lvlJc w:val="left"/>
      <w:pPr>
        <w:ind w:left="6315" w:hanging="720"/>
      </w:pPr>
      <w:rPr>
        <w:rFonts w:hint="default"/>
        <w:lang w:val="en-US" w:eastAsia="en-US" w:bidi="ar-SA"/>
      </w:rPr>
    </w:lvl>
    <w:lvl w:ilvl="7" w:tplc="3218299A">
      <w:numFmt w:val="bullet"/>
      <w:lvlText w:val="•"/>
      <w:lvlJc w:val="left"/>
      <w:pPr>
        <w:ind w:left="7208" w:hanging="720"/>
      </w:pPr>
      <w:rPr>
        <w:rFonts w:hint="default"/>
        <w:lang w:val="en-US" w:eastAsia="en-US" w:bidi="ar-SA"/>
      </w:rPr>
    </w:lvl>
    <w:lvl w:ilvl="8" w:tplc="538EFEF6">
      <w:numFmt w:val="bullet"/>
      <w:lvlText w:val="•"/>
      <w:lvlJc w:val="left"/>
      <w:pPr>
        <w:ind w:left="8101" w:hanging="720"/>
      </w:pPr>
      <w:rPr>
        <w:rFonts w:hint="default"/>
        <w:lang w:val="en-US" w:eastAsia="en-US" w:bidi="ar-SA"/>
      </w:rPr>
    </w:lvl>
  </w:abstractNum>
  <w:abstractNum w:abstractNumId="11">
    <w:nsid w:val="40F129EF"/>
    <w:multiLevelType w:val="hybridMultilevel"/>
    <w:tmpl w:val="BEB4B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63D72"/>
    <w:multiLevelType w:val="multilevel"/>
    <w:tmpl w:val="04802508"/>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1920344"/>
    <w:multiLevelType w:val="hybridMultilevel"/>
    <w:tmpl w:val="DA4A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82ED4"/>
    <w:multiLevelType w:val="multilevel"/>
    <w:tmpl w:val="929CD5F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57E539D5"/>
    <w:multiLevelType w:val="hybridMultilevel"/>
    <w:tmpl w:val="4DAE8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05750"/>
    <w:multiLevelType w:val="multilevel"/>
    <w:tmpl w:val="D77EA7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D6E0782"/>
    <w:multiLevelType w:val="hybridMultilevel"/>
    <w:tmpl w:val="7A8CA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04762B"/>
    <w:multiLevelType w:val="hybridMultilevel"/>
    <w:tmpl w:val="63BC9964"/>
    <w:lvl w:ilvl="0" w:tplc="73AE72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6409082F"/>
    <w:multiLevelType w:val="hybridMultilevel"/>
    <w:tmpl w:val="1AC8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83DCC"/>
    <w:multiLevelType w:val="hybridMultilevel"/>
    <w:tmpl w:val="DD047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074F5F"/>
    <w:multiLevelType w:val="hybridMultilevel"/>
    <w:tmpl w:val="98905778"/>
    <w:lvl w:ilvl="0" w:tplc="B6B0FDF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962375"/>
    <w:multiLevelType w:val="hybridMultilevel"/>
    <w:tmpl w:val="D16A5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5162CA"/>
    <w:multiLevelType w:val="hybridMultilevel"/>
    <w:tmpl w:val="FB241CF6"/>
    <w:lvl w:ilvl="0" w:tplc="47BC4F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7A1CEA"/>
    <w:multiLevelType w:val="hybridMultilevel"/>
    <w:tmpl w:val="6A580EAC"/>
    <w:lvl w:ilvl="0" w:tplc="3208A726">
      <w:start w:val="1"/>
      <w:numFmt w:val="decimal"/>
      <w:lvlText w:val="%1."/>
      <w:lvlJc w:val="left"/>
      <w:pPr>
        <w:ind w:left="771" w:hanging="360"/>
      </w:pPr>
      <w:rPr>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5">
    <w:nsid w:val="7A4C7D7C"/>
    <w:multiLevelType w:val="hybridMultilevel"/>
    <w:tmpl w:val="7D34C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8B4F4E"/>
    <w:multiLevelType w:val="multilevel"/>
    <w:tmpl w:val="526C6414"/>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7"/>
  </w:num>
  <w:num w:numId="2">
    <w:abstractNumId w:val="23"/>
  </w:num>
  <w:num w:numId="3">
    <w:abstractNumId w:val="3"/>
  </w:num>
  <w:num w:numId="4">
    <w:abstractNumId w:val="17"/>
  </w:num>
  <w:num w:numId="5">
    <w:abstractNumId w:val="8"/>
  </w:num>
  <w:num w:numId="6">
    <w:abstractNumId w:val="15"/>
  </w:num>
  <w:num w:numId="7">
    <w:abstractNumId w:val="20"/>
  </w:num>
  <w:num w:numId="8">
    <w:abstractNumId w:val="24"/>
  </w:num>
  <w:num w:numId="9">
    <w:abstractNumId w:val="13"/>
  </w:num>
  <w:num w:numId="10">
    <w:abstractNumId w:val="5"/>
  </w:num>
  <w:num w:numId="11">
    <w:abstractNumId w:val="2"/>
  </w:num>
  <w:num w:numId="12">
    <w:abstractNumId w:val="11"/>
  </w:num>
  <w:num w:numId="13">
    <w:abstractNumId w:val="22"/>
  </w:num>
  <w:num w:numId="14">
    <w:abstractNumId w:val="10"/>
  </w:num>
  <w:num w:numId="15">
    <w:abstractNumId w:val="0"/>
  </w:num>
  <w:num w:numId="16">
    <w:abstractNumId w:val="1"/>
  </w:num>
  <w:num w:numId="17">
    <w:abstractNumId w:val="19"/>
  </w:num>
  <w:num w:numId="18">
    <w:abstractNumId w:val="25"/>
  </w:num>
  <w:num w:numId="19">
    <w:abstractNumId w:val="18"/>
  </w:num>
  <w:num w:numId="20">
    <w:abstractNumId w:val="9"/>
  </w:num>
  <w:num w:numId="21">
    <w:abstractNumId w:val="21"/>
  </w:num>
  <w:num w:numId="22">
    <w:abstractNumId w:val="12"/>
  </w:num>
  <w:num w:numId="23">
    <w:abstractNumId w:val="6"/>
  </w:num>
  <w:num w:numId="24">
    <w:abstractNumId w:val="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5DAE"/>
    <w:rsid w:val="000024D4"/>
    <w:rsid w:val="000D05DF"/>
    <w:rsid w:val="001A0934"/>
    <w:rsid w:val="002B5DAE"/>
    <w:rsid w:val="00346353"/>
    <w:rsid w:val="004118C9"/>
    <w:rsid w:val="005C6D0F"/>
    <w:rsid w:val="00775515"/>
    <w:rsid w:val="00785485"/>
    <w:rsid w:val="009176EA"/>
    <w:rsid w:val="00971943"/>
    <w:rsid w:val="00A05B39"/>
    <w:rsid w:val="00A708B1"/>
    <w:rsid w:val="00AD7D6E"/>
    <w:rsid w:val="00C83CEF"/>
    <w:rsid w:val="00D559E1"/>
    <w:rsid w:val="00E125B9"/>
    <w:rsid w:val="00E66E17"/>
    <w:rsid w:val="00EF55B3"/>
    <w:rsid w:val="00F658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AE"/>
    <w:rPr>
      <w:rFonts w:ascii="Calibri" w:eastAsia="Calibri" w:hAnsi="Calibri" w:cs="Times New Roman"/>
    </w:rPr>
  </w:style>
  <w:style w:type="paragraph" w:styleId="Heading1">
    <w:name w:val="heading 1"/>
    <w:basedOn w:val="Normal"/>
    <w:link w:val="Heading1Char"/>
    <w:uiPriority w:val="1"/>
    <w:qFormat/>
    <w:rsid w:val="002B5DAE"/>
    <w:pPr>
      <w:widowControl w:val="0"/>
      <w:autoSpaceDE w:val="0"/>
      <w:autoSpaceDN w:val="0"/>
      <w:spacing w:after="0" w:line="240" w:lineRule="auto"/>
      <w:ind w:left="960" w:hanging="721"/>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5DA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B5DA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B5DAE"/>
    <w:rPr>
      <w:b/>
      <w:bCs/>
    </w:rPr>
  </w:style>
  <w:style w:type="paragraph" w:styleId="Header">
    <w:name w:val="header"/>
    <w:basedOn w:val="Normal"/>
    <w:link w:val="HeaderChar"/>
    <w:uiPriority w:val="99"/>
    <w:semiHidden/>
    <w:unhideWhenUsed/>
    <w:rsid w:val="002B5D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DAE"/>
    <w:rPr>
      <w:rFonts w:ascii="Calibri" w:eastAsia="Calibri" w:hAnsi="Calibri" w:cs="Times New Roman"/>
    </w:rPr>
  </w:style>
  <w:style w:type="paragraph" w:styleId="Footer">
    <w:name w:val="footer"/>
    <w:basedOn w:val="Normal"/>
    <w:link w:val="FooterChar"/>
    <w:uiPriority w:val="99"/>
    <w:unhideWhenUsed/>
    <w:rsid w:val="002B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DAE"/>
    <w:rPr>
      <w:rFonts w:ascii="Calibri" w:eastAsia="Calibri" w:hAnsi="Calibri" w:cs="Times New Roman"/>
    </w:rPr>
  </w:style>
  <w:style w:type="paragraph" w:styleId="ListParagraph">
    <w:name w:val="List Paragraph"/>
    <w:basedOn w:val="Normal"/>
    <w:uiPriority w:val="34"/>
    <w:qFormat/>
    <w:rsid w:val="002B5DAE"/>
    <w:pPr>
      <w:ind w:left="720"/>
      <w:contextualSpacing/>
    </w:pPr>
  </w:style>
  <w:style w:type="table" w:styleId="TableGrid">
    <w:name w:val="Table Grid"/>
    <w:basedOn w:val="TableNormal"/>
    <w:uiPriority w:val="59"/>
    <w:rsid w:val="002B5DAE"/>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5DAE"/>
    <w:rPr>
      <w:sz w:val="16"/>
      <w:szCs w:val="16"/>
    </w:rPr>
  </w:style>
  <w:style w:type="paragraph" w:styleId="CommentText">
    <w:name w:val="annotation text"/>
    <w:basedOn w:val="Normal"/>
    <w:link w:val="CommentTextChar"/>
    <w:uiPriority w:val="99"/>
    <w:semiHidden/>
    <w:unhideWhenUsed/>
    <w:rsid w:val="002B5DAE"/>
    <w:pPr>
      <w:spacing w:line="240" w:lineRule="auto"/>
    </w:pPr>
    <w:rPr>
      <w:sz w:val="20"/>
      <w:szCs w:val="20"/>
    </w:rPr>
  </w:style>
  <w:style w:type="character" w:customStyle="1" w:styleId="CommentTextChar">
    <w:name w:val="Comment Text Char"/>
    <w:basedOn w:val="DefaultParagraphFont"/>
    <w:link w:val="CommentText"/>
    <w:uiPriority w:val="99"/>
    <w:semiHidden/>
    <w:rsid w:val="002B5D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5DAE"/>
    <w:rPr>
      <w:b/>
      <w:bCs/>
    </w:rPr>
  </w:style>
  <w:style w:type="character" w:customStyle="1" w:styleId="CommentSubjectChar">
    <w:name w:val="Comment Subject Char"/>
    <w:basedOn w:val="CommentTextChar"/>
    <w:link w:val="CommentSubject"/>
    <w:uiPriority w:val="99"/>
    <w:semiHidden/>
    <w:rsid w:val="002B5DAE"/>
    <w:rPr>
      <w:b/>
      <w:bCs/>
    </w:rPr>
  </w:style>
  <w:style w:type="paragraph" w:styleId="BalloonText">
    <w:name w:val="Balloon Text"/>
    <w:basedOn w:val="Normal"/>
    <w:link w:val="BalloonTextChar"/>
    <w:uiPriority w:val="99"/>
    <w:semiHidden/>
    <w:unhideWhenUsed/>
    <w:rsid w:val="002B5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DAE"/>
    <w:rPr>
      <w:rFonts w:ascii="Segoe UI" w:eastAsia="Calibri" w:hAnsi="Segoe UI" w:cs="Segoe UI"/>
      <w:sz w:val="18"/>
      <w:szCs w:val="18"/>
    </w:rPr>
  </w:style>
  <w:style w:type="paragraph" w:customStyle="1" w:styleId="Style1">
    <w:name w:val="Style1"/>
    <w:basedOn w:val="Normal"/>
    <w:uiPriority w:val="99"/>
    <w:rsid w:val="002B5DAE"/>
    <w:pPr>
      <w:widowControl w:val="0"/>
      <w:autoSpaceDE w:val="0"/>
      <w:autoSpaceDN w:val="0"/>
      <w:adjustRightInd w:val="0"/>
      <w:spacing w:after="0" w:line="254" w:lineRule="exact"/>
      <w:ind w:firstLine="710"/>
      <w:jc w:val="both"/>
    </w:pPr>
    <w:rPr>
      <w:rFonts w:ascii="Times New Roman" w:eastAsia="Times New Roman" w:hAnsi="Times New Roman"/>
      <w:sz w:val="24"/>
      <w:szCs w:val="24"/>
    </w:rPr>
  </w:style>
  <w:style w:type="character" w:customStyle="1" w:styleId="FontStyle11">
    <w:name w:val="Font Style11"/>
    <w:basedOn w:val="DefaultParagraphFont"/>
    <w:uiPriority w:val="99"/>
    <w:rsid w:val="002B5DAE"/>
    <w:rPr>
      <w:rFonts w:ascii="Times New Roman" w:hAnsi="Times New Roman" w:cs="Times New Roman"/>
      <w:b/>
      <w:bCs/>
      <w:sz w:val="20"/>
      <w:szCs w:val="20"/>
    </w:rPr>
  </w:style>
  <w:style w:type="character" w:customStyle="1" w:styleId="FontStyle13">
    <w:name w:val="Font Style13"/>
    <w:basedOn w:val="DefaultParagraphFont"/>
    <w:uiPriority w:val="99"/>
    <w:rsid w:val="002B5DAE"/>
    <w:rPr>
      <w:rFonts w:ascii="Times New Roman" w:hAnsi="Times New Roman" w:cs="Times New Roman"/>
      <w:sz w:val="20"/>
      <w:szCs w:val="20"/>
    </w:rPr>
  </w:style>
  <w:style w:type="paragraph" w:styleId="BodyText">
    <w:name w:val="Body Text"/>
    <w:basedOn w:val="Normal"/>
    <w:link w:val="BodyTextChar"/>
    <w:uiPriority w:val="1"/>
    <w:qFormat/>
    <w:rsid w:val="002B5DAE"/>
    <w:pPr>
      <w:widowControl w:val="0"/>
      <w:autoSpaceDE w:val="0"/>
      <w:autoSpaceDN w:val="0"/>
      <w:spacing w:after="0" w:line="240" w:lineRule="auto"/>
      <w:ind w:left="240"/>
      <w:jc w:val="both"/>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B5DA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B5DAE"/>
    <w:pPr>
      <w:widowControl w:val="0"/>
      <w:autoSpaceDE w:val="0"/>
      <w:autoSpaceDN w:val="0"/>
      <w:spacing w:after="0" w:line="210" w:lineRule="exact"/>
    </w:pPr>
    <w:rPr>
      <w:rFonts w:ascii="Times New Roman" w:eastAsia="Times New Roman" w:hAnsi="Times New Roman"/>
    </w:rPr>
  </w:style>
  <w:style w:type="paragraph" w:styleId="NoSpacing">
    <w:name w:val="No Spacing"/>
    <w:uiPriority w:val="1"/>
    <w:qFormat/>
    <w:rsid w:val="002B5DA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55</Pages>
  <Words>12896</Words>
  <Characters>73510</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6</cp:revision>
  <dcterms:created xsi:type="dcterms:W3CDTF">2025-04-29T10:02:00Z</dcterms:created>
  <dcterms:modified xsi:type="dcterms:W3CDTF">2025-05-09T12:10:00Z</dcterms:modified>
</cp:coreProperties>
</file>