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35BC" w14:textId="77777777" w:rsidR="0056512A" w:rsidRDefault="0056512A" w:rsidP="0056512A">
      <w:pPr>
        <w:jc w:val="center"/>
        <w:rPr>
          <w:rFonts w:ascii="Times New Roman" w:hAnsi="Times New Roman" w:cs="Times New Roman"/>
          <w:b/>
          <w:sz w:val="40"/>
          <w:szCs w:val="40"/>
        </w:rPr>
      </w:pPr>
    </w:p>
    <w:p w14:paraId="0EDE5AB2" w14:textId="6948324D" w:rsidR="0056512A" w:rsidRDefault="0056512A" w:rsidP="0056512A">
      <w:pPr>
        <w:jc w:val="center"/>
        <w:rPr>
          <w:rFonts w:ascii="Times New Roman" w:hAnsi="Times New Roman" w:cs="Times New Roman"/>
          <w:b/>
          <w:sz w:val="40"/>
          <w:szCs w:val="40"/>
        </w:rPr>
      </w:pPr>
      <w:r>
        <w:rPr>
          <w:rFonts w:ascii="Times New Roman" w:hAnsi="Times New Roman" w:cs="Times New Roman"/>
          <w:b/>
          <w:sz w:val="40"/>
          <w:szCs w:val="40"/>
        </w:rPr>
        <w:t>IMPACT OF WORK LIFE BALANCE ON EMPLOYEES’</w:t>
      </w:r>
      <w:r w:rsidRPr="005D696F">
        <w:rPr>
          <w:rFonts w:ascii="Times New Roman" w:hAnsi="Times New Roman" w:cs="Times New Roman"/>
          <w:b/>
          <w:sz w:val="40"/>
          <w:szCs w:val="40"/>
        </w:rPr>
        <w:t xml:space="preserve"> PERFORMANCE </w:t>
      </w:r>
      <w:r>
        <w:rPr>
          <w:rFonts w:ascii="Times New Roman" w:hAnsi="Times New Roman" w:cs="Times New Roman"/>
          <w:b/>
          <w:sz w:val="40"/>
          <w:szCs w:val="40"/>
        </w:rPr>
        <w:t xml:space="preserve">IN </w:t>
      </w:r>
      <w:r w:rsidRPr="005D696F">
        <w:rPr>
          <w:rFonts w:ascii="Times New Roman" w:hAnsi="Times New Roman" w:cs="Times New Roman"/>
          <w:b/>
          <w:sz w:val="40"/>
          <w:szCs w:val="40"/>
        </w:rPr>
        <w:t>SELECTED MONEY DEPOSIT BANKS IN ILORIN METROPOLIS</w:t>
      </w:r>
    </w:p>
    <w:p w14:paraId="034A19A3" w14:textId="77777777" w:rsidR="0056512A" w:rsidRDefault="0056512A" w:rsidP="0056512A">
      <w:pPr>
        <w:spacing w:line="360" w:lineRule="auto"/>
        <w:jc w:val="center"/>
        <w:rPr>
          <w:rFonts w:ascii="Times New Roman" w:hAnsi="Times New Roman"/>
          <w:sz w:val="24"/>
          <w:szCs w:val="24"/>
        </w:rPr>
      </w:pPr>
    </w:p>
    <w:p w14:paraId="4CC633D1" w14:textId="77777777" w:rsidR="0056512A" w:rsidRDefault="0056512A" w:rsidP="0056512A">
      <w:pPr>
        <w:spacing w:after="0" w:line="240" w:lineRule="auto"/>
        <w:rPr>
          <w:sz w:val="20"/>
          <w:szCs w:val="20"/>
        </w:rPr>
      </w:pPr>
    </w:p>
    <w:p w14:paraId="6ABEBC35" w14:textId="375E8B9B" w:rsidR="0056512A" w:rsidRPr="0056512A" w:rsidRDefault="0056512A" w:rsidP="0056512A">
      <w:pPr>
        <w:spacing w:after="0" w:line="240" w:lineRule="auto"/>
        <w:rPr>
          <w:rFonts w:ascii="Times New Roman" w:hAnsi="Times New Roman" w:cs="Times New Roman"/>
          <w:b/>
          <w:bCs/>
          <w:sz w:val="48"/>
          <w:szCs w:val="48"/>
        </w:rPr>
      </w:pPr>
      <w:r>
        <w:rPr>
          <w:rFonts w:ascii="Times New Roman" w:hAnsi="Times New Roman" w:cs="Times New Roman"/>
          <w:b/>
          <w:bCs/>
          <w:sz w:val="48"/>
          <w:szCs w:val="48"/>
        </w:rPr>
        <w:t xml:space="preserve">    </w:t>
      </w:r>
      <w:r w:rsidRPr="0056512A">
        <w:rPr>
          <w:rFonts w:ascii="Times New Roman" w:hAnsi="Times New Roman" w:cs="Times New Roman"/>
          <w:b/>
          <w:bCs/>
          <w:sz w:val="48"/>
          <w:szCs w:val="48"/>
        </w:rPr>
        <w:t>OGUNWALE BLESSING OLUWASEUN</w:t>
      </w:r>
    </w:p>
    <w:p w14:paraId="32472196" w14:textId="77777777" w:rsidR="0056512A" w:rsidRDefault="0056512A" w:rsidP="0056512A">
      <w:pPr>
        <w:spacing w:after="0" w:line="240" w:lineRule="auto"/>
        <w:rPr>
          <w:sz w:val="20"/>
          <w:szCs w:val="20"/>
        </w:rPr>
      </w:pPr>
    </w:p>
    <w:p w14:paraId="6DE03348" w14:textId="77777777" w:rsidR="0056512A" w:rsidRDefault="0056512A" w:rsidP="0056512A">
      <w:pPr>
        <w:spacing w:after="0" w:line="240" w:lineRule="auto"/>
      </w:pPr>
    </w:p>
    <w:p w14:paraId="4D1C4F69" w14:textId="77777777" w:rsidR="0056512A" w:rsidRDefault="0056512A" w:rsidP="0056512A">
      <w:pPr>
        <w:spacing w:line="360" w:lineRule="auto"/>
        <w:jc w:val="center"/>
        <w:rPr>
          <w:rFonts w:ascii="Times New Roman" w:hAnsi="Times New Roman"/>
          <w:b/>
          <w:bCs/>
          <w:sz w:val="24"/>
          <w:szCs w:val="24"/>
        </w:rPr>
      </w:pPr>
      <w:r>
        <w:rPr>
          <w:rFonts w:ascii="Times New Roman" w:hAnsi="Times New Roman"/>
          <w:b/>
          <w:bCs/>
          <w:sz w:val="24"/>
          <w:szCs w:val="24"/>
        </w:rPr>
        <w:t>BY</w:t>
      </w:r>
    </w:p>
    <w:p w14:paraId="521F4B88" w14:textId="77777777" w:rsidR="0056512A" w:rsidRPr="008315F1" w:rsidRDefault="0056512A" w:rsidP="0056512A">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3FF01A6E" w:rsidR="0056512A" w:rsidRPr="003C6FC8" w:rsidRDefault="0056512A" w:rsidP="0056512A">
      <w:pPr>
        <w:spacing w:line="360" w:lineRule="auto"/>
        <w:jc w:val="center"/>
        <w:rPr>
          <w:rFonts w:ascii="Times New Roman" w:hAnsi="Times New Roman"/>
          <w:b/>
          <w:bCs/>
          <w:sz w:val="36"/>
          <w:szCs w:val="36"/>
        </w:rPr>
      </w:pPr>
      <w:r>
        <w:rPr>
          <w:rFonts w:ascii="Times New Roman" w:hAnsi="Times New Roman"/>
          <w:b/>
          <w:bCs/>
          <w:sz w:val="36"/>
          <w:szCs w:val="36"/>
        </w:rPr>
        <w:t>HND/23/BAM/FT/</w:t>
      </w:r>
      <w:r w:rsidR="00BA7CC0">
        <w:rPr>
          <w:rFonts w:ascii="Times New Roman" w:hAnsi="Times New Roman"/>
          <w:b/>
          <w:bCs/>
          <w:sz w:val="36"/>
          <w:szCs w:val="36"/>
        </w:rPr>
        <w:t>0863</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HIGHER NATIONAL DIPLOMA (HND)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2A8C45B3" w14:textId="77777777"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t>CERTIFICATION</w:t>
      </w:r>
    </w:p>
    <w:p w14:paraId="625AC0B6" w14:textId="77777777"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for the award of Higher National Diploma in Business Administration and Management, Kwara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77777777" w:rsidR="0056512A" w:rsidRDefault="0056512A" w:rsidP="0056512A">
      <w:pPr>
        <w:spacing w:after="0" w:line="240" w:lineRule="auto"/>
        <w:rPr>
          <w:rFonts w:ascii="Tahoma" w:hAnsi="Tahoma" w:cs="Tahoma"/>
          <w:sz w:val="26"/>
        </w:rPr>
      </w:pPr>
      <w:r>
        <w:rPr>
          <w:rFonts w:ascii="Bookman Old Style" w:hAnsi="Bookman Old Style" w:cs="Tahoma"/>
          <w:b/>
          <w:sz w:val="28"/>
        </w:rPr>
        <w:t xml:space="preserve">MR ALAKOSO I.K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77777777"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 ALIYU U.B</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77777777"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DR. ABDULSSALAM. F</w:t>
      </w:r>
      <w:r>
        <w:rPr>
          <w:rFonts w:ascii="Bookman Old Style" w:hAnsi="Bookman Old Style" w:cs="Tahoma"/>
          <w:b/>
          <w:sz w:val="28"/>
        </w:rPr>
        <w:tab/>
      </w:r>
      <w:r>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4A950AF0"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Kacmar ,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(Carlson ,Kacmar,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Careful coordination between the two workers, their supervisor and their co-workers is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Muchinsky (2004) in his views said that job performance is the set of worker’s behaviour that can be monitored, measured and assessed in terms of achievement at individual level. Moreover, these</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w:t>
      </w:r>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Otokiti,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(Mccarthy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be used for the manner that the respondents will object to. The ethical considerations w</w:t>
      </w:r>
      <w:r>
        <w:rPr>
          <w:rFonts w:ascii="Times New Roman" w:eastAsia="Times New Roman" w:hAnsi="Times New Roman" w:cs="Times New Roman"/>
          <w:sz w:val="24"/>
          <w:szCs w:val="24"/>
        </w:rPr>
        <w:t>as</w:t>
      </w:r>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MBA/Msc.</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Research by Kalliath,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Meyer and Allen's (1991) three-component model of organizational commitment is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Kossek, Lautsch,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Aluko, Y. A. (2009). Work family conflict and coping strategies adopted by woman in academia. IfepsycholoIaIA: Gender and Behaviour,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Anantha R., &amp; Arokiasamy,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Journal of vocational behaviour,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Eby, L.T., Casper, W. J., Lockwood, A., Bordeanx,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Grzywacz, J.,.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Journal Of Occupational And Organizational Psycology</w:t>
      </w:r>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behaviour.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Kossek,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Dunnette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labour,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Mitronen,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Muchinsky,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Mulanya, C., &amp; Kagiri,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L., Harris, S., Giles, W., &amp; Feild, H. (2008). Work-life benefits and positive organizational behavior: Is there a connection?.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Stavrou, S., &amp; Kilaniotis,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Trice, H., &amp; Morand, D. (1991). Organisational subculture and countercultures. In G. Miller</w:t>
      </w:r>
      <w:r w:rsidRPr="009E7C23">
        <w:rPr>
          <w:rFonts w:ascii="Times New Roman" w:eastAsia="Times New Roman" w:hAnsi="Times New Roman" w:cs="Times New Roman"/>
          <w:sz w:val="24"/>
          <w:szCs w:val="24"/>
        </w:rPr>
        <w:tab/>
        <w:t xml:space="preserve">(Ed.), Studies in organisational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Wayne, C., Koch, L. &amp; Hill, E. (2004). Working Time and Work-Family Balance: A Review of Employees' Preferences. Asia Pacific Journal Of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Whitman, D. S., Van Rooy, D. L., Viswesvaran,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1E3A7E2" w:rsidR="0056512A" w:rsidRPr="007E5B57" w:rsidRDefault="0056512A" w:rsidP="005651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Ogunwale Blessing Oluwaseun</w:t>
      </w: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Male (  )</w:t>
      </w:r>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  )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Marital status: Single (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Educational background: O’ Level (  )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Length of Service: Less than 5years: ( )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Employment Status: Permanent (  )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D4911" w14:textId="77777777" w:rsidR="001412A7" w:rsidRDefault="001412A7">
      <w:pPr>
        <w:spacing w:after="0" w:line="240" w:lineRule="auto"/>
      </w:pPr>
      <w:r>
        <w:separator/>
      </w:r>
    </w:p>
  </w:endnote>
  <w:endnote w:type="continuationSeparator" w:id="0">
    <w:p w14:paraId="13DD045E" w14:textId="77777777" w:rsidR="001412A7" w:rsidRDefault="0014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247395"/>
      <w:docPartObj>
        <w:docPartGallery w:val="Page Numbers (Bottom of Page)"/>
        <w:docPartUnique/>
      </w:docPartObj>
    </w:sdtPr>
    <w:sdtEndPr>
      <w:rPr>
        <w:noProof/>
      </w:rPr>
    </w:sdtEndPr>
    <w:sdtContent>
      <w:p w14:paraId="2866A385" w14:textId="77777777" w:rsidR="005806D2" w:rsidRDefault="0000000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54EFF" w14:textId="77777777" w:rsidR="001412A7" w:rsidRDefault="001412A7">
      <w:pPr>
        <w:spacing w:after="0" w:line="240" w:lineRule="auto"/>
      </w:pPr>
      <w:r>
        <w:separator/>
      </w:r>
    </w:p>
  </w:footnote>
  <w:footnote w:type="continuationSeparator" w:id="0">
    <w:p w14:paraId="423D2B27" w14:textId="77777777" w:rsidR="001412A7" w:rsidRDefault="00141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432460">
    <w:abstractNumId w:val="35"/>
  </w:num>
  <w:num w:numId="2" w16cid:durableId="869337857">
    <w:abstractNumId w:val="10"/>
  </w:num>
  <w:num w:numId="3" w16cid:durableId="1145194621">
    <w:abstractNumId w:val="20"/>
  </w:num>
  <w:num w:numId="4" w16cid:durableId="244917612">
    <w:abstractNumId w:val="17"/>
  </w:num>
  <w:num w:numId="5" w16cid:durableId="1322387230">
    <w:abstractNumId w:val="5"/>
  </w:num>
  <w:num w:numId="6" w16cid:durableId="256406593">
    <w:abstractNumId w:val="8"/>
  </w:num>
  <w:num w:numId="7" w16cid:durableId="281350767">
    <w:abstractNumId w:val="13"/>
  </w:num>
  <w:num w:numId="8" w16cid:durableId="1065761873">
    <w:abstractNumId w:val="34"/>
  </w:num>
  <w:num w:numId="9" w16cid:durableId="2135707957">
    <w:abstractNumId w:val="29"/>
  </w:num>
  <w:num w:numId="10" w16cid:durableId="967859814">
    <w:abstractNumId w:val="30"/>
  </w:num>
  <w:num w:numId="11" w16cid:durableId="1655643781">
    <w:abstractNumId w:val="2"/>
  </w:num>
  <w:num w:numId="12" w16cid:durableId="2117170271">
    <w:abstractNumId w:val="23"/>
  </w:num>
  <w:num w:numId="13" w16cid:durableId="782190390">
    <w:abstractNumId w:val="15"/>
  </w:num>
  <w:num w:numId="14" w16cid:durableId="609238264">
    <w:abstractNumId w:val="16"/>
  </w:num>
  <w:num w:numId="15" w16cid:durableId="2124760746">
    <w:abstractNumId w:val="39"/>
  </w:num>
  <w:num w:numId="16" w16cid:durableId="1753235020">
    <w:abstractNumId w:val="12"/>
  </w:num>
  <w:num w:numId="17" w16cid:durableId="268047004">
    <w:abstractNumId w:val="14"/>
  </w:num>
  <w:num w:numId="18" w16cid:durableId="1093042029">
    <w:abstractNumId w:val="7"/>
  </w:num>
  <w:num w:numId="19" w16cid:durableId="514030145">
    <w:abstractNumId w:val="37"/>
  </w:num>
  <w:num w:numId="20" w16cid:durableId="1648705380">
    <w:abstractNumId w:val="22"/>
  </w:num>
  <w:num w:numId="21" w16cid:durableId="1522280790">
    <w:abstractNumId w:val="19"/>
  </w:num>
  <w:num w:numId="22" w16cid:durableId="2072658020">
    <w:abstractNumId w:val="1"/>
  </w:num>
  <w:num w:numId="23" w16cid:durableId="1994218392">
    <w:abstractNumId w:val="42"/>
  </w:num>
  <w:num w:numId="24" w16cid:durableId="1392146855">
    <w:abstractNumId w:val="32"/>
  </w:num>
  <w:num w:numId="25" w16cid:durableId="1680306319">
    <w:abstractNumId w:val="27"/>
  </w:num>
  <w:num w:numId="26" w16cid:durableId="1207792022">
    <w:abstractNumId w:val="40"/>
  </w:num>
  <w:num w:numId="27" w16cid:durableId="1263955719">
    <w:abstractNumId w:val="38"/>
  </w:num>
  <w:num w:numId="28" w16cid:durableId="965892470">
    <w:abstractNumId w:val="21"/>
  </w:num>
  <w:num w:numId="29" w16cid:durableId="2035230557">
    <w:abstractNumId w:val="28"/>
  </w:num>
  <w:num w:numId="30" w16cid:durableId="484203401">
    <w:abstractNumId w:val="41"/>
  </w:num>
  <w:num w:numId="31" w16cid:durableId="1554461430">
    <w:abstractNumId w:val="25"/>
  </w:num>
  <w:num w:numId="32" w16cid:durableId="28922002">
    <w:abstractNumId w:val="6"/>
  </w:num>
  <w:num w:numId="33" w16cid:durableId="56786368">
    <w:abstractNumId w:val="44"/>
  </w:num>
  <w:num w:numId="34" w16cid:durableId="276985962">
    <w:abstractNumId w:val="24"/>
  </w:num>
  <w:num w:numId="35" w16cid:durableId="1075709372">
    <w:abstractNumId w:val="4"/>
  </w:num>
  <w:num w:numId="36" w16cid:durableId="1322932058">
    <w:abstractNumId w:val="18"/>
  </w:num>
  <w:num w:numId="37" w16cid:durableId="2072000413">
    <w:abstractNumId w:val="45"/>
  </w:num>
  <w:num w:numId="38" w16cid:durableId="852110359">
    <w:abstractNumId w:val="36"/>
  </w:num>
  <w:num w:numId="39" w16cid:durableId="853812396">
    <w:abstractNumId w:val="11"/>
  </w:num>
  <w:num w:numId="40" w16cid:durableId="889390161">
    <w:abstractNumId w:val="9"/>
  </w:num>
  <w:num w:numId="41" w16cid:durableId="1171487336">
    <w:abstractNumId w:val="33"/>
  </w:num>
  <w:num w:numId="42" w16cid:durableId="478889893">
    <w:abstractNumId w:val="43"/>
  </w:num>
  <w:num w:numId="43" w16cid:durableId="51926414">
    <w:abstractNumId w:val="31"/>
  </w:num>
  <w:num w:numId="44" w16cid:durableId="1782414892">
    <w:abstractNumId w:val="26"/>
  </w:num>
  <w:num w:numId="45" w16cid:durableId="2008551799">
    <w:abstractNumId w:val="0"/>
  </w:num>
  <w:num w:numId="46" w16cid:durableId="38241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2B7A57"/>
    <w:rsid w:val="003643B2"/>
    <w:rsid w:val="0056512A"/>
    <w:rsid w:val="005806D2"/>
    <w:rsid w:val="008D79E5"/>
    <w:rsid w:val="0095721E"/>
    <w:rsid w:val="00AE5BA2"/>
    <w:rsid w:val="00AF76CF"/>
    <w:rsid w:val="00BA7CC0"/>
    <w:rsid w:val="00BB0642"/>
    <w:rsid w:val="00C82987"/>
    <w:rsid w:val="00D4366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14961</Words>
  <Characters>85282</Characters>
  <Application>Microsoft Office Word</Application>
  <DocSecurity>0</DocSecurity>
  <Lines>710</Lines>
  <Paragraphs>200</Paragraphs>
  <ScaleCrop>false</ScaleCrop>
  <Company/>
  <LinksUpToDate>false</LinksUpToDate>
  <CharactersWithSpaces>100043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3</cp:revision>
  <dcterms:created xsi:type="dcterms:W3CDTF">2025-01-06T17:37:00Z</dcterms:created>
  <dcterms:modified xsi:type="dcterms:W3CDTF">2025-01-06T17:38:00Z</dcterms:modified>
</cp:coreProperties>
</file>