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AE" w:rsidRPr="00832F88" w:rsidRDefault="002B5DAE" w:rsidP="002B5DAE">
      <w:pPr>
        <w:spacing w:after="0" w:line="240" w:lineRule="auto"/>
        <w:jc w:val="center"/>
        <w:rPr>
          <w:rFonts w:ascii="Times New Roman" w:hAnsi="Times New Roman"/>
          <w:b/>
        </w:rPr>
      </w:pPr>
      <w:r w:rsidRPr="00832F88">
        <w:rPr>
          <w:rFonts w:ascii="Times New Roman" w:hAnsi="Times New Roman"/>
          <w:b/>
        </w:rPr>
        <w:t>ASSESSMENT OF THE IMPACT OF BANK CREDIT ON AGRICULTURAL DEVELOPMENT IN NIGERIA</w:t>
      </w:r>
    </w:p>
    <w:p w:rsidR="002B5DAE" w:rsidRPr="00832F88" w:rsidRDefault="002B5DAE" w:rsidP="002B5DAE">
      <w:pPr>
        <w:spacing w:after="0" w:line="240" w:lineRule="auto"/>
        <w:jc w:val="center"/>
        <w:rPr>
          <w:rFonts w:ascii="Times New Roman" w:hAnsi="Times New Roman"/>
          <w:b/>
        </w:rPr>
      </w:pPr>
      <w:r w:rsidRPr="00832F88">
        <w:rPr>
          <w:rFonts w:ascii="Times New Roman" w:hAnsi="Times New Roman"/>
          <w:b/>
        </w:rPr>
        <w:t>(A CASE STUDY OF FIRST BANK OF NIGERIA PLC)</w:t>
      </w:r>
    </w:p>
    <w:p w:rsidR="002B5DAE" w:rsidRPr="00832F88" w:rsidRDefault="002B5DAE" w:rsidP="002B5DAE">
      <w:pPr>
        <w:spacing w:after="0" w:line="240" w:lineRule="auto"/>
        <w:jc w:val="center"/>
        <w:rPr>
          <w:rFonts w:ascii="Times New Roman" w:hAnsi="Times New Roman"/>
          <w:b/>
        </w:rPr>
      </w:pPr>
      <w:r w:rsidRPr="00832F88">
        <w:rPr>
          <w:rFonts w:ascii="Times New Roman" w:hAnsi="Times New Roman"/>
          <w:b/>
        </w:rPr>
        <w:t>CHAPTER ONE</w:t>
      </w:r>
    </w:p>
    <w:p w:rsidR="002B5DAE" w:rsidRPr="00832F88" w:rsidRDefault="002B5DAE" w:rsidP="002B5DAE">
      <w:pPr>
        <w:spacing w:after="0" w:line="240" w:lineRule="auto"/>
        <w:jc w:val="center"/>
        <w:rPr>
          <w:rFonts w:ascii="Times New Roman" w:hAnsi="Times New Roman"/>
          <w:b/>
        </w:rPr>
      </w:pPr>
      <w:r w:rsidRPr="00832F88">
        <w:rPr>
          <w:rFonts w:ascii="Times New Roman" w:hAnsi="Times New Roman"/>
          <w:b/>
        </w:rPr>
        <w:t>INTRODUCTION</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b/>
        </w:rPr>
        <w:t>1.1</w:t>
      </w:r>
      <w:r w:rsidRPr="00832F88">
        <w:rPr>
          <w:rFonts w:ascii="Times New Roman" w:hAnsi="Times New Roman"/>
          <w:b/>
        </w:rPr>
        <w:tab/>
        <w:t>BACKGROUND TO THE STUDY</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Agriculture is the dominant sector in terms of the proportion of the population involved in it. It provides the means of livelihood for the majority of the population in Nigeria. It accounts for about 70% of employment in Nigeria. It is obvious that agricultural production particularly food is an economic issue in Nigeria today. Prior to the advent of petroleum in 1970s, agriculture was the mainstay of the Nigerian economy and performed many assigned roles in the overall economic growth. Among the contributions of agricultural sector in a growing economy are those of providing adequate food for an increasing population, supplying new materials to agro-based industrial sector, constituting a major source of employment, income and foreign exchange earnings and a market for the products of the industrial sector.</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An evaluation of the performance of the agricultural sector from the 1980,s shows a declining productivity in all the subsectors of its activities including its share of the cross domestic product and contribution to the economy. Available CBN statistics shows that agricultural sector contributed about 64.3% on the average to the GDP in the early 1960’s. However, agricultural output declined negligibly to 12.3% in 2000,s. The deterioration in the country’s agricultural sector became glaring that the country depended on food imports to bridge domestics supply shorts falls.</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The weak performance of the agricultural sector of the economy with its attendant socio-economic burdens as evidence on a widening food-supply and demand gaps, galloping food price and rising food import bill and declining revenue created a balance of payment problem.</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The deterioration in the external balance was accompanied with increase in the level of external debts. Debts over-hang and serving became much more burden some that absent 30% of annual earnings was earmarked for debt servicing to external creditors.</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In view of the foregoing and in an effort to check the dwindling agricultural sector performance in Nigeria, the Federal Government prioritized the agricultural sector and direct the Commercial Bank through the CBN to devote certain percentage of their loanable funds to the sector to enable it meets its production needs. Nevertheless, to enhance increase in agricultural production, farmers have to adopt a capital intensive strategy and this call for additional demand for credit. As a result, most farming activities is still been carry out with traditional method. Subsistence agriculture cannot feed a teaming and rapidly increasing population such as Nigeria. Several studies have shown that Nigeria is endowed with fertile agricultural land, rivers, streams, lakes forest and grassland, as well as large active population that can sustain a high production and profitable agricultural sector.  Adubi (2000) admits that this enormous resource base, if well managed could support a vibrant agricultural sector capable of ensuring sufficiency in food and raw materials for the industrial sector as well as providing gainful employment for the teaming population and generating foreign exchange.</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The renewed drive by government and individuals to resuscitate agriculture to play its leading roles in the economy adds credence to the assertion by Gunner in Todaro (1977) that it is in the agricultural sector that the battle for long term economic development will be won or lost. Thee government Nigeria have initiated a member of agricultural policies, programmes and projects largely within the framework of successive development and nothing plans. One of such policy measure taking and adopted is policy of agricultural credit financing to boost agricultural productivity.</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But after three decades of the policy implementation, all relevant indicators have suggested that the recovery of the agricultural sector has been sluggish and slow. Mathew (2008) pointed out the in spite of the potentials and magnitude of deposit of primary resources for effective agricultural activities in Nigeria, the sector has continuously having diminishing productivity. The impacts of these polices (commercial bank credits) on agricultural output in Nigeria is still largely unclear. The question from the above is,  have the credit institutions especially Commercial bank been able to impact positively on the level of agricultural productivity in Nigeria? </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1.2     STATEMENT OF THE PROBLEMS</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It is important to note that in the early 70s when the oil price increased, the agricultural sector suffered a serious neglect as the focus and concern of the nation’s economic activities and government revenue shifted to the industry. Consequently, price fell in the world market.</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The Nigerian food import bill assumed an unprecedented level of about N1.5billion while the traditional agricultural exports were progressively declining. The need then arose for re-engineering the agricultural sector and a fundamental restructuring of the economy towards self-sustaining growth and development.  After the post independent, the CBN established some agricultural agency like Credit Guarantee Loan Scheme (1972) to address the problem of agriculture by granting loan and advances to agricultural sector, but this scheme was not properly implemented.</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In 1971, an agricultural reform was established called “Operation Feed the Nation”. Poor assessment and implementation of the programme could not allow the government to achieve its objectives.1989, the government came up with a reform called Structural Adjustment Programme, the programme was also with a wrong motive.</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 xml:space="preserve">The Bank reform 2005 by CBN resulted in the growth of the banks with new branches springing up everywhere across the major cities, and was celebrated by self-deluded bourgeois ideologues. The banks were given a clean bill of health, and they were said to be poised to finance the critical sector of the economy. Rather than invest in the real sector </w:t>
      </w:r>
      <w:r w:rsidRPr="00832F88">
        <w:rPr>
          <w:sz w:val="22"/>
          <w:szCs w:val="22"/>
        </w:rPr>
        <w:lastRenderedPageBreak/>
        <w:t>of the economy like agriculture, manufacturing, iron and steel, etc that will bring about improved productivity in the economy, the banks went into the oil whose price has now crashed at the international market. In addition, they also invested colossal sums of money in the casino market, where they speculated wrongly in anticipation for quick returns, but the stock market has now crashed, and the banks have lost over 900 billion naira invested in shares.</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First Bank Plc currently has a loan scheme called Farmers First, which started in 2008. Under this scheme purportedly meant for all categories of farmers, the individuals or group of farmers who want to access the loan (N1million minimum) are expected to meet the following requirements before they are eligible: own an existing farm for some time; open and run current account for a period of six months; deposit 25 per cent of the total sums intended to borrow; six months moratoria; agriculture insurance; and other sundry charges. These hurdles notwithstanding, many poor farmers who have scaled it are still denied the loans on flimsy excuses, grounds for the rich farmers.</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Nigeria's agricultural development is constrained by the lack of access to credit for the predominantly smallholder farmers. Commercial banks in the country perceive agricultural finance to be high-risk making it difficult to grant predominant farmers loan.</w:t>
      </w:r>
    </w:p>
    <w:p w:rsidR="002B5DAE" w:rsidRPr="00832F88" w:rsidRDefault="002B5DAE" w:rsidP="002B5DAE">
      <w:pPr>
        <w:pStyle w:val="NormalWeb"/>
        <w:shd w:val="clear" w:color="auto" w:fill="FFFFFF"/>
        <w:spacing w:before="0" w:beforeAutospacing="0" w:after="0" w:afterAutospacing="0"/>
        <w:jc w:val="both"/>
        <w:rPr>
          <w:rStyle w:val="Strong"/>
          <w:sz w:val="22"/>
          <w:szCs w:val="22"/>
        </w:rPr>
      </w:pP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1.3        OBJECTIVES OF THE STUDY</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The broad objectives of this research work is to examine the impact of bank credit on agricultural development. Other specific objectives include;</w:t>
      </w:r>
    </w:p>
    <w:p w:rsidR="002B5DAE" w:rsidRPr="00832F88" w:rsidRDefault="002B5DAE" w:rsidP="002B5DAE">
      <w:pPr>
        <w:pStyle w:val="NormalWeb"/>
        <w:numPr>
          <w:ilvl w:val="0"/>
          <w:numId w:val="1"/>
        </w:numPr>
        <w:shd w:val="clear" w:color="auto" w:fill="FFFFFF"/>
        <w:spacing w:before="0" w:beforeAutospacing="0" w:after="0" w:afterAutospacing="0"/>
        <w:ind w:left="720"/>
        <w:jc w:val="both"/>
        <w:rPr>
          <w:sz w:val="22"/>
          <w:szCs w:val="22"/>
        </w:rPr>
      </w:pPr>
      <w:r w:rsidRPr="00832F88">
        <w:rPr>
          <w:sz w:val="22"/>
          <w:szCs w:val="22"/>
        </w:rPr>
        <w:t>To examine the effect of CBN Credit guidelines and other financial bodies on Agricultural development.</w:t>
      </w:r>
    </w:p>
    <w:p w:rsidR="002B5DAE" w:rsidRPr="00832F88" w:rsidRDefault="002B5DAE" w:rsidP="002B5DAE">
      <w:pPr>
        <w:pStyle w:val="NormalWeb"/>
        <w:numPr>
          <w:ilvl w:val="0"/>
          <w:numId w:val="1"/>
        </w:numPr>
        <w:shd w:val="clear" w:color="auto" w:fill="FFFFFF"/>
        <w:spacing w:before="0" w:beforeAutospacing="0" w:after="0" w:afterAutospacing="0"/>
        <w:ind w:left="720"/>
        <w:jc w:val="both"/>
        <w:rPr>
          <w:sz w:val="22"/>
          <w:szCs w:val="22"/>
        </w:rPr>
      </w:pPr>
      <w:r w:rsidRPr="00832F88">
        <w:rPr>
          <w:sz w:val="22"/>
          <w:szCs w:val="22"/>
        </w:rPr>
        <w:t>To examine the relationship of bank lending policies in Nigeria as the relate to Agricultural development.</w:t>
      </w:r>
    </w:p>
    <w:p w:rsidR="002B5DAE" w:rsidRPr="00832F88" w:rsidRDefault="002B5DAE" w:rsidP="002B5DAE">
      <w:pPr>
        <w:pStyle w:val="NormalWeb"/>
        <w:numPr>
          <w:ilvl w:val="0"/>
          <w:numId w:val="1"/>
        </w:numPr>
        <w:shd w:val="clear" w:color="auto" w:fill="FFFFFF"/>
        <w:spacing w:before="0" w:beforeAutospacing="0" w:after="0" w:afterAutospacing="0"/>
        <w:ind w:left="720"/>
        <w:jc w:val="both"/>
        <w:rPr>
          <w:sz w:val="22"/>
          <w:szCs w:val="22"/>
        </w:rPr>
      </w:pPr>
      <w:r w:rsidRPr="00832F88">
        <w:rPr>
          <w:sz w:val="22"/>
          <w:szCs w:val="22"/>
        </w:rPr>
        <w:t>To examine how effective or defective are these credit policies on the preferred Sector of an economy.</w:t>
      </w:r>
    </w:p>
    <w:p w:rsidR="002B5DAE" w:rsidRPr="00832F88" w:rsidRDefault="002B5DAE" w:rsidP="002B5DAE">
      <w:pPr>
        <w:pStyle w:val="NormalWeb"/>
        <w:numPr>
          <w:ilvl w:val="0"/>
          <w:numId w:val="1"/>
        </w:numPr>
        <w:shd w:val="clear" w:color="auto" w:fill="FFFFFF"/>
        <w:spacing w:before="0" w:beforeAutospacing="0" w:after="0" w:afterAutospacing="0"/>
        <w:ind w:left="720"/>
        <w:jc w:val="both"/>
        <w:rPr>
          <w:sz w:val="22"/>
          <w:szCs w:val="22"/>
        </w:rPr>
      </w:pPr>
      <w:r w:rsidRPr="00832F88">
        <w:rPr>
          <w:sz w:val="22"/>
          <w:szCs w:val="22"/>
        </w:rPr>
        <w:t>To examine factors that are responsible for only few individuals and small-scale agriculture industries benefiting from such polices.</w:t>
      </w:r>
    </w:p>
    <w:p w:rsidR="002B5DAE" w:rsidRPr="00832F88" w:rsidRDefault="002B5DAE" w:rsidP="002B5DAE">
      <w:pPr>
        <w:pStyle w:val="NormalWeb"/>
        <w:numPr>
          <w:ilvl w:val="0"/>
          <w:numId w:val="1"/>
        </w:numPr>
        <w:shd w:val="clear" w:color="auto" w:fill="FFFFFF"/>
        <w:spacing w:before="0" w:beforeAutospacing="0" w:after="0" w:afterAutospacing="0"/>
        <w:ind w:left="720"/>
        <w:jc w:val="both"/>
        <w:rPr>
          <w:sz w:val="22"/>
          <w:szCs w:val="22"/>
        </w:rPr>
      </w:pPr>
      <w:r w:rsidRPr="00832F88">
        <w:rPr>
          <w:sz w:val="22"/>
          <w:szCs w:val="22"/>
        </w:rPr>
        <w:t>To proffer recommendations on Assessment of the Impact of Bank Credit on Agricultural Development.   </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1.4</w:t>
      </w:r>
      <w:r w:rsidRPr="00832F88">
        <w:rPr>
          <w:rStyle w:val="Strong"/>
          <w:sz w:val="22"/>
          <w:szCs w:val="22"/>
        </w:rPr>
        <w:tab/>
        <w:t>RESEARCH QUESTIONS</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For the purpose achieving the objectives of this research study, the following research questions were asked.</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Does any relationship exist between the CBN credit guidelines on agriculture and agricultural development in Nigeria?</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Is there any significant difference between the loan repayment of small and large-scale farmers?</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Is there any Relationship between the type of borrower and loan repayment?</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Is there any significant relationship between gender and loan repayment patters of farmers?</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Is there any significant relationship between the types of security pledges and repayment patterns?</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Is there any significant relationship between the educations of farmers’ and loan repayment?</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What are the banks lending policies in Nigeria as they relate to agricultural development? </w:t>
      </w:r>
    </w:p>
    <w:p w:rsidR="002B5DAE" w:rsidRPr="00832F88" w:rsidRDefault="002B5DAE" w:rsidP="002B5DAE">
      <w:pPr>
        <w:pStyle w:val="NormalWeb"/>
        <w:numPr>
          <w:ilvl w:val="0"/>
          <w:numId w:val="2"/>
        </w:numPr>
        <w:shd w:val="clear" w:color="auto" w:fill="FFFFFF"/>
        <w:spacing w:before="0" w:beforeAutospacing="0" w:after="0" w:afterAutospacing="0"/>
        <w:ind w:left="720"/>
        <w:jc w:val="both"/>
        <w:rPr>
          <w:sz w:val="22"/>
          <w:szCs w:val="22"/>
        </w:rPr>
      </w:pPr>
      <w:r w:rsidRPr="00832F88">
        <w:rPr>
          <w:sz w:val="22"/>
          <w:szCs w:val="22"/>
        </w:rPr>
        <w:t>What factors are responsible for only few individuals and small scale agriculture industries benefiting from such policies?</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1.5</w:t>
      </w:r>
      <w:r w:rsidRPr="00832F88">
        <w:rPr>
          <w:rStyle w:val="Strong"/>
          <w:sz w:val="22"/>
          <w:szCs w:val="22"/>
        </w:rPr>
        <w:tab/>
        <w:t>RESEARCH HYPOTHESES</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Hypothesis is a tentative answer to a research question. It is a conjectural statement about the relationships that exist between two or more variables which needs to be tested empirically before they can be accepted or rejected. In a research work, hypotheses are never proved or disproved, they are either supported (i.e. accepted) or rejected. To provide answer to the research questions arising from this study, the following hypotheses are postulated.</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sz w:val="22"/>
          <w:szCs w:val="22"/>
        </w:rPr>
        <w:t>HYPOTHESIS 1</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Ho:</w:t>
      </w:r>
      <w:r w:rsidRPr="00832F88">
        <w:rPr>
          <w:sz w:val="22"/>
          <w:szCs w:val="22"/>
        </w:rPr>
        <w:t>     There is no significant relationship between the CBN credit guidelines on agriculture and agricultural development in Nigeria.</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Hi:</w:t>
      </w:r>
      <w:r w:rsidRPr="00832F88">
        <w:rPr>
          <w:sz w:val="22"/>
          <w:szCs w:val="22"/>
        </w:rPr>
        <w:t>     There is significant relationship between the CBN credit guidelines on agriculture and agricultural development in Nigeria.</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Hypothesis 2:</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Ho:</w:t>
      </w:r>
      <w:r w:rsidRPr="00832F88">
        <w:rPr>
          <w:sz w:val="22"/>
          <w:szCs w:val="22"/>
        </w:rPr>
        <w:t>     There is no significant relationship between the type of borrower and there repayment patterns.</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Hi:</w:t>
      </w:r>
      <w:r w:rsidRPr="00832F88">
        <w:rPr>
          <w:sz w:val="22"/>
          <w:szCs w:val="22"/>
        </w:rPr>
        <w:t>     There is significant relationship between the type of borrower and their repayment patterns.</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1.6</w:t>
      </w:r>
      <w:r w:rsidRPr="00832F88">
        <w:rPr>
          <w:rStyle w:val="Strong"/>
          <w:sz w:val="22"/>
          <w:szCs w:val="22"/>
        </w:rPr>
        <w:tab/>
        <w:t>SIGNIFICANCE OF THE STUDY</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This research study focus on the assessment of bank credit on agriculture and how effectively this credits utilization enhances the agricultural development.</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In essence, the study will be useful to the managers of economy if there is a significant improvement in the area of agriculture with the justification of effective utilization of funds which lead to sustainable in the area of economy development.</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The work will contribute to already existing works in the field of economy and agricultural performance in Nigeria.</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1.7</w:t>
      </w:r>
      <w:r w:rsidRPr="00832F88">
        <w:rPr>
          <w:rStyle w:val="Strong"/>
          <w:sz w:val="22"/>
          <w:szCs w:val="22"/>
        </w:rPr>
        <w:tab/>
        <w:t>SCOPE OF THE STUDY</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 xml:space="preserve">The research would focus on the activities of First Bank Nigeria Plc., towards the financing and development of agriculture in Nigeria. Emphasis would be on operational schemes of the bank, condition and pre-requisites for </w:t>
      </w:r>
      <w:r w:rsidRPr="00832F88">
        <w:rPr>
          <w:sz w:val="22"/>
          <w:szCs w:val="22"/>
        </w:rPr>
        <w:lastRenderedPageBreak/>
        <w:t>borrowing, financing procedures, sources and application of funds, evaluation financing. The study would cover a definite period to enable us have a clear vision of the role of First Bank Nigeria Plc. in relation to agricultural credit in Nigeria. The study uses data on agriculture loan and advancement extracted from First bank annual journal, 2018 that covers  2005-2018</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LIMITATION OF THE STUDY</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In the course of conducting this research work it is expected that the following will constitute impediments to the effective conduct of the study</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sz w:val="22"/>
          <w:szCs w:val="22"/>
        </w:rPr>
        <w:t>a)       Time constraint within which the study must be completed.</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sz w:val="22"/>
          <w:szCs w:val="22"/>
        </w:rPr>
        <w:t>b)       Financial constraint</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sz w:val="22"/>
          <w:szCs w:val="22"/>
        </w:rPr>
        <w:t>c)       Inaccessible and inadequate data</w:t>
      </w:r>
    </w:p>
    <w:p w:rsidR="002B5DAE" w:rsidRPr="00832F88" w:rsidRDefault="002B5DAE" w:rsidP="002B5DAE">
      <w:pPr>
        <w:pStyle w:val="NormalWeb"/>
        <w:shd w:val="clear" w:color="auto" w:fill="FFFFFF"/>
        <w:spacing w:before="0" w:beforeAutospacing="0" w:after="0" w:afterAutospacing="0"/>
        <w:ind w:firstLine="720"/>
        <w:jc w:val="both"/>
        <w:rPr>
          <w:sz w:val="22"/>
          <w:szCs w:val="22"/>
        </w:rPr>
      </w:pPr>
      <w:r w:rsidRPr="00832F88">
        <w:rPr>
          <w:sz w:val="22"/>
          <w:szCs w:val="22"/>
        </w:rPr>
        <w:t>Nevertheless, I believe the above limitations will in no way affect the reliability and validity of the research study.</w:t>
      </w:r>
    </w:p>
    <w:p w:rsidR="002B5DAE" w:rsidRPr="00832F88" w:rsidRDefault="002B5DAE" w:rsidP="002B5DAE">
      <w:pPr>
        <w:pStyle w:val="NormalWeb"/>
        <w:shd w:val="clear" w:color="auto" w:fill="FFFFFF"/>
        <w:spacing w:before="0" w:beforeAutospacing="0" w:after="0" w:afterAutospacing="0"/>
        <w:jc w:val="both"/>
        <w:rPr>
          <w:sz w:val="22"/>
          <w:szCs w:val="22"/>
        </w:rPr>
      </w:pPr>
      <w:r>
        <w:rPr>
          <w:rStyle w:val="Strong"/>
          <w:sz w:val="22"/>
          <w:szCs w:val="22"/>
        </w:rPr>
        <w:t>1.8</w:t>
      </w:r>
      <w:r w:rsidRPr="00832F88">
        <w:rPr>
          <w:rStyle w:val="Strong"/>
          <w:sz w:val="22"/>
          <w:szCs w:val="22"/>
        </w:rPr>
        <w:tab/>
        <w:t>DEFINITION OF TERMS</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CREDIT OR LOAN: </w:t>
      </w:r>
      <w:r w:rsidRPr="00832F88">
        <w:rPr>
          <w:sz w:val="22"/>
          <w:szCs w:val="22"/>
        </w:rPr>
        <w:t>Used interchangeably. It refers to the cash or goods or services granted by the financial institution (e.g. bank) to a beneficiary (borrower) to use in the present with a pledge to pay back at a future date.</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LOAN REPAYMENT: </w:t>
      </w:r>
      <w:r w:rsidRPr="00832F88">
        <w:rPr>
          <w:sz w:val="22"/>
          <w:szCs w:val="22"/>
        </w:rPr>
        <w:t>This is the fulfillment of a loan obligation</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COLLATERAL SECURITY:</w:t>
      </w:r>
      <w:r w:rsidRPr="00832F88">
        <w:rPr>
          <w:sz w:val="22"/>
          <w:szCs w:val="22"/>
        </w:rPr>
        <w:t>Is an asset pledge against the performance of a loan.</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LOAN DISBURSEMENT LAG: </w:t>
      </w:r>
      <w:r w:rsidRPr="00832F88">
        <w:rPr>
          <w:sz w:val="22"/>
          <w:szCs w:val="22"/>
        </w:rPr>
        <w:t>Gives an indication to the timeliness of a loan delivery. This is measured by the number of days between application and disbursement.</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 xml:space="preserve">LOAN DELINQUENCY: </w:t>
      </w:r>
      <w:r w:rsidRPr="00832F88">
        <w:rPr>
          <w:sz w:val="22"/>
          <w:szCs w:val="22"/>
        </w:rPr>
        <w:t>Loan default or non-performing loan means the same. It is a failure to fulfill loan obligation. A loan becomes defaulted if the interests is ninety days over due and not enhance or extended.</w:t>
      </w:r>
    </w:p>
    <w:p w:rsidR="002B5DAE" w:rsidRPr="00832F88" w:rsidRDefault="002B5DAE" w:rsidP="002B5DAE">
      <w:pPr>
        <w:pStyle w:val="NormalWeb"/>
        <w:shd w:val="clear" w:color="auto" w:fill="FFFFFF"/>
        <w:spacing w:before="0" w:beforeAutospacing="0" w:after="0" w:afterAutospacing="0"/>
        <w:jc w:val="both"/>
        <w:rPr>
          <w:sz w:val="22"/>
          <w:szCs w:val="22"/>
        </w:rPr>
      </w:pPr>
      <w:r w:rsidRPr="00832F88">
        <w:rPr>
          <w:rStyle w:val="Strong"/>
          <w:sz w:val="22"/>
          <w:szCs w:val="22"/>
        </w:rPr>
        <w:t>SOCIO ECONOMIC STATION:</w:t>
      </w:r>
      <w:r w:rsidRPr="00832F88">
        <w:rPr>
          <w:sz w:val="22"/>
          <w:szCs w:val="22"/>
        </w:rPr>
        <w:t>Is determined by the farmers’ asset structure which defines his/her standard of living. The assets include: Type of House, Radio, Wrist Watch, Motor Cycle, Bicycle, Car, Television, Farm Produce Processor.</w:t>
      </w:r>
    </w:p>
    <w:p w:rsidR="002B5DAE" w:rsidRPr="006B6384" w:rsidRDefault="002B5DAE" w:rsidP="002B5DAE">
      <w:pPr>
        <w:spacing w:after="0" w:line="240" w:lineRule="auto"/>
        <w:jc w:val="both"/>
        <w:rPr>
          <w:rFonts w:ascii="Times New Roman" w:hAnsi="Times New Roman"/>
          <w:b/>
          <w:sz w:val="24"/>
          <w:szCs w:val="24"/>
        </w:rPr>
      </w:pPr>
      <w:r w:rsidRPr="00EA4995">
        <w:rPr>
          <w:rFonts w:ascii="Times New Roman" w:hAnsi="Times New Roman"/>
          <w:b/>
        </w:rPr>
        <w:t>1.9</w:t>
      </w:r>
      <w:r>
        <w:rPr>
          <w:rFonts w:ascii="Times New Roman" w:hAnsi="Times New Roman"/>
        </w:rPr>
        <w:tab/>
      </w:r>
      <w:r w:rsidRPr="006B6384">
        <w:rPr>
          <w:rFonts w:ascii="Times New Roman" w:hAnsi="Times New Roman"/>
          <w:b/>
          <w:sz w:val="24"/>
          <w:szCs w:val="24"/>
        </w:rPr>
        <w:t>PLAN OF THE STUDY</w:t>
      </w:r>
    </w:p>
    <w:p w:rsidR="002B5DAE" w:rsidRPr="006B6384" w:rsidRDefault="002B5DAE" w:rsidP="002B5DAE">
      <w:pPr>
        <w:spacing w:after="0" w:line="240" w:lineRule="auto"/>
        <w:jc w:val="both"/>
        <w:rPr>
          <w:rFonts w:ascii="Times New Roman" w:hAnsi="Times New Roman"/>
          <w:sz w:val="24"/>
          <w:szCs w:val="24"/>
        </w:rPr>
      </w:pPr>
      <w:r w:rsidRPr="006B6384">
        <w:rPr>
          <w:rFonts w:ascii="Times New Roman" w:hAnsi="Times New Roman"/>
          <w:sz w:val="24"/>
          <w:szCs w:val="24"/>
        </w:rPr>
        <w:t>The plan of the study is divided into five chapters</w:t>
      </w:r>
    </w:p>
    <w:p w:rsidR="002B5DAE" w:rsidRPr="006B6384" w:rsidRDefault="002B5DAE" w:rsidP="002B5DAE">
      <w:pPr>
        <w:spacing w:after="0" w:line="240" w:lineRule="auto"/>
        <w:jc w:val="both"/>
        <w:rPr>
          <w:rFonts w:ascii="Times New Roman" w:hAnsi="Times New Roman"/>
          <w:sz w:val="24"/>
          <w:szCs w:val="24"/>
        </w:rPr>
      </w:pPr>
      <w:r w:rsidRPr="006B6384">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2B5DAE" w:rsidRDefault="002B5DAE" w:rsidP="002B5DAE">
      <w:pPr>
        <w:spacing w:after="0" w:line="240" w:lineRule="auto"/>
        <w:jc w:val="both"/>
        <w:rPr>
          <w:rFonts w:ascii="Times New Roman" w:hAnsi="Times New Roman"/>
          <w:sz w:val="24"/>
          <w:szCs w:val="24"/>
        </w:rPr>
      </w:pPr>
      <w:r w:rsidRPr="006B6384">
        <w:rPr>
          <w:rFonts w:ascii="Times New Roman" w:hAnsi="Times New Roman"/>
          <w:sz w:val="24"/>
          <w:szCs w:val="24"/>
        </w:rPr>
        <w:t xml:space="preserve">Chapter Two: It deals with literature review which contains </w:t>
      </w:r>
      <w:r>
        <w:rPr>
          <w:rFonts w:ascii="Times New Roman" w:hAnsi="Times New Roman"/>
          <w:sz w:val="24"/>
          <w:szCs w:val="24"/>
        </w:rPr>
        <w:t>Literature Review, Conceptual framework, Theoretical framework, and Empirical Review.</w:t>
      </w:r>
    </w:p>
    <w:p w:rsidR="002B5DAE" w:rsidRPr="006B6384" w:rsidRDefault="002B5DAE" w:rsidP="002B5DAE">
      <w:pPr>
        <w:spacing w:after="0" w:line="240" w:lineRule="auto"/>
        <w:jc w:val="both"/>
        <w:rPr>
          <w:rFonts w:ascii="Times New Roman" w:hAnsi="Times New Roman"/>
          <w:sz w:val="24"/>
          <w:szCs w:val="24"/>
        </w:rPr>
      </w:pPr>
      <w:r w:rsidRPr="006B6384">
        <w:rPr>
          <w:rFonts w:ascii="Times New Roman" w:hAnsi="Times New Roman"/>
          <w:sz w:val="24"/>
          <w:szCs w:val="24"/>
        </w:rPr>
        <w:t>Chapter Three: deals with research methodology, data analysis, population and sample size, method of data collection.</w:t>
      </w:r>
    </w:p>
    <w:p w:rsidR="002B5DAE" w:rsidRPr="006B6384" w:rsidRDefault="002B5DAE" w:rsidP="002B5DAE">
      <w:pPr>
        <w:spacing w:after="0" w:line="240" w:lineRule="auto"/>
        <w:jc w:val="both"/>
        <w:rPr>
          <w:rFonts w:ascii="Times New Roman" w:hAnsi="Times New Roman"/>
          <w:sz w:val="24"/>
          <w:szCs w:val="24"/>
        </w:rPr>
      </w:pPr>
      <w:r w:rsidRPr="006B6384">
        <w:rPr>
          <w:rFonts w:ascii="Times New Roman" w:hAnsi="Times New Roman"/>
          <w:sz w:val="24"/>
          <w:szCs w:val="24"/>
        </w:rPr>
        <w:t>Chapter Four: deals with presentation, analysis and interpretation of data.</w:t>
      </w:r>
    </w:p>
    <w:p w:rsidR="002B5DAE" w:rsidRPr="006B6384" w:rsidRDefault="002B5DAE" w:rsidP="002B5DAE">
      <w:pPr>
        <w:spacing w:after="0" w:line="240" w:lineRule="auto"/>
        <w:jc w:val="both"/>
        <w:rPr>
          <w:rFonts w:ascii="Times New Roman" w:hAnsi="Times New Roman"/>
          <w:sz w:val="24"/>
          <w:szCs w:val="24"/>
        </w:rPr>
      </w:pPr>
      <w:r w:rsidRPr="006B6384">
        <w:rPr>
          <w:rFonts w:ascii="Times New Roman" w:hAnsi="Times New Roman"/>
          <w:sz w:val="24"/>
          <w:szCs w:val="24"/>
        </w:rPr>
        <w:t>Chapter Five: Consist of the summary, Conclusion and recommendations.</w:t>
      </w:r>
    </w:p>
    <w:p w:rsidR="002B5DAE" w:rsidRPr="00832F88" w:rsidRDefault="002B5DAE" w:rsidP="002B5DAE">
      <w:pPr>
        <w:spacing w:after="0" w:line="240" w:lineRule="auto"/>
        <w:rPr>
          <w:rFonts w:ascii="Times New Roman" w:hAnsi="Times New Roman"/>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Pr="00832F88" w:rsidRDefault="002B5DAE" w:rsidP="002B5DAE">
      <w:pPr>
        <w:spacing w:after="0" w:line="240" w:lineRule="auto"/>
        <w:jc w:val="center"/>
        <w:rPr>
          <w:rFonts w:ascii="Times New Roman" w:hAnsi="Times New Roman"/>
          <w:b/>
          <w:color w:val="000000"/>
        </w:rPr>
      </w:pPr>
      <w:r w:rsidRPr="00832F88">
        <w:rPr>
          <w:rFonts w:ascii="Times New Roman" w:hAnsi="Times New Roman"/>
          <w:b/>
          <w:color w:val="000000"/>
        </w:rPr>
        <w:lastRenderedPageBreak/>
        <w:t>CHAPTER TWO</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2.0</w:t>
      </w:r>
      <w:r w:rsidRPr="00832F88">
        <w:rPr>
          <w:rFonts w:ascii="Times New Roman" w:hAnsi="Times New Roman"/>
          <w:b/>
          <w:color w:val="000000"/>
        </w:rPr>
        <w:tab/>
        <w:t xml:space="preserve">LITERATURE REVIEW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This chapter summarizes the information from the available literature in the same field of study. It will review theories of credit management as well as empirical studies on credit management and financial performance in money Nigeria and in other countries.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w:t>
      </w:r>
      <w:r w:rsidRPr="00832F88">
        <w:rPr>
          <w:rFonts w:ascii="Times New Roman" w:hAnsi="Times New Roman"/>
          <w:b/>
          <w:color w:val="000000"/>
        </w:rPr>
        <w:tab/>
        <w:t xml:space="preserve">CONCEPTUAL FRAMEWORK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2.1.1</w:t>
      </w:r>
      <w:r w:rsidRPr="00832F88">
        <w:rPr>
          <w:rFonts w:ascii="Times New Roman" w:hAnsi="Times New Roman"/>
          <w:b/>
          <w:color w:val="000000"/>
        </w:rPr>
        <w:tab/>
        <w:t>CONCEPT OF CREDIT</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Numerous studies have been conducted to reveal the impact of credit on agricultural output in both developed and developing economies. Majority of these studies seems to suggest that credit has a positive effect on economic growth and development.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For instance, Zuberi (1989) in his study discovered that about 70 per cent of the overall credit to the agricultural sector was employed in fertilizer and seed purchases and submitted that, the majority of the increased agricultural production could be attributed to changes in the quality and quantity of fertilizer and seed. There have been consistent attempt to increase these support incentives by Nigerian government through increased budgetary expenditure and provision of available affordable credit facilities. This government budgeting provision has serves as a critical determinant of the output and performance of the Nigerian agricultural sector over the year (Nwosu, 2010).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Food and Agricultural Organization (FAO) concluded in 2008 that the allocation of capital to the Nigerian agricultural sector from 1970 to 1980 averaged at 4.74 per cent. This figure rose to 7.00 per cent between 1980 and 2000, and further moved to 10.00 per cent between 2001 and 2007. In spite of this upward trend, it is far below what is being recommended by FAO that government should assigned about 25 per cent of its budgetary allocation to the development of the agricultural sector. Along this reasoning, several studies are focused toward examining the impact of the expenditure of government on agricultural output. </w:t>
      </w:r>
    </w:p>
    <w:p w:rsidR="002B5DAE" w:rsidRPr="00832F88" w:rsidRDefault="002B5DAE" w:rsidP="002B5DAE">
      <w:pPr>
        <w:spacing w:after="0" w:line="240" w:lineRule="auto"/>
        <w:ind w:firstLine="720"/>
        <w:jc w:val="both"/>
        <w:rPr>
          <w:rFonts w:ascii="Times New Roman" w:hAnsi="Times New Roman"/>
          <w:color w:val="000000"/>
        </w:rPr>
      </w:pPr>
      <w:r w:rsidRPr="00832F88">
        <w:rPr>
          <w:rFonts w:ascii="Times New Roman" w:hAnsi="Times New Roman"/>
        </w:rPr>
        <w:t>For instance, Nafisat (2009) examined the impact of the expenditure of Nigerian government on output using the ordinary least square (OLS) estimation technique for the period 1977-2006. The results show that agricultural output does not respond significantly to government expenditure on agriculture. It confirms that the government contribution to agriculture is not enough for its development. The study therefore suggested that the unique role of agriculture is recognized so that the sector can obtain its right share of government expenditure.</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Credit risk deputes to the risk that a borrower with default on any types of debt by failing to make require payments. The risk is primarily that of the lender and includes lost principal and interest, description to cash flows, and increased collection sot (Bistort). Effective management of credit risk is inextricable linked to the development of banking technology, which will enable to inextricable linked to the development of banking technology, which will enable to increase the speed of decision making and simultaneously reduce the cost of controlling credit risk. This requires a complete base of partners and contractors (Captiva, 2009) Credit risk is one of significant risk of banks by the nature of their activities, through effective management of credit risk exposure bank not only also contribute to systemic stability and to an efficient allocation of capital I the economy (PsillakiTsolas, and margaritas, Zolo p, 873). The default of small number of customers may result in a very large loss for the bank (Gestalt&amp;Besoms, 2008, p24). It has been identified by Basel committee as a main source of risk management as the combination of coordinated tasks and activities s for controlling and directing risk confronted by an organization through the   incorporation of key risk management tactics and process in relation to the organization practices are not developed and aimed to eliminate risk altogether but they aim at controlling opportunities and hazards that may results in risk (Franks et al. 2014). Moreover, ross et al. (2008) concern that risk management practices also ensure that financial institutions must have string and rational framework for decision making by which firm’s objectives can be attained (Ross et al, 208). Garcia et al. (2013) on the other hand, note that effective credit risk management practice has been successful to eliminate the human element in making decisions about controlling risk.</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Credit risk is basically the risk faced by investor to lose money from borrower who fails to make payments. This may result in default or default risk. Investors may lose interest and principle that can result in creased cost of collection and decreased cash flows. Previous studies have noted that high credit risk controls (CRC) result in low chances of details (Ross et al, 2008) therefore, credit risk could an alleviated by utilizing based evaluation, contacts, credit protection., tightening and broadening (Ross et al, 2008) Moti et al (2012) argue that intelligent and effective management. Furthermore, to minimize the risk of bad debt and over reserving banks ought to have greater insight into important factors like, customer financial strength, credit score history and changing payment patterns (Moti et al, 2012).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Loan portfolio is not only considered as a largest asset as well as predominate source to generate revenue but one of the biggest risk source for the financial institutions soundness and safety as well (Richard et al, 2008). Hence credit risk management is considered to be one of the road maps for soundness and safety of the sector through prudent actions as well as monitoring and performance. Despite of the efforts made by the financial institutions number of problems increased significantly institutions number of problems increased significantly on both, emerging as well as matured economies of the world (Basel, 2004). Most important of the risks associated to financial institutions is weak credit risk management, being a threat for the banking sector (Chijoriga, 1997). There should be systematic distribution of loans according to well established credit policies and procedures provided by (Schreiner, 2003). Well formulated loan policy is </w:t>
      </w:r>
      <w:r w:rsidRPr="00832F88">
        <w:rPr>
          <w:rFonts w:ascii="Times New Roman" w:hAnsi="Times New Roman"/>
          <w:color w:val="000000"/>
        </w:rPr>
        <w:lastRenderedPageBreak/>
        <w:t xml:space="preserve">beneficial for institutional performance. Hence it helps organization to follow the same for risk management as well as fulfilling regulatory requirements (Joana, 2000). Loar review is a part of policy and is crucial, helping management in problem identification on regular basis to check either loan officers are following the policy in true letter and spirit or not. The review policy is better implemnt5ed by commercial bank hence they were easily able to top up loans in no time through use of modern technology unlike institutions (Craig, 2006).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Loan appraisal is an application request for funds, evaluated by financial institution. The aspects to be focused on in the appraisal include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(Boldizzoni, 2008). Collection procedure is a systematic way required to recover the past amount from clients within the lawful jurisdiction. the collection aspects Amy vary from institution but those should be complaint to existing law such as third party collection agencies may involve in collection procedure details provided by the institution but also the procedure in which the lawful collection takes place (Lateef. 2006). Well administered collection is needed for better performance of the loan. If financial institutions do not follow well administered collection procedure, this would result in loan defaults. (Boldizzoni, 2008).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2.1.2</w:t>
      </w:r>
      <w:r w:rsidRPr="00832F88">
        <w:rPr>
          <w:rFonts w:ascii="Times New Roman" w:hAnsi="Times New Roman"/>
          <w:b/>
          <w:color w:val="000000"/>
        </w:rPr>
        <w:tab/>
        <w:t xml:space="preserve">THE CONCEPT OF CRM AND PROFITABILITY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Banks raise finance through collecting deposits from business and other institutions, households, and the government on the one hand and provide loans to households, business and other institutions, and the government through several different types of arrangements. Therefore, the crucial assets of bank are banks and bonds whilst major liabilities are customer deposits in accordance with Cornett and Saunders (2005). Balance sheet of a bank( statement of comprehensive income) has loans representing the bank amount of banks assets, never the less, these loans come with risk where the bank makes bad loans to customers, the bank will be in serious problems if those loans are not repaid credit management is therefore concerned with rewards and risk that hare to be objective through captures and carefully risk management, failure of which may possibly bring about legal action, economic loss or harm the banks name (reserve Bank of Zimbabwe (RBZ) Guideline No. 1 2006 as citied in Maliki, Mapetere, &amp;Mhomede, 2012). Bank credit is the borrowing facility made available to an individual by the bank in the form of a credit or loan. The fundamental expectation of the financial system is theta when funds are loaned out, there should be reasonable anticipation of refund of the loans, plus interest. Credit risk comes up from uncertainly in a given counterparty to meet up with the obligation of honoring the terms and conditions of the credit arrangement (Fatemi &amp; Foolads, 2006) it is the risk of loss originated by a debtor’s failure to pay a loan or line of credit. In essence, credit risk arises from uncertainty in counterparty’s ability or willingness to meet its credits stand ding of counterparty as part of credit risk.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In the same vein, Naomi (2011) argued that credit risk represents the potential variation in the net income from non-payment or delayed payment of credit facility granted to customers. The GlFBNl risk management group 1999 in its report conceded that credit risk is the possibility that bank borrower will fail to meet obligation in accordance with the agreed terms. It added that, the effective in accordance with the agreed terms. It added that, the effective management of credit risk is a critical component of a comprehensive approached to risk management and essential to the long-term success of any banking organization, lending involves the creation and management risk assets, and it is an important task of bank management CRM covers the decision- making process, before the credit decision is made and the follow- up of credit commitments plus an monitoring and reporting process (Miler, 1996) Risk is condition in which there exists a quantifiable dispersion in the possible customs from any activity (the chartered institution of management accountants, 2005). In other words, it refers to the process by which all loans, advances, Credit facilities, or accommodation granted by a bank to a customer are administered to ensure that the facilities run sati factoring according to the terms governing them and are ultimately repaid on due date. Modern risk management is the management producer devised to eliminate or minimize the adverse effect of possible financial loss by identifying the potential sources of loss, measuring the financial consequences of a loss occurring. And using controls to minimize actual losses or their financial consequences controls to minimize actual losses or their financial consequences (Irukwu. 1998). According, the most important topic in the business world today is the management and control of risk. Every day. We learn about big small and medium sized companies that have collapsed or gone into liquidation, because their management ignored the risk to which the organization was exposed due to the absence of an efficient risk management system. The effective management of credit is a critical component of a comprehensive approach to risk management and essential to the long term success of any banking organization. A major function by mobilizing funds from surplus economic units and channeling the same to deficit units for productive activities. </w:t>
      </w:r>
    </w:p>
    <w:p w:rsidR="002B5DAE"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This implies that, commercial banks grant loans to customers from the publics funds with the over an object of increasing profitability resulting from earnings, now, because profitability is a function of earnings resulting from viable loans and advances, it follows that banks ought to effectively manage its credit risks in order to protect and enhance profitability. </w:t>
      </w:r>
    </w:p>
    <w:p w:rsidR="002B5DAE" w:rsidRDefault="002B5DAE" w:rsidP="002B5DAE">
      <w:pPr>
        <w:spacing w:after="0" w:line="240" w:lineRule="auto"/>
        <w:jc w:val="both"/>
        <w:rPr>
          <w:rFonts w:ascii="Times New Roman" w:hAnsi="Times New Roman"/>
          <w:color w:val="000000"/>
        </w:rPr>
      </w:pPr>
    </w:p>
    <w:p w:rsidR="002B5DAE" w:rsidRPr="00832F88" w:rsidRDefault="002B5DAE" w:rsidP="002B5DAE">
      <w:pPr>
        <w:spacing w:after="0" w:line="240" w:lineRule="auto"/>
        <w:jc w:val="both"/>
        <w:rPr>
          <w:rFonts w:ascii="Times New Roman" w:hAnsi="Times New Roman"/>
          <w:color w:val="000000"/>
        </w:rPr>
      </w:pPr>
    </w:p>
    <w:p w:rsidR="002B5DAE" w:rsidRDefault="002B5DAE" w:rsidP="002B5DAE">
      <w:pPr>
        <w:spacing w:after="0" w:line="240" w:lineRule="auto"/>
        <w:jc w:val="both"/>
        <w:rPr>
          <w:rFonts w:ascii="Times New Roman" w:hAnsi="Times New Roman"/>
          <w:b/>
          <w:color w:val="000000"/>
        </w:rPr>
      </w:pP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lastRenderedPageBreak/>
        <w:t>2.1.3 NINE ELEMENTS OF THE PROCESS OF PORTFOLIO MANAGEMENT</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Evaluation of the credit culture.</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Objectives of the portfolio and risk tolerance limits.</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Management of information system.</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 xml:space="preserve">Segmentation of portfolio and the diversification of risk objectives </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 xml:space="preserve">Analysis of loans originated by other lenders. </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 xml:space="preserve">Aggregate policy and under writing exception system, </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 xml:space="preserve">Stress testing analysis of portfolios, </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Autonomous and effectual control functions,</w:t>
      </w:r>
    </w:p>
    <w:p w:rsidR="002B5DAE" w:rsidRPr="00832F88" w:rsidRDefault="002B5DAE" w:rsidP="002B5DAE">
      <w:pPr>
        <w:pStyle w:val="ListParagraph"/>
        <w:numPr>
          <w:ilvl w:val="0"/>
          <w:numId w:val="3"/>
        </w:numPr>
        <w:spacing w:after="0" w:line="240" w:lineRule="auto"/>
        <w:jc w:val="both"/>
        <w:rPr>
          <w:rFonts w:ascii="Times New Roman" w:hAnsi="Times New Roman"/>
          <w:color w:val="000000"/>
        </w:rPr>
      </w:pPr>
      <w:r w:rsidRPr="00832F88">
        <w:rPr>
          <w:rFonts w:ascii="Times New Roman" w:hAnsi="Times New Roman"/>
          <w:color w:val="000000"/>
        </w:rPr>
        <w:t>analysis of portfolio risk/ reward trade – offs</w:t>
      </w:r>
    </w:p>
    <w:p w:rsidR="002B5DAE" w:rsidRPr="00832F88" w:rsidRDefault="002B5DAE" w:rsidP="002B5DAE">
      <w:pPr>
        <w:spacing w:after="0" w:line="240" w:lineRule="auto"/>
        <w:ind w:firstLine="401"/>
        <w:jc w:val="both"/>
        <w:rPr>
          <w:rFonts w:ascii="Times New Roman" w:hAnsi="Times New Roman"/>
          <w:color w:val="000000"/>
        </w:rPr>
      </w:pPr>
      <w:r w:rsidRPr="00832F88">
        <w:rPr>
          <w:rFonts w:ascii="Times New Roman" w:hAnsi="Times New Roman"/>
          <w:color w:val="000000"/>
        </w:rPr>
        <w:t xml:space="preserve">Credit management starts with a sale or the granting of a facility as in the case of a bank and does not stop until the full and final payment has been made. Technically a transaction cannot be termed as complete until full payment has been made. Good lending the up for him in a timer and prompt manner otherwise, this eventually lead to the total loss of interest that the institution could have earned due to the opportunity cost of the loan, the risk involved and time value of money. Credit management is primarily concerned with the effective management of debtors as well as judicious financing of receivables. The objective of credit management can therefore be expressively stated as safeguarding the portfolio of the companies’ investments in debtors and maximizing operational cash flows/ policies and practices ought to be rigorously forced for granting credit facilities to customers, collection of repayments that are due and limiting the high risk factor of non- payments.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2.1.4 CREDIT CULTURE</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Credit culture according to Lemath et al (2010) can be defined as a bank’s approach to all issues correlated to the administration of credit risk. He continued by stating that if it is the attain a healthy credit risk portfolio, it must be synchronized with the strategic direction and organization culture of the financial institution. The culture must have the capacity to deliver, the service required by the institution to meet the needs of its clients in a timely manner. It can only do this it is in harmony with the ordeal strategic direction of the financial institution and is pioneered by the top echelon of the financial institution. Because the credit culture ought to limit on the amount of risk at the same time, it is bound to run into all of kinds of resistance. Top management is the only source that can ensure that the culture not only supports appropriate credit standards, but is also profitable enough not to cause the bank to lose out on good business.</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Solid credit standards, according to Ronse (2002). Will unavoidably cost the bank some business, which in retrospect could have been beneficial. However, when the decision is being contemplated on hind sight is unavailable. Credit culture which is an integral part of credit management takes into consideration the fact that there is some business the bank has to be willing to lose and so it becomes imperative for an agreement to be sought and a consensus reached as to the yard stick to be applied in determining which business to do away with throughout the bank. This policy has to be established by management and should articulate the type and level of risk the bank is ready to accommodate and the return it exports from taking on sated risk levels, both at the customer and portfolio level in the view of Gallagher and if lender (2002). Credit standards translate the culture into actions. They should consider the terrain of the bank’s operations, its arrangement and the character and the level of preparedness of staff involved in credit decisions. This enables an effective credit management system to be implemented butted by a strong culture that is able to convent policies into proven results.</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2.1.5 THE LOAN SYSTEM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color w:val="000000"/>
        </w:rPr>
        <w:tab/>
        <w:t xml:space="preserve">Before endorsing any credit facility. It behaves the bank to ensure that the debtor has a practical and viable proposal. However, the marketability of a loan proposition does not depend all together on the ovation of connatural provided by the borrower. The financial intermediary needs to establish the amount of credit risk latent in the credit proposal and within the boundaries the amount of credit risk latent in the credit proposal and within the boundaries of that risk, a decision has to be made whether to accept or reject the proposal. An effective credit management system provides the right framework for such decisions to be made Puri and Poilu (2013)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or a term loan that he or she seeks from the bank loan. As the borrower’s business expends incremental cash flows are generated from which the debt can be serviced and repaid as per agreement. Growth of business upwards. It is the assessment of invert mental cash flows which helps the lender to determine the repayment capacity of the borrower to meet loan obligations in a timely manner (Polio and Puri. 2013) Bank lending is premised on the assertion that the debtor has the willingness and capability to require the loan at all stage I their business transitions with the bank.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However, the capacity to pay bank depends on future income streams and the disposition to repay has to be based on the pre-existent commitment that has been undoubtedly demonstrated by the borrower. It is a statement of faith because this lender relies largely on the debtors’ witness and competence despite business downturns to at least guarantee future cash flows and ensure the flow of regular payments. The three conditions which should be in existence at the time </w:t>
      </w:r>
      <w:r w:rsidRPr="00832F88">
        <w:rPr>
          <w:rFonts w:ascii="Times New Roman" w:hAnsi="Times New Roman"/>
          <w:color w:val="000000"/>
        </w:rPr>
        <w:lastRenderedPageBreak/>
        <w:t xml:space="preserve">the borrower seeks a loan from the bank to be able to strengthen for instance his line of business according to Polio and Puri (2013) are: </w:t>
      </w:r>
    </w:p>
    <w:p w:rsidR="002B5DAE" w:rsidRPr="00832F88" w:rsidRDefault="002B5DAE" w:rsidP="002B5DAE">
      <w:pPr>
        <w:pStyle w:val="ListParagraph"/>
        <w:numPr>
          <w:ilvl w:val="0"/>
          <w:numId w:val="4"/>
        </w:numPr>
        <w:spacing w:after="0" w:line="240" w:lineRule="auto"/>
        <w:jc w:val="both"/>
        <w:rPr>
          <w:rFonts w:ascii="Times New Roman" w:hAnsi="Times New Roman"/>
          <w:color w:val="000000"/>
        </w:rPr>
      </w:pPr>
      <w:r w:rsidRPr="00832F88">
        <w:rPr>
          <w:rFonts w:ascii="Times New Roman" w:hAnsi="Times New Roman"/>
          <w:color w:val="000000"/>
        </w:rPr>
        <w:t xml:space="preserve">Willingness or intention on the part of the borrower repay the loan as per the agreement. </w:t>
      </w:r>
    </w:p>
    <w:p w:rsidR="002B5DAE" w:rsidRPr="00832F88" w:rsidRDefault="002B5DAE" w:rsidP="002B5DAE">
      <w:pPr>
        <w:pStyle w:val="ListParagraph"/>
        <w:numPr>
          <w:ilvl w:val="0"/>
          <w:numId w:val="4"/>
        </w:numPr>
        <w:spacing w:after="0" w:line="240" w:lineRule="auto"/>
        <w:jc w:val="both"/>
        <w:rPr>
          <w:rFonts w:ascii="Times New Roman" w:hAnsi="Times New Roman"/>
          <w:color w:val="000000"/>
        </w:rPr>
      </w:pPr>
      <w:r w:rsidRPr="00832F88">
        <w:rPr>
          <w:rFonts w:ascii="Times New Roman" w:hAnsi="Times New Roman"/>
          <w:color w:val="000000"/>
        </w:rPr>
        <w:t xml:space="preserve">The purpose for which the loan is requested or sought for by the borrower. </w:t>
      </w:r>
    </w:p>
    <w:p w:rsidR="002B5DAE" w:rsidRPr="00832F88" w:rsidRDefault="002B5DAE" w:rsidP="002B5DAE">
      <w:pPr>
        <w:pStyle w:val="ListParagraph"/>
        <w:numPr>
          <w:ilvl w:val="0"/>
          <w:numId w:val="4"/>
        </w:numPr>
        <w:spacing w:after="0" w:line="240" w:lineRule="auto"/>
        <w:jc w:val="both"/>
        <w:rPr>
          <w:rFonts w:ascii="Times New Roman" w:hAnsi="Times New Roman"/>
          <w:color w:val="000000"/>
        </w:rPr>
      </w:pPr>
      <w:r w:rsidRPr="00832F88">
        <w:rPr>
          <w:rFonts w:ascii="Times New Roman" w:hAnsi="Times New Roman"/>
          <w:color w:val="000000"/>
        </w:rPr>
        <w:t xml:space="preserve">The conditions which can set the trendfor the future. The willingness or desire to pay back a facility granted is somewhat simple to establish for an existing borrower in practice. If a borrower happens to have a sound history of payment of loans including debt derailing they are likely to continue making regular payment in the future as well. The only circumstance that could influence this precondition is an uncontainable event such as tire outbreak or a major infrastructural destruction. This condition is strenuous to judge for anyone, much less to take of a new borrower, if he has no previous business experience or skill. </w:t>
      </w:r>
    </w:p>
    <w:p w:rsidR="002B5DAE" w:rsidRPr="00832F88" w:rsidRDefault="002B5DAE" w:rsidP="002B5DAE">
      <w:pPr>
        <w:pStyle w:val="ListParagraph"/>
        <w:spacing w:after="0" w:line="240" w:lineRule="auto"/>
        <w:jc w:val="both"/>
        <w:rPr>
          <w:rFonts w:ascii="Times New Roman" w:hAnsi="Times New Roman"/>
          <w:color w:val="000000"/>
        </w:rPr>
      </w:pPr>
      <w:r w:rsidRPr="00832F88">
        <w:rPr>
          <w:rFonts w:ascii="Times New Roman" w:hAnsi="Times New Roman"/>
          <w:color w:val="000000"/>
        </w:rPr>
        <w:t xml:space="preserve">The purport for which the loan is sought should be carefully documented. The bank must make sure that the final application of the credit should be for the documented purpose only. The conditions which form the basis on which future trends can be mapped are the inherent business risk. Performance history of the borrower in terms of financial positional trends. Credit referencing that shows past dealings with lenders and repayment records, and the experience and skills the borrower possesses in running his/her business Policy and Puri (2013). These factors are necessary in carrying out and effective appraisal of the customer and provide the basis for making well-informed decision as regards the credit granting process.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2.1.6</w:t>
      </w:r>
      <w:r w:rsidRPr="00832F88">
        <w:rPr>
          <w:rFonts w:ascii="Times New Roman" w:hAnsi="Times New Roman"/>
          <w:b/>
          <w:color w:val="000000"/>
        </w:rPr>
        <w:tab/>
        <w:t xml:space="preserve"> PRINCIPLES OF LENDING</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Gaurav (2010) pinpointed certain criteria which are universally adhered to by most financial institutions in appraising credit propositions as follows;</w:t>
      </w:r>
    </w:p>
    <w:p w:rsidR="002B5DAE" w:rsidRPr="00832F88" w:rsidRDefault="002B5DAE" w:rsidP="002B5DAE">
      <w:pPr>
        <w:pStyle w:val="ListParagraph"/>
        <w:numPr>
          <w:ilvl w:val="0"/>
          <w:numId w:val="5"/>
        </w:numPr>
        <w:spacing w:after="0" w:line="240" w:lineRule="auto"/>
        <w:jc w:val="both"/>
        <w:rPr>
          <w:rFonts w:ascii="Times New Roman" w:hAnsi="Times New Roman"/>
          <w:b/>
          <w:color w:val="000000"/>
        </w:rPr>
      </w:pPr>
      <w:r w:rsidRPr="00832F88">
        <w:rPr>
          <w:rFonts w:ascii="Times New Roman" w:hAnsi="Times New Roman"/>
          <w:b/>
          <w:color w:val="000000"/>
        </w:rPr>
        <w:t>SAFETY: -</w:t>
      </w:r>
      <w:r w:rsidRPr="00832F88">
        <w:rPr>
          <w:rFonts w:ascii="Times New Roman" w:hAnsi="Times New Roman"/>
          <w:color w:val="000000"/>
        </w:rPr>
        <w:t xml:space="preserve">the banker must guarantee that the amount granted by him reaches the legitimate debtor and is appropriated in a manner that will make it secure at the time of giving as well as rennin so throughout the period, and subsequent to fulfilling a valuable need in the business where it is utilized is reimbursed with premium. </w:t>
      </w:r>
    </w:p>
    <w:p w:rsidR="002B5DAE" w:rsidRPr="00832F88" w:rsidRDefault="002B5DAE" w:rsidP="002B5DAE">
      <w:pPr>
        <w:pStyle w:val="ListParagraph"/>
        <w:numPr>
          <w:ilvl w:val="0"/>
          <w:numId w:val="5"/>
        </w:numPr>
        <w:spacing w:after="0" w:line="240" w:lineRule="auto"/>
        <w:jc w:val="both"/>
        <w:rPr>
          <w:rFonts w:ascii="Times New Roman" w:hAnsi="Times New Roman"/>
          <w:b/>
          <w:color w:val="000000"/>
        </w:rPr>
      </w:pPr>
      <w:r w:rsidRPr="00832F88">
        <w:rPr>
          <w:rFonts w:ascii="Times New Roman" w:hAnsi="Times New Roman"/>
          <w:b/>
          <w:color w:val="000000"/>
        </w:rPr>
        <w:t>LIQUIDITY: -</w:t>
      </w:r>
      <w:r w:rsidRPr="00832F88">
        <w:rPr>
          <w:rFonts w:ascii="Times New Roman" w:hAnsi="Times New Roman"/>
          <w:color w:val="000000"/>
        </w:rPr>
        <w:t xml:space="preserve">the debtor caught to be in the capacity to make payments within a feasible time frame after a notice of repayment is sent. This it termed as the grace period and failure tomeet it usually attracts a penalty. </w:t>
      </w:r>
    </w:p>
    <w:p w:rsidR="002B5DAE" w:rsidRPr="00832F88" w:rsidRDefault="002B5DAE" w:rsidP="002B5DAE">
      <w:pPr>
        <w:pStyle w:val="ListParagraph"/>
        <w:numPr>
          <w:ilvl w:val="0"/>
          <w:numId w:val="5"/>
        </w:numPr>
        <w:spacing w:after="0" w:line="240" w:lineRule="auto"/>
        <w:jc w:val="both"/>
        <w:rPr>
          <w:rFonts w:ascii="Times New Roman" w:hAnsi="Times New Roman"/>
          <w:b/>
          <w:color w:val="000000"/>
        </w:rPr>
      </w:pPr>
      <w:r w:rsidRPr="00832F88">
        <w:rPr>
          <w:rFonts w:ascii="Times New Roman" w:hAnsi="Times New Roman"/>
          <w:b/>
          <w:color w:val="000000"/>
        </w:rPr>
        <w:t>PURPOSE:</w:t>
      </w:r>
      <w:r w:rsidRPr="00832F88">
        <w:rPr>
          <w:rFonts w:ascii="Times New Roman" w:hAnsi="Times New Roman"/>
          <w:color w:val="000000"/>
        </w:rPr>
        <w:t xml:space="preserve"> the objective ought to be momentarily compensating so that the cash secured as well as provide an ensured well spring of monetary streams to meet reimbursement plans. </w:t>
      </w:r>
    </w:p>
    <w:p w:rsidR="002B5DAE" w:rsidRPr="00832F88" w:rsidRDefault="002B5DAE" w:rsidP="002B5DAE">
      <w:pPr>
        <w:pStyle w:val="ListParagraph"/>
        <w:numPr>
          <w:ilvl w:val="0"/>
          <w:numId w:val="5"/>
        </w:numPr>
        <w:spacing w:after="0" w:line="240" w:lineRule="auto"/>
        <w:jc w:val="both"/>
        <w:rPr>
          <w:rFonts w:ascii="Times New Roman" w:hAnsi="Times New Roman"/>
          <w:b/>
          <w:color w:val="000000"/>
        </w:rPr>
      </w:pPr>
      <w:r w:rsidRPr="00832F88">
        <w:rPr>
          <w:rFonts w:ascii="Times New Roman" w:hAnsi="Times New Roman"/>
          <w:b/>
          <w:color w:val="000000"/>
        </w:rPr>
        <w:t>PROFITABILITY:</w:t>
      </w:r>
      <w:r w:rsidRPr="00832F88">
        <w:rPr>
          <w:rFonts w:ascii="Times New Roman" w:hAnsi="Times New Roman"/>
          <w:color w:val="000000"/>
        </w:rPr>
        <w:t xml:space="preserve"> the banks should be able to obtain some restorable profit from the loan. </w:t>
      </w:r>
    </w:p>
    <w:p w:rsidR="002B5DAE" w:rsidRPr="00832F88" w:rsidRDefault="002B5DAE" w:rsidP="002B5DAE">
      <w:pPr>
        <w:pStyle w:val="ListParagraph"/>
        <w:numPr>
          <w:ilvl w:val="0"/>
          <w:numId w:val="5"/>
        </w:numPr>
        <w:spacing w:after="0" w:line="240" w:lineRule="auto"/>
        <w:jc w:val="both"/>
        <w:rPr>
          <w:rFonts w:ascii="Times New Roman" w:hAnsi="Times New Roman"/>
          <w:b/>
          <w:color w:val="000000"/>
        </w:rPr>
      </w:pPr>
      <w:r w:rsidRPr="00832F88">
        <w:rPr>
          <w:rFonts w:ascii="Times New Roman" w:hAnsi="Times New Roman"/>
          <w:b/>
          <w:color w:val="000000"/>
        </w:rPr>
        <w:t>SECURITY:</w:t>
      </w:r>
      <w:r w:rsidRPr="00832F88">
        <w:rPr>
          <w:rFonts w:ascii="Times New Roman" w:hAnsi="Times New Roman"/>
          <w:color w:val="000000"/>
        </w:rPr>
        <w:t xml:space="preserve"> security is considered as a protection or a coverage to fall back upon in the event of a crisis. </w:t>
      </w:r>
    </w:p>
    <w:p w:rsidR="002B5DAE" w:rsidRPr="00832F88" w:rsidRDefault="002B5DAE" w:rsidP="002B5DAE">
      <w:pPr>
        <w:pStyle w:val="ListParagraph"/>
        <w:numPr>
          <w:ilvl w:val="0"/>
          <w:numId w:val="5"/>
        </w:numPr>
        <w:spacing w:after="0" w:line="240" w:lineRule="auto"/>
        <w:jc w:val="both"/>
        <w:rPr>
          <w:rFonts w:ascii="Times New Roman" w:hAnsi="Times New Roman"/>
          <w:b/>
          <w:color w:val="000000"/>
        </w:rPr>
      </w:pPr>
      <w:r w:rsidRPr="00832F88">
        <w:rPr>
          <w:rFonts w:ascii="Times New Roman" w:hAnsi="Times New Roman"/>
          <w:b/>
          <w:color w:val="000000"/>
        </w:rPr>
        <w:t>SPREAD:</w:t>
      </w:r>
      <w:r w:rsidRPr="00832F88">
        <w:rPr>
          <w:rFonts w:ascii="Times New Roman" w:hAnsi="Times New Roman"/>
          <w:color w:val="000000"/>
        </w:rPr>
        <w:t xml:space="preserve"> ensuring that advances are spend across a broader spectrum of economic activities.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2.1.7</w:t>
      </w:r>
      <w:r w:rsidRPr="00832F88">
        <w:rPr>
          <w:rFonts w:ascii="Times New Roman" w:hAnsi="Times New Roman"/>
          <w:b/>
          <w:color w:val="000000"/>
        </w:rPr>
        <w:tab/>
        <w:t xml:space="preserve">CREDIT APPRAISAL TECHNIQUES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Guidelines for commercial Banks kin Pakistan (2009) indicate that banks should as a matter of need operate within a study and well accentuated criterion for new loan portfolios as well as the broadening of existing credit lines, credit facilities should be expanded within targeted markets and as well as the ambits of the lending strategy of the institution. Before allowing a credit facility, the bank must carry out an assessment of risk profiled of the customer/ transaction. This may include: -</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 xml:space="preserve">Credit analysis of the borrower’s industry and macro-economic factors. </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 xml:space="preserve">The sole aim of the credit and source of repayment. </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The performance/repayment history of borrower</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 xml:space="preserve">Assess/evaluate the repayment capability of debtor. </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 xml:space="preserve">The prose terms and conditions as well as cotenants </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 xml:space="preserve">Perfection and enforceability of collateral assignments </w:t>
      </w:r>
    </w:p>
    <w:p w:rsidR="002B5DAE" w:rsidRPr="00832F88" w:rsidRDefault="002B5DAE" w:rsidP="002B5DAE">
      <w:pPr>
        <w:pStyle w:val="ListParagraph"/>
        <w:numPr>
          <w:ilvl w:val="0"/>
          <w:numId w:val="6"/>
        </w:numPr>
        <w:spacing w:after="0" w:line="240" w:lineRule="auto"/>
        <w:jc w:val="both"/>
        <w:rPr>
          <w:rFonts w:ascii="Times New Roman" w:hAnsi="Times New Roman"/>
          <w:color w:val="000000"/>
        </w:rPr>
      </w:pPr>
      <w:r w:rsidRPr="00832F88">
        <w:rPr>
          <w:rFonts w:ascii="Times New Roman" w:hAnsi="Times New Roman"/>
          <w:color w:val="000000"/>
        </w:rPr>
        <w:t xml:space="preserve">Approval from appropriate authority </w:t>
      </w:r>
    </w:p>
    <w:p w:rsidR="002B5DAE" w:rsidRPr="00832F88" w:rsidRDefault="002B5DAE" w:rsidP="002B5DAE">
      <w:pPr>
        <w:spacing w:after="0" w:line="240" w:lineRule="auto"/>
        <w:ind w:firstLine="360"/>
        <w:jc w:val="both"/>
        <w:rPr>
          <w:rFonts w:ascii="Times New Roman" w:hAnsi="Times New Roman"/>
          <w:color w:val="000000"/>
        </w:rPr>
      </w:pPr>
      <w:r w:rsidRPr="00832F88">
        <w:rPr>
          <w:rFonts w:ascii="Times New Roman" w:hAnsi="Times New Roman"/>
          <w:color w:val="000000"/>
        </w:rPr>
        <w:t xml:space="preserve">All the components aid in the easy identification of any inherent risks which can provide solid information as well as provide the tastes the evaluation of the customer’s application as well as provide the necessary platform for an effective profiling of client. Essentially problem arise lenders are not well informed about the peculiarities of would be debtors and so it becomes impracticable for financial institutions to know which customers are good and which ones are not (Fraser, 2012). According to Ahmed (2004) there I no system that can provide a hundred percent projection gains bad loans as situations can sometimes overturn the best credit strategies to borrower’s. this implies that no amount of credit management measures put in place to forestall deviancies can ensure a zero default rate. However, they can aid in ensuring that defaults are brought to the barest minimum thereby leading to a health loan portfolio.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2.1.8</w:t>
      </w:r>
      <w:r w:rsidRPr="00832F88">
        <w:rPr>
          <w:rFonts w:ascii="Times New Roman" w:hAnsi="Times New Roman"/>
          <w:b/>
          <w:color w:val="000000"/>
        </w:rPr>
        <w:tab/>
        <w:t xml:space="preserve"> RISK ASSOCIATED WITH LENDING</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Occ (2011) identified elementary mechanisms of controlling credit risk as robust under writing. Extensive financial analysis, adequate appraisal techniques, credit documentation practices, and sound internal controls. These principles constitute a fundament role in credit management as they help to ensure the sound management of credit port folios in a manner that allows the financial institutions to maximize returns on loans granted as well as reduce economic losses because of unforeseen change in the credit nature of counterpart I an economic arrangement. He likewise views it as the likelihood of default or any kind of inability to maintain a money related understanding credit risk forms a major </w:t>
      </w:r>
      <w:r w:rsidRPr="00832F88">
        <w:rPr>
          <w:rFonts w:ascii="Times New Roman" w:hAnsi="Times New Roman"/>
          <w:color w:val="000000"/>
        </w:rPr>
        <w:lastRenderedPageBreak/>
        <w:t>component of credit management and so it becomes part of the credit management process. when unexpected situations arise that affect the credit worthiness of counterparties, it eventually leads to losses that affect both parties which in this case is made up to the bank and the customer credit management therefore seeks to provide strategies that can help limit such losses through the effective forecasting of such risks and the application of sound principles of credit management.</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2.1.9 CREDIT RISK CONTROL</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Credit risk is the prFBNbility that the return supposed to be earner on an investment or risky asset extended will depend from that, which was expected Coyle of loan clients to meet their commitment of what is outstanding in full and on time. The major sources of credit include limitation in institutional capacities. Unsuitable guidelines on loan management, high interest rates, lack of effective supervision of credit lines, instable laws, low level of capital &amp; liquidity, poor loan under writing, raciness lending poor credit appraisal, poor practices of lending, interference by government and the inability to enforce over sight responsibility over financial institutions by the central bank. To reduce these risks, it is fundamental for the money related framework to have a round strongly funded banks, provision of financial services to an expansive range of clients, sharing of credit data about borrowers through credit reference departments, adjustment of premium rates, by banks and expansion of credit to prospective clients. Advance defaults and nonperforming credits should be less ended (bank supervision annual report, 2006 lake, 2007: sandstorm, 2009).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2.1.10 </w:t>
      </w:r>
      <w:r w:rsidRPr="00832F88">
        <w:rPr>
          <w:rFonts w:ascii="Times New Roman" w:hAnsi="Times New Roman"/>
          <w:b/>
          <w:color w:val="000000"/>
        </w:rPr>
        <w:tab/>
        <w:t xml:space="preserve">ADDRESSING RISK ASSOCIATED WITH CREDIT MANAGEMENT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The risks association with grating loans can result in insolvency issues, which in a compelling condition can lead to a bank encrusting serious money related emergencies, resulting in the wiping off of capital indebtedness and coved bring a financial institution to its knees to distinguish and deal with the dangers connected with credit administration, the Basel committee on Banking supervision in its publication No. 54 issued in September 2000 plotted the accompanying measures:</w:t>
      </w:r>
    </w:p>
    <w:p w:rsidR="002B5DAE" w:rsidRPr="00832F88" w:rsidRDefault="002B5DAE" w:rsidP="002B5DAE">
      <w:pPr>
        <w:pStyle w:val="ListParagraph"/>
        <w:numPr>
          <w:ilvl w:val="0"/>
          <w:numId w:val="7"/>
        </w:numPr>
        <w:spacing w:after="0" w:line="240" w:lineRule="auto"/>
        <w:jc w:val="both"/>
        <w:rPr>
          <w:rFonts w:ascii="Times New Roman" w:hAnsi="Times New Roman"/>
          <w:color w:val="000000"/>
        </w:rPr>
      </w:pPr>
      <w:r w:rsidRPr="00832F88">
        <w:rPr>
          <w:rFonts w:ascii="Times New Roman" w:hAnsi="Times New Roman"/>
          <w:color w:val="000000"/>
        </w:rPr>
        <w:t>Establishing a relevant credit risk environment</w:t>
      </w:r>
    </w:p>
    <w:p w:rsidR="002B5DAE" w:rsidRPr="00832F88" w:rsidRDefault="002B5DAE" w:rsidP="002B5DAE">
      <w:pPr>
        <w:pStyle w:val="ListParagraph"/>
        <w:numPr>
          <w:ilvl w:val="0"/>
          <w:numId w:val="7"/>
        </w:numPr>
        <w:spacing w:after="0" w:line="240" w:lineRule="auto"/>
        <w:jc w:val="both"/>
        <w:rPr>
          <w:rFonts w:ascii="Times New Roman" w:hAnsi="Times New Roman"/>
          <w:color w:val="000000"/>
        </w:rPr>
      </w:pPr>
      <w:r w:rsidRPr="00832F88">
        <w:rPr>
          <w:rFonts w:ascii="Times New Roman" w:hAnsi="Times New Roman"/>
          <w:color w:val="000000"/>
        </w:rPr>
        <w:t>Operating under a safe credit delivery [process</w:t>
      </w:r>
    </w:p>
    <w:p w:rsidR="002B5DAE" w:rsidRPr="00832F88" w:rsidRDefault="002B5DAE" w:rsidP="002B5DAE">
      <w:pPr>
        <w:pStyle w:val="ListParagraph"/>
        <w:numPr>
          <w:ilvl w:val="0"/>
          <w:numId w:val="7"/>
        </w:numPr>
        <w:spacing w:after="0" w:line="240" w:lineRule="auto"/>
        <w:jc w:val="both"/>
        <w:rPr>
          <w:rFonts w:ascii="Times New Roman" w:hAnsi="Times New Roman"/>
          <w:color w:val="000000"/>
        </w:rPr>
      </w:pPr>
      <w:r w:rsidRPr="00832F88">
        <w:rPr>
          <w:rFonts w:ascii="Times New Roman" w:hAnsi="Times New Roman"/>
          <w:color w:val="000000"/>
        </w:rPr>
        <w:t>Maintaining an appropriate credit administration, measurement and monitoring process</w:t>
      </w:r>
    </w:p>
    <w:p w:rsidR="002B5DAE" w:rsidRPr="00832F88" w:rsidRDefault="002B5DAE" w:rsidP="002B5DAE">
      <w:pPr>
        <w:pStyle w:val="ListParagraph"/>
        <w:numPr>
          <w:ilvl w:val="0"/>
          <w:numId w:val="7"/>
        </w:numPr>
        <w:spacing w:after="0" w:line="240" w:lineRule="auto"/>
        <w:jc w:val="both"/>
        <w:rPr>
          <w:rFonts w:ascii="Times New Roman" w:hAnsi="Times New Roman"/>
          <w:color w:val="000000"/>
        </w:rPr>
      </w:pPr>
      <w:r w:rsidRPr="00832F88">
        <w:rPr>
          <w:rFonts w:ascii="Times New Roman" w:hAnsi="Times New Roman"/>
          <w:color w:val="000000"/>
        </w:rPr>
        <w:t>Ensuring adequate controls over credit risk</w:t>
      </w:r>
    </w:p>
    <w:p w:rsidR="002B5DAE" w:rsidRPr="00832F88" w:rsidRDefault="002B5DAE" w:rsidP="002B5DAE">
      <w:pPr>
        <w:pStyle w:val="ListParagraph"/>
        <w:numPr>
          <w:ilvl w:val="0"/>
          <w:numId w:val="7"/>
        </w:numPr>
        <w:spacing w:after="0" w:line="240" w:lineRule="auto"/>
        <w:jc w:val="both"/>
        <w:rPr>
          <w:rFonts w:ascii="Times New Roman" w:hAnsi="Times New Roman"/>
          <w:color w:val="000000"/>
        </w:rPr>
      </w:pPr>
      <w:r w:rsidRPr="00832F88">
        <w:rPr>
          <w:rFonts w:ascii="Times New Roman" w:hAnsi="Times New Roman"/>
          <w:color w:val="000000"/>
        </w:rPr>
        <w:t xml:space="preserve">The role of supervisors. </w:t>
      </w:r>
    </w:p>
    <w:p w:rsidR="002B5DAE" w:rsidRPr="00832F88" w:rsidRDefault="002B5DAE" w:rsidP="002B5DAE">
      <w:pPr>
        <w:spacing w:after="0" w:line="240" w:lineRule="auto"/>
        <w:ind w:left="360"/>
        <w:jc w:val="both"/>
        <w:rPr>
          <w:rFonts w:ascii="Times New Roman" w:hAnsi="Times New Roman"/>
          <w:color w:val="000000"/>
        </w:rPr>
      </w:pPr>
      <w:r w:rsidRPr="00832F88">
        <w:rPr>
          <w:rFonts w:ascii="Times New Roman" w:hAnsi="Times New Roman"/>
          <w:color w:val="000000"/>
        </w:rPr>
        <w:t xml:space="preserve">The highlights of the measures raised by the Basel committee on banking supervision (2000) as indicated above are as follows.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2.1.11 ESTABLISHING AN APPROPRIATE CREDIT RISK ENVIRONMENT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The board of Directors ought to demonstrate the oversight supervision regarding endorsing and occasionally (in any event every year). Critically appraise the credit hazard system and critical credit management strategies and controls of the bank. The outline ought to obviously reflect the bank’s resilience for risk and the profit levels the firm expects for assuming different dimensions of risks involved in grating of loans. Top management must take responsibility for implementing the strategy for credit risk adopted by the board and to develop policies and mechanisms to identify measure, monitor and control credit risk. These policies and procedures must be able to cope with the credit exposures in all items and enterprise. Banks should guarantee. That risks inherent in items and operations that are different to them are secured by adequate credit administration conventions and continues before they are presented or rolled out and the proper endorsement sought for ahead of time from the board or its suitable council. (Basel committee on Banking Supervision, 2000).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2.1.12 OPERATING UNDER A SOUND CREDIT GRANTING PROCESS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Banks must work within the ambient of a clear, well-laid out credit granting criteria. These criteria ought to give a reasonable distinguishing proof of the banks biggest business and a complete under 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off operational loan facilities. </w:t>
      </w:r>
    </w:p>
    <w:p w:rsidR="002B5DAE" w:rsidRPr="00832F88" w:rsidRDefault="002B5DAE" w:rsidP="002B5DAE">
      <w:pPr>
        <w:spacing w:after="0" w:line="240" w:lineRule="auto"/>
        <w:ind w:left="1440" w:hanging="1440"/>
        <w:jc w:val="both"/>
        <w:rPr>
          <w:rFonts w:ascii="Times New Roman" w:hAnsi="Times New Roman"/>
          <w:b/>
          <w:color w:val="000000"/>
        </w:rPr>
      </w:pPr>
      <w:r w:rsidRPr="00832F88">
        <w:rPr>
          <w:rFonts w:ascii="Times New Roman" w:hAnsi="Times New Roman"/>
          <w:b/>
          <w:color w:val="000000"/>
        </w:rPr>
        <w:t>2.1.13</w:t>
      </w:r>
      <w:r w:rsidRPr="00832F88">
        <w:rPr>
          <w:rFonts w:ascii="Times New Roman" w:hAnsi="Times New Roman"/>
          <w:b/>
          <w:color w:val="000000"/>
        </w:rPr>
        <w:tab/>
        <w:t xml:space="preserve">MAINTAINING APPROPRIATE CREDIT ADMINISTRATION THROUGH MEASUREMENT AND MONITORING PROCESS </w:t>
      </w:r>
    </w:p>
    <w:p w:rsidR="002B5DAE" w:rsidRPr="00832F88" w:rsidRDefault="002B5DAE" w:rsidP="002B5DAE">
      <w:pPr>
        <w:spacing w:after="0" w:line="240" w:lineRule="auto"/>
        <w:ind w:left="-90"/>
        <w:jc w:val="both"/>
        <w:rPr>
          <w:rFonts w:ascii="Times New Roman" w:hAnsi="Times New Roman"/>
          <w:color w:val="000000"/>
        </w:rPr>
      </w:pPr>
      <w:r w:rsidRPr="00832F88">
        <w:rPr>
          <w:rFonts w:ascii="Times New Roman" w:hAnsi="Times New Roman"/>
          <w:color w:val="000000"/>
        </w:rPr>
        <w:t>According to Signorelli and Vincent (1991) this process comprises the following: -</w:t>
      </w:r>
    </w:p>
    <w:p w:rsidR="002B5DAE" w:rsidRPr="00832F88" w:rsidRDefault="002B5DAE" w:rsidP="002B5DAE">
      <w:pPr>
        <w:spacing w:after="0" w:line="240" w:lineRule="auto"/>
        <w:ind w:firstLine="720"/>
        <w:jc w:val="both"/>
        <w:rPr>
          <w:rFonts w:ascii="Times New Roman" w:hAnsi="Times New Roman"/>
          <w:color w:val="000000"/>
        </w:rPr>
      </w:pPr>
      <w:r w:rsidRPr="00832F88">
        <w:rPr>
          <w:rFonts w:ascii="Times New Roman" w:hAnsi="Times New Roman"/>
          <w:color w:val="000000"/>
        </w:rPr>
        <w:t>Banks should exercise oversight responsibility over the management of their different credit risk bearing portfolios and establish a mechanism that allows them to monitor conditions of insufficient credit, including determine the level of adequacy of reserves as well as provisions. Banks are urged to deploy a system that has the capacity to supervise the administration of credit through the internal use of a risk categorization mechanism. The rating syste3m should be in consonance with the character, structure and intricacies of a bank’s operations. Banks should be able to develop a data framework and diagnostic methods that furnish administration with the capacity of quantity the credit hazards inbound in all on and off activities found on the firm’s statement of financial position. The administration data framework delayed ought to have the capacity to give the fundamental data on the segment of the credit portfolio, including distinguishing varying concentration of risks. Banks must also design a system that is able to monitor the total composition and health of the credit portfolios and to be able to consider any potential future variations in economic conditions when apprising credits given to individuals and to able to carry out stress tests on inherent risks.</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lastRenderedPageBreak/>
        <w:t xml:space="preserve">2.1.14 ENSURING ADEQUATE CONTROLS OVER RISK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Signoriello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 constantly evaluated to ensure that they are within levels that agree with prudential standards and internal limits that have been laid down. Furthermore, action on retrograding loan portfolios, handing problems and other comparable situations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2.1.14 STANDARDS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This incorporates elements, for example, the prefunding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customer made to address infidel issues of clients are all important in creating sustainable credit standards. Moreover, Santomero (1995) says ‘structuring facilities to protect the bank should become in such an away and as far as possible that benefits eventually accrue to the client as well”. An installment plan for a term loan should be designed based on a customer’s flow setting standards additionally suggests the recognition of how far the sensibilities of customers will be adjusted against the banks desire to shield it against debt exposures. Case in point, when a client’s imperviousness to giving enhancing security or going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western and Pierce (2002)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and needs to be kept at all times. They ought not be relaxed in great economic times or over fixated in awful times. </w:t>
      </w:r>
    </w:p>
    <w:p w:rsidR="002B5DAE" w:rsidRPr="00832F88" w:rsidRDefault="002B5DAE" w:rsidP="002B5DAE">
      <w:pPr>
        <w:spacing w:after="0" w:line="240" w:lineRule="auto"/>
        <w:ind w:firstLine="720"/>
        <w:jc w:val="both"/>
        <w:rPr>
          <w:rFonts w:ascii="Times New Roman" w:hAnsi="Times New Roman"/>
          <w:b/>
          <w:color w:val="000000"/>
        </w:rPr>
      </w:pPr>
      <w:r w:rsidRPr="00832F88">
        <w:rPr>
          <w:rFonts w:ascii="Times New Roman" w:hAnsi="Times New Roman"/>
          <w:color w:val="000000"/>
        </w:rPr>
        <w:t xml:space="preserve">According to Dyer (2004) banks are confronted with a real dilemma in that if they decide to ignore the market force and rigidly apply standards; they will avoid credit losses in the short term but will have to lose the good business and market share in the long term. This must be balanced against the need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 advantage. a strong credit culture can help establish the right kind of association with them, Adams (2002) supposes it can decide when to bucket down on measures. A little and when to stick to them, if conceivable, in the ambience of a solid client relationship to influence even the most troublesome of clients to see the banks perspective.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Relationship banking according to Holiensen (2003) is a two-way affair and customers would expect some level of support when they are in need of it. If a financial institution wants to get some things out of its target business during the period of economic turbine, it must be willing to give to return the favor when the customer is in a less solid situation. This is because, the ability to offer financial aid to customers during bad times can help build a solid relationship which they tend to reciprocate by proving banks with a lot of cheap deposited during the good they tend to reciprocate by providing banks with a lot of cheap deposits during the good times rouse (2004) admonishes that relationship banking does not provide a complete solution to bad debts, but it is likely to lessen the incidence of losses during periods of recession. Credit management as a consequence allows for the right application of credit standards and helps to maintain that equilibrium between rigidly applying administrative procedures and relaxing them to suit the needs of different categories of customers as well as varied economic conditions. Credit management therefore incorporates the right credit standards that allow a financial institution to be able to achieve its strategic objective through the application of an effective and well adapted credit regime capable of safeguarding the interests of the firm and at the same time meeting the needs of prospective loan clients.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2.1.16 </w:t>
      </w:r>
      <w:r w:rsidRPr="00832F88">
        <w:rPr>
          <w:rFonts w:ascii="Times New Roman" w:hAnsi="Times New Roman"/>
          <w:b/>
          <w:color w:val="000000"/>
        </w:rPr>
        <w:tab/>
        <w:t>CREDIT MANAGEMENT POLICY</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color w:val="000000"/>
        </w:rPr>
        <w:tab/>
        <w:t xml:space="preserve">It is defined as the tensest and systems set up to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 from it (Mc Naughton, 1996). Credit administration arrangements involve the credit strategies, credit measures and credit terms. This policy become the blue print which guides the conduct and expectations of all employees entrusted with the responsibility of granting credit and also as a benchmark by which performance can be measure gains standards set. </w:t>
      </w:r>
    </w:p>
    <w:p w:rsidR="002B5DAE" w:rsidRPr="00832F88" w:rsidRDefault="002B5DAE" w:rsidP="002B5DAE">
      <w:pPr>
        <w:spacing w:after="0" w:line="240" w:lineRule="auto"/>
        <w:jc w:val="both"/>
        <w:rPr>
          <w:rFonts w:ascii="Times New Roman" w:hAnsi="Times New Roman"/>
          <w:b/>
          <w:color w:val="000000"/>
        </w:rPr>
      </w:pPr>
      <w:r>
        <w:rPr>
          <w:rFonts w:ascii="Times New Roman" w:hAnsi="Times New Roman"/>
          <w:b/>
          <w:color w:val="000000"/>
        </w:rPr>
        <w:t>2.1.17</w:t>
      </w:r>
      <w:r>
        <w:rPr>
          <w:rFonts w:ascii="Times New Roman" w:hAnsi="Times New Roman"/>
          <w:b/>
          <w:color w:val="000000"/>
        </w:rPr>
        <w:tab/>
      </w:r>
      <w:r w:rsidRPr="00832F88">
        <w:rPr>
          <w:rFonts w:ascii="Times New Roman" w:hAnsi="Times New Roman"/>
          <w:b/>
          <w:color w:val="000000"/>
        </w:rPr>
        <w:t>CREDIT PROCEDURES</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To accomplish the great objectives of credit administration strategy Franklin (2010). Instructed the endorsement and utilization of credit strategies. To Franklin, credit methods are particular routes in which top administration impose expectations on the credit division to accomplish the credit administration policies. The credit system incorporates guidelines on what information to be utilized for credit examination and investigation procedure, provide information </w:t>
      </w:r>
      <w:r w:rsidRPr="00832F88">
        <w:rPr>
          <w:rFonts w:ascii="Times New Roman" w:hAnsi="Times New Roman"/>
          <w:color w:val="000000"/>
        </w:rPr>
        <w:lastRenderedPageBreak/>
        <w:t>regarding procedure, account supervision and cases needing administration notice. Such credit gathering and devours incorporate the utilization of remainders, adoption of insurance, the application of legal procedure, the factoring of debtors and final write – off as highlighted underneath;</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2.2 </w:t>
      </w:r>
      <w:r w:rsidRPr="00832F88">
        <w:rPr>
          <w:rFonts w:ascii="Times New Roman" w:hAnsi="Times New Roman"/>
          <w:b/>
          <w:color w:val="000000"/>
        </w:rPr>
        <w:tab/>
        <w:t xml:space="preserve">THEORETICAL FRAMEWORK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2.2.1 </w:t>
      </w:r>
      <w:r w:rsidRPr="00832F88">
        <w:rPr>
          <w:rFonts w:ascii="Times New Roman" w:hAnsi="Times New Roman"/>
          <w:b/>
          <w:color w:val="000000"/>
        </w:rPr>
        <w:tab/>
        <w:t xml:space="preserve">ASYMMETRIC INFORMATION THEORY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Information asymmetry refers to a situation where business owners or manager know more about the prospect for, and risks facings their business, than do lenders) PWHC, 2002) cited in EPPY. 1 (2005). It describes a condition in which a parties involved in an undertaking do not know relevant information in a debt market, information asymmetry arises when a borrower who takes a loan usually has better information about the potential risks and returns associated which investment projects for which the funds are earmarked the lender on the other hand does not have sufficient information concerning the borrower (Edwards and turn bull, 1994). </w:t>
      </w:r>
    </w:p>
    <w:p w:rsidR="002B5DAE" w:rsidRPr="00832F88" w:rsidRDefault="002B5DAE" w:rsidP="002B5DAE">
      <w:pPr>
        <w:spacing w:after="0" w:line="240" w:lineRule="auto"/>
        <w:ind w:firstLine="720"/>
        <w:jc w:val="both"/>
        <w:rPr>
          <w:rFonts w:ascii="Times New Roman" w:hAnsi="Times New Roman"/>
          <w:color w:val="000000"/>
        </w:rPr>
      </w:pPr>
      <w:r w:rsidRPr="00832F88">
        <w:rPr>
          <w:rFonts w:ascii="Times New Roman" w:hAnsi="Times New Roman"/>
          <w:color w:val="000000"/>
        </w:rPr>
        <w:t>Binks et al (1992) point out that perceived information asymmetry poses two problems for the banks, moral hazard, (monitoring entrepreneurial behaviors) and adverse selection (Making errors in lending decisions). Bank will find it difficult to overcome these problems because it’s jot economical to devote resource to appraisal and monitoring where lending is for relatively small amount. This is because data needed to screen credit applications and to monitor borrowers are not freely available to bank. Bankers face a situation of information asymmetry when assessing lending applications (Binks and Ennew, 1996, 1997). The information required to assess the competence and commitment of the entrepreneur, and the prospects of the business is either not available, uneconomic to obtain or difficult to interpret. This creates twp types of risk for the banker (Deakin’s, 1999).</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The risk of adverse selection which occurs when banks lend to business which subsequently fail or when do not lend to business which go on to become “successful, or have the potential to do so.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2.2.2</w:t>
      </w:r>
      <w:r w:rsidRPr="00832F88">
        <w:rPr>
          <w:rFonts w:ascii="Times New Roman" w:hAnsi="Times New Roman"/>
          <w:b/>
          <w:color w:val="000000"/>
        </w:rPr>
        <w:tab/>
        <w:t>TRANSACTIONS COSTS THEORY</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First development by Schwandt (1974). This theory conjectures that suppliers may have an advantage over traditional enders in checking the real financial situation or the credit worthiness of their clients. Supplier also have a better ability to monitor and force repayment of the credit. All these superiorities may give suppliers a cost advantage when classified by Petersen and rajah (1997) as follows: information acquisition, controlling the buyer and salvaging can be explained by the fact that sense can get information about buyer faster and at lower cost because it is obtained in the normal course of business. That is, the frequency and the amount of the buyer’s orders give supplier and idea of the client’s situation, the buyers rejection of discounts for early payment may serve to alert the supplier of a weakening in the credit worthiness of the buyer, and sellers usually visit customer’s more often than financial institutions do.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However, For the purpose of this research work, both asymmetry information theory and transactions cost a theory will be adopted because it gives adequate information needed for the customers and allow both the lenders better ability t monitor and force repayment of the credit. </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b/>
        </w:rPr>
        <w:t>2.2.3</w:t>
      </w:r>
      <w:r w:rsidRPr="00832F88">
        <w:rPr>
          <w:rFonts w:ascii="Times New Roman" w:hAnsi="Times New Roman"/>
          <w:b/>
        </w:rPr>
        <w:tab/>
        <w:t>ASYMMETRIC INFORMATION THEORY</w:t>
      </w:r>
      <w:r w:rsidRPr="00832F88">
        <w:rPr>
          <w:rFonts w:ascii="Times New Roman" w:hAnsi="Times New Roman"/>
        </w:rPr>
        <w:t xml:space="preserve">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Information asymmetry in a financial market arises when a borrower who obtains loan facility from a bank has better information about the expected risks and returns associated with the investment project for which the fund was sought (Edwards &amp; Turnbull 1994). The lender may not have sufficient information about the borrower. This theory submits that banks face twin problems of moral hazard (monitoring borrower’s behaviour) and adverse selection (making errors in the lending decision) whenever customers’ loan requests are being processed.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2.3</w:t>
      </w:r>
      <w:r w:rsidRPr="00832F88">
        <w:rPr>
          <w:rFonts w:ascii="Times New Roman" w:hAnsi="Times New Roman"/>
          <w:b/>
          <w:color w:val="000000"/>
        </w:rPr>
        <w:tab/>
        <w:t xml:space="preserve">EMPIRICAL REVIEW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A significant number of studies exist in the extant literature which examined the effects of credit risk management on the profitability of banks in both developed and developing economies. Some of these studies are discussed in turn.</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Kurawa and Garba (2014) studied the effect of credit risk management on the profitability of 6 Nigerian banks for the period 2002 to 2011. Using random-effect generalized least squares (GLS) regression techniques as a tool of analysis; findings established a positive and significant relationship between two credit risk variables (default rate and cost per loan asset) and profitability (ROA) of Nigerian banks.</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Idowu and Awoyemi (2014) investigated the impact of credit risk management on the performance of 7 commercial banks in Nigeria for the period 2005-2011. A panel regression model was adopted as an estimation technique. Findings suggested that non-performing loan (a measure of credit risk) has a negative and significant effect on the profitability of Nigerian commercial banks.</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 xml:space="preserve">Uwuigbe, Uwuigbe and Oyewo (2015) critically examined the effects of credit management on banks’ performance in Nigeria. A sample of 10 banks was used for 2007-2011. The study adopted panel linear regression methodology in the estimation of the coefficient of the variables. Results revealed that nonperforming loans and bad debt ratios have a significant and inverse effect on the performance of banks in Nigeria. Furthermore, the relationship between secured and unsecured loan ratio and bank’s performance was insignificant. </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 xml:space="preserve">Kodithuwakku (2015) explored the relationship between credit risk management and performance of 8 commercial banks in Sri Lanka for a five year period from 2009 to 2013. Return on asset (ROA) was used as performance surrogate while four variables (loan provision to total loan, loan provision to non-performing loans, loan provision to total </w:t>
      </w:r>
      <w:r w:rsidRPr="00832F88">
        <w:rPr>
          <w:rFonts w:ascii="Times New Roman" w:hAnsi="Times New Roman"/>
        </w:rPr>
        <w:lastRenderedPageBreak/>
        <w:t>assets and non-performing loans to total loans) were used as parameters of credit risk. Regression results revealed that non-performing loans and provisions have a negative impact on the financial performance of the institutions.</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 xml:space="preserve">Alshatti (2015) assessed the effect of credit risk management on the financial performance of 13 commercial banks in Jordan during the period of 2005 to 2013. Findings showed a significant positive impact of credit management (represented by the ratio of non-performing loans to gross loans) on financial performance (ROA) of the banks.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rPr>
        <w:tab/>
        <w:t>Asfaw and Veni (2015) investigated the level of credit risk management practice of Ethiopian public and private commercial banks. Using a descriptive survey research approach, the findings revealed that four aspects of Basel’s credit risk management principles significantly explain the level of variation on credit risk management practice of banks in Ethiopia.</w:t>
      </w:r>
      <w:r w:rsidRPr="00832F88">
        <w:rPr>
          <w:rFonts w:ascii="Times New Roman" w:hAnsi="Times New Roman"/>
          <w:color w:val="000000"/>
        </w:rPr>
        <w:t xml:space="preserve">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Singh (2015) used data from selected public and private commercial banks in India for the financial years 2002/2003 to 2012/2013 to determine the relationship between ROA (performance indicator) and two credit risk indicators (CAR and NPL). With the use of least squares as estimation techniques, the results produced mixed results for both the private and public commercial banks.</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b/>
          <w:color w:val="000000"/>
        </w:rPr>
        <w:tab/>
      </w:r>
      <w:r w:rsidRPr="00832F88">
        <w:rPr>
          <w:rFonts w:ascii="Times New Roman" w:hAnsi="Times New Roman"/>
        </w:rPr>
        <w:t xml:space="preserve">Muriithi, Waweru and Muturi (2016) assessed the relationship between credit risk and profitability of 43 Kenyan commercial banks for the year 2014. By using both fixed effects estimation and generalized method of moments (GMM) techniques, results showed that credit risk variable has a negative and significant relationship with the financial performance of the sampled banks.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Aykut (2016) assessed the effect of credit and market risk on bank performance of quoted Turkish banks. With the use of generalized autoregressive conditional heteroscedastic approach for weekly data generated between 18th January 2002 and 30th October 2015, the results suggested that credit risk has an inverse and foreign exchange has a direct effect on banking sector profitability.</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Ogbulu and Eze (2016) studied the influence of credit risk management on the performance of selected Nigerian deposit money banks for the period 1989 to 2013. Using Error Correction Model (ECM) and Granger causality techniques, the findings of the study revealed that the selected credit risk indicators under study significantly impact on the financial performance of the banks.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Kani (2017) examined the impact of credit risk on banking performance in the member states of the West African Economic and Monetary Union (WAEMU). The analysis involved 20 banks over a 9-year period (2007- 2015). With the use of individual-specific effects models, the results show a negative and significant effect of credit risk on bank performance measured by ROA. </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 xml:space="preserve">Annor and Obeng (2017) explored the impact of credit risk management on the profitability of 6 selected commercial banks listed on the Ghana stock exchange. Using random effect model within the panel estimation technique, the findings showed capital adequacy ratio had a positive relationship with a bank’s profitability, non-performing loans, loan loss provisions ratio and loan to asset ratio showed a statistically significant negative relationship with the profitability of a bank. </w:t>
      </w:r>
    </w:p>
    <w:p w:rsidR="002B5DAE" w:rsidRPr="00832F88" w:rsidRDefault="002B5DAE" w:rsidP="002B5DAE">
      <w:pPr>
        <w:spacing w:after="0" w:line="240" w:lineRule="auto"/>
        <w:ind w:firstLine="720"/>
        <w:jc w:val="both"/>
        <w:rPr>
          <w:rFonts w:ascii="Times New Roman" w:hAnsi="Times New Roman"/>
          <w:b/>
          <w:color w:val="000000"/>
        </w:rPr>
      </w:pPr>
      <w:r w:rsidRPr="00832F88">
        <w:rPr>
          <w:rFonts w:ascii="Times New Roman" w:hAnsi="Times New Roman"/>
        </w:rPr>
        <w:t>Harcourt (2017) analyzed the impact of credit risk management on the performance of deposit money banks in Nigeria using over parameterised and parsimonious error correction model and Granger causality for the period 1989 to 2014. Findings suggested a significant relationship between credit management parameters and the performance of deposit money banks.</w:t>
      </w: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lastRenderedPageBreak/>
        <w:t>CHAPTER THREE</w:t>
      </w: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t>RESEARCH METHODOLOGY</w:t>
      </w:r>
    </w:p>
    <w:p w:rsidR="002B5DAE" w:rsidRPr="00832F88" w:rsidRDefault="002B5DAE" w:rsidP="002B5DAE">
      <w:pPr>
        <w:spacing w:after="0" w:line="240" w:lineRule="auto"/>
        <w:rPr>
          <w:rFonts w:ascii="Times New Roman" w:hAnsi="Times New Roman"/>
          <w:b/>
          <w:bCs/>
        </w:rPr>
      </w:pPr>
      <w:r w:rsidRPr="00832F88">
        <w:rPr>
          <w:rFonts w:ascii="Times New Roman" w:hAnsi="Times New Roman"/>
          <w:b/>
          <w:bCs/>
        </w:rPr>
        <w:t>3.1</w:t>
      </w:r>
      <w:r w:rsidRPr="00832F88">
        <w:rPr>
          <w:rFonts w:ascii="Times New Roman" w:hAnsi="Times New Roman"/>
          <w:b/>
          <w:bCs/>
        </w:rPr>
        <w:tab/>
        <w:t>Design Study</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This study employs descriptive research using panel data as it allows for the collection of past and multi-dimension data which provide basis for the full establishment of the relationship between credit and risk management and agricultural development in Nigeria.</w:t>
      </w: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3.2</w:t>
      </w:r>
      <w:r w:rsidRPr="00832F88">
        <w:rPr>
          <w:rFonts w:ascii="Times New Roman" w:hAnsi="Times New Roman"/>
          <w:b/>
          <w:bCs/>
        </w:rPr>
        <w:tab/>
        <w:t>Source of Data</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For the purpose of adequate Data needed for this project to obtain enough reliable information.</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The secondary source of data, this consists of information which may be available, hence related journals, textbooks to the subject matter, Newspapers.</w:t>
      </w: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3.3</w:t>
      </w:r>
      <w:r w:rsidRPr="00832F88">
        <w:rPr>
          <w:rFonts w:ascii="Times New Roman" w:hAnsi="Times New Roman"/>
          <w:b/>
          <w:bCs/>
        </w:rPr>
        <w:tab/>
        <w:t>Population of the Study</w:t>
      </w:r>
    </w:p>
    <w:p w:rsidR="002B5DAE" w:rsidRDefault="002B5DAE" w:rsidP="002B5DAE">
      <w:pPr>
        <w:spacing w:after="0" w:line="240" w:lineRule="auto"/>
        <w:jc w:val="both"/>
        <w:rPr>
          <w:rFonts w:ascii="Times New Roman" w:hAnsi="Times New Roman"/>
        </w:rPr>
      </w:pPr>
      <w:r w:rsidRPr="00832F88">
        <w:rPr>
          <w:rFonts w:ascii="Times New Roman" w:hAnsi="Times New Roman"/>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2B5DAE" w:rsidRPr="00832F88" w:rsidRDefault="002B5DAE" w:rsidP="002B5DAE">
      <w:pPr>
        <w:spacing w:after="0" w:line="240" w:lineRule="auto"/>
        <w:jc w:val="both"/>
        <w:rPr>
          <w:rFonts w:ascii="Times New Roman" w:hAnsi="Times New Roman"/>
        </w:rPr>
      </w:pP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3.4</w:t>
      </w:r>
      <w:r w:rsidRPr="00832F88">
        <w:rPr>
          <w:rFonts w:ascii="Times New Roman" w:hAnsi="Times New Roman"/>
          <w:b/>
          <w:bCs/>
        </w:rPr>
        <w:tab/>
        <w:t>Sample Size and Sampling Techniques.</w:t>
      </w: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ab/>
      </w:r>
      <w:r w:rsidRPr="00832F88">
        <w:rPr>
          <w:rFonts w:ascii="Times New Roman" w:hAnsi="Times New Roman"/>
        </w:rPr>
        <w:t>Sampling of the opinion has been draw using sample random method. The population is respondents. Random sampling is used because it is the only methods that give the respondent equal chance of being selected and it is an unbiased techniques. The sample for this study is therefore totaled 53</w:t>
      </w: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3.5</w:t>
      </w:r>
      <w:r w:rsidRPr="00832F88">
        <w:rPr>
          <w:rFonts w:ascii="Times New Roman" w:hAnsi="Times New Roman"/>
          <w:b/>
          <w:bCs/>
        </w:rPr>
        <w:tab/>
        <w:t>Research Instruments</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subject matter, for the purpose of this study, 60 copied of questionnaires were administered and 53 copies was returned.</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 xml:space="preserve">3.6 Method Of Data Analysis </w:t>
      </w:r>
    </w:p>
    <w:p w:rsidR="002B5DAE"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Data analysis, for the purpose of analyzing the data obtained from questionnaire that well administered descriptive and international statistics will be employed. The paramedic statistical test, regression, will be employed to test the formulated hypothesis sung statistical package for social sciences SPSS data analysis package.</w:t>
      </w:r>
    </w:p>
    <w:p w:rsidR="002B5DAE" w:rsidRPr="00094E07" w:rsidRDefault="002B5DAE" w:rsidP="002B5DAE">
      <w:pPr>
        <w:spacing w:after="0" w:line="240" w:lineRule="auto"/>
        <w:contextualSpacing/>
        <w:mirrorIndents/>
        <w:jc w:val="both"/>
        <w:rPr>
          <w:rFonts w:ascii="Times New Roman" w:hAnsi="Times New Roman"/>
          <w:color w:val="000000"/>
          <w:sz w:val="24"/>
          <w:szCs w:val="24"/>
        </w:rPr>
      </w:pPr>
    </w:p>
    <w:p w:rsidR="002B5DAE" w:rsidRPr="00094E07" w:rsidRDefault="002B5DAE" w:rsidP="002B5DAE">
      <w:pPr>
        <w:spacing w:line="240" w:lineRule="auto"/>
        <w:contextualSpacing/>
        <w:mirrorIndents/>
        <w:jc w:val="both"/>
        <w:rPr>
          <w:rFonts w:ascii="Times New Roman" w:hAnsi="Times New Roman"/>
          <w:b/>
          <w:sz w:val="24"/>
          <w:szCs w:val="24"/>
        </w:rPr>
      </w:pPr>
      <w:r w:rsidRPr="00094E07">
        <w:rPr>
          <w:rFonts w:ascii="Times New Roman" w:hAnsi="Times New Roman"/>
          <w:b/>
          <w:sz w:val="24"/>
          <w:szCs w:val="24"/>
        </w:rPr>
        <w:t>3.7 MODEL SPECIFICATION</w:t>
      </w:r>
    </w:p>
    <w:p w:rsidR="002B5DAE" w:rsidRPr="00094E07" w:rsidRDefault="002B5DAE" w:rsidP="002B5DAE">
      <w:pPr>
        <w:spacing w:line="240" w:lineRule="auto"/>
        <w:ind w:right="20"/>
        <w:contextualSpacing/>
        <w:mirrorIndents/>
        <w:jc w:val="both"/>
        <w:rPr>
          <w:rFonts w:ascii="Times New Roman" w:hAnsi="Times New Roman"/>
          <w:sz w:val="24"/>
          <w:szCs w:val="24"/>
        </w:rPr>
      </w:pPr>
      <w:r w:rsidRPr="00094E07">
        <w:rPr>
          <w:rFonts w:ascii="Times New Roman" w:hAnsi="Times New Roman"/>
          <w:sz w:val="24"/>
          <w:szCs w:val="24"/>
        </w:rPr>
        <w:t>The researcher computed correlation coefficient (r), coefficient of determination (r2) and analysis of variance (ANOVA) using the regression model below. The study hypothesis that asset liability management has a positive relationship to financial performance of banks.</w:t>
      </w:r>
    </w:p>
    <w:p w:rsidR="002B5DAE" w:rsidRPr="00094E07" w:rsidRDefault="002B5DAE" w:rsidP="002B5DAE">
      <w:pPr>
        <w:spacing w:line="240" w:lineRule="auto"/>
        <w:contextualSpacing/>
        <w:mirrorIndents/>
        <w:rPr>
          <w:rFonts w:ascii="Times New Roman" w:hAnsi="Times New Roman"/>
          <w:sz w:val="24"/>
          <w:szCs w:val="24"/>
        </w:rPr>
      </w:pPr>
    </w:p>
    <w:p w:rsidR="002B5DAE" w:rsidRPr="00094E07" w:rsidRDefault="002B5DAE" w:rsidP="002B5DAE">
      <w:pPr>
        <w:spacing w:line="240" w:lineRule="auto"/>
        <w:ind w:left="360" w:right="1560"/>
        <w:contextualSpacing/>
        <w:mirrorIndents/>
        <w:rPr>
          <w:rFonts w:ascii="Times New Roman" w:hAnsi="Times New Roman"/>
          <w:sz w:val="24"/>
          <w:szCs w:val="24"/>
        </w:rPr>
      </w:pPr>
      <w:r w:rsidRPr="00094E07">
        <w:rPr>
          <w:rFonts w:ascii="Times New Roman" w:hAnsi="Times New Roman"/>
          <w:sz w:val="24"/>
          <w:szCs w:val="24"/>
        </w:rPr>
        <w:t xml:space="preserve">Financial Performance </w:t>
      </w:r>
      <w:r w:rsidRPr="00094E07">
        <w:rPr>
          <w:rFonts w:ascii="Times New Roman" w:hAnsi="Times New Roman"/>
          <w:sz w:val="24"/>
          <w:szCs w:val="24"/>
          <w:vertAlign w:val="subscript"/>
        </w:rPr>
        <w:t>ROE</w:t>
      </w:r>
      <w:r w:rsidRPr="00094E07">
        <w:rPr>
          <w:rFonts w:ascii="Times New Roman" w:hAnsi="Times New Roman"/>
          <w:sz w:val="24"/>
          <w:szCs w:val="24"/>
        </w:rPr>
        <w:t xml:space="preserve"> = α + β</w:t>
      </w:r>
      <w:r w:rsidRPr="00094E07">
        <w:rPr>
          <w:rFonts w:ascii="Times New Roman" w:hAnsi="Times New Roman"/>
          <w:sz w:val="24"/>
          <w:szCs w:val="24"/>
          <w:vertAlign w:val="subscript"/>
        </w:rPr>
        <w:t>1</w:t>
      </w:r>
      <w:r w:rsidRPr="00094E07">
        <w:rPr>
          <w:rFonts w:ascii="Times New Roman" w:hAnsi="Times New Roman"/>
          <w:sz w:val="24"/>
          <w:szCs w:val="24"/>
        </w:rPr>
        <w:t xml:space="preserve"> X</w:t>
      </w:r>
      <w:r w:rsidRPr="00094E07">
        <w:rPr>
          <w:rFonts w:ascii="Times New Roman" w:hAnsi="Times New Roman"/>
          <w:sz w:val="24"/>
          <w:szCs w:val="24"/>
          <w:vertAlign w:val="subscript"/>
        </w:rPr>
        <w:t>1</w:t>
      </w:r>
      <w:r w:rsidRPr="00094E07">
        <w:rPr>
          <w:rFonts w:ascii="Times New Roman" w:hAnsi="Times New Roman"/>
          <w:sz w:val="24"/>
          <w:szCs w:val="24"/>
        </w:rPr>
        <w:t xml:space="preserve">+ β </w:t>
      </w:r>
      <w:r w:rsidRPr="00094E07">
        <w:rPr>
          <w:rFonts w:ascii="Times New Roman" w:hAnsi="Times New Roman"/>
          <w:sz w:val="24"/>
          <w:szCs w:val="24"/>
          <w:vertAlign w:val="subscript"/>
        </w:rPr>
        <w:t>2</w:t>
      </w:r>
      <w:r w:rsidRPr="00094E07">
        <w:rPr>
          <w:rFonts w:ascii="Times New Roman" w:hAnsi="Times New Roman"/>
          <w:sz w:val="24"/>
          <w:szCs w:val="24"/>
        </w:rPr>
        <w:t xml:space="preserve"> X</w:t>
      </w:r>
      <w:r w:rsidRPr="00094E07">
        <w:rPr>
          <w:rFonts w:ascii="Times New Roman" w:hAnsi="Times New Roman"/>
          <w:sz w:val="24"/>
          <w:szCs w:val="24"/>
          <w:vertAlign w:val="subscript"/>
        </w:rPr>
        <w:t>2</w:t>
      </w:r>
      <w:r w:rsidRPr="00094E07">
        <w:rPr>
          <w:rFonts w:ascii="Times New Roman" w:hAnsi="Times New Roman"/>
          <w:sz w:val="24"/>
          <w:szCs w:val="24"/>
        </w:rPr>
        <w:t>+ β</w:t>
      </w:r>
      <w:r w:rsidRPr="00094E07">
        <w:rPr>
          <w:rFonts w:ascii="Times New Roman" w:hAnsi="Times New Roman"/>
          <w:sz w:val="24"/>
          <w:szCs w:val="24"/>
          <w:vertAlign w:val="subscript"/>
        </w:rPr>
        <w:t>3</w:t>
      </w:r>
      <w:r w:rsidRPr="00094E07">
        <w:rPr>
          <w:rFonts w:ascii="Times New Roman" w:hAnsi="Times New Roman"/>
          <w:sz w:val="24"/>
          <w:szCs w:val="24"/>
        </w:rPr>
        <w:t xml:space="preserve"> X</w:t>
      </w:r>
      <w:r w:rsidRPr="00094E07">
        <w:rPr>
          <w:rFonts w:ascii="Times New Roman" w:hAnsi="Times New Roman"/>
          <w:sz w:val="24"/>
          <w:szCs w:val="24"/>
          <w:vertAlign w:val="subscript"/>
        </w:rPr>
        <w:t>3</w:t>
      </w:r>
      <w:r w:rsidRPr="00094E07">
        <w:rPr>
          <w:rFonts w:ascii="Times New Roman" w:hAnsi="Times New Roman"/>
          <w:sz w:val="24"/>
          <w:szCs w:val="24"/>
        </w:rPr>
        <w:t xml:space="preserve">+ β </w:t>
      </w:r>
      <w:r w:rsidRPr="00094E07">
        <w:rPr>
          <w:rFonts w:ascii="Times New Roman" w:hAnsi="Times New Roman"/>
          <w:sz w:val="24"/>
          <w:szCs w:val="24"/>
          <w:vertAlign w:val="subscript"/>
        </w:rPr>
        <w:t>4</w:t>
      </w:r>
      <w:r w:rsidRPr="00094E07">
        <w:rPr>
          <w:rFonts w:ascii="Times New Roman" w:hAnsi="Times New Roman"/>
          <w:sz w:val="24"/>
          <w:szCs w:val="24"/>
        </w:rPr>
        <w:t xml:space="preserve"> X</w:t>
      </w:r>
      <w:r w:rsidRPr="00094E07">
        <w:rPr>
          <w:rFonts w:ascii="Times New Roman" w:hAnsi="Times New Roman"/>
          <w:sz w:val="24"/>
          <w:szCs w:val="24"/>
          <w:vertAlign w:val="subscript"/>
        </w:rPr>
        <w:t>4</w:t>
      </w:r>
      <w:r w:rsidRPr="00094E07">
        <w:rPr>
          <w:rFonts w:ascii="Times New Roman" w:hAnsi="Times New Roman"/>
          <w:sz w:val="24"/>
          <w:szCs w:val="24"/>
        </w:rPr>
        <w:t>+ β</w:t>
      </w:r>
      <w:r w:rsidRPr="00094E07">
        <w:rPr>
          <w:rFonts w:ascii="Times New Roman" w:hAnsi="Times New Roman"/>
          <w:sz w:val="24"/>
          <w:szCs w:val="24"/>
          <w:vertAlign w:val="subscript"/>
        </w:rPr>
        <w:t>5</w:t>
      </w:r>
      <w:r w:rsidRPr="00094E07">
        <w:rPr>
          <w:rFonts w:ascii="Times New Roman" w:hAnsi="Times New Roman"/>
          <w:sz w:val="24"/>
          <w:szCs w:val="24"/>
        </w:rPr>
        <w:t xml:space="preserve"> X</w:t>
      </w:r>
      <w:r w:rsidRPr="00094E07">
        <w:rPr>
          <w:rFonts w:ascii="Times New Roman" w:hAnsi="Times New Roman"/>
          <w:sz w:val="24"/>
          <w:szCs w:val="24"/>
          <w:vertAlign w:val="subscript"/>
        </w:rPr>
        <w:t>5</w:t>
      </w:r>
      <w:r w:rsidRPr="00094E07">
        <w:rPr>
          <w:rFonts w:ascii="Times New Roman" w:hAnsi="Times New Roman"/>
          <w:sz w:val="24"/>
          <w:szCs w:val="24"/>
        </w:rPr>
        <w:t>+ +℮ Where; Y denotes the dependent variable (Financial Performance) measured as Return on Equity α is the value of the intercept.</w:t>
      </w:r>
    </w:p>
    <w:p w:rsidR="002B5DAE" w:rsidRPr="00094E07" w:rsidRDefault="002B5DAE" w:rsidP="002B5DAE">
      <w:pPr>
        <w:numPr>
          <w:ilvl w:val="0"/>
          <w:numId w:val="15"/>
        </w:numPr>
        <w:tabs>
          <w:tab w:val="left" w:pos="540"/>
        </w:tabs>
        <w:spacing w:after="0" w:line="240" w:lineRule="auto"/>
        <w:ind w:left="540" w:hanging="180"/>
        <w:contextualSpacing/>
        <w:mirrorIndents/>
        <w:rPr>
          <w:rFonts w:ascii="Times New Roman" w:hAnsi="Times New Roman"/>
          <w:sz w:val="24"/>
          <w:szCs w:val="24"/>
        </w:rPr>
      </w:pPr>
      <w:r w:rsidRPr="00094E07">
        <w:rPr>
          <w:rFonts w:ascii="Times New Roman" w:hAnsi="Times New Roman"/>
          <w:sz w:val="24"/>
          <w:szCs w:val="24"/>
        </w:rPr>
        <w:t>is the coefficient of the explanatory X variable.</w:t>
      </w:r>
    </w:p>
    <w:p w:rsidR="002B5DAE" w:rsidRPr="00094E07" w:rsidRDefault="002B5DAE" w:rsidP="002B5DAE">
      <w:pPr>
        <w:numPr>
          <w:ilvl w:val="0"/>
          <w:numId w:val="16"/>
        </w:numPr>
        <w:tabs>
          <w:tab w:val="left" w:pos="560"/>
        </w:tabs>
        <w:spacing w:after="0" w:line="240" w:lineRule="auto"/>
        <w:ind w:left="560" w:hanging="200"/>
        <w:contextualSpacing/>
        <w:mirrorIndents/>
        <w:rPr>
          <w:rFonts w:ascii="Times New Roman" w:hAnsi="Times New Roman"/>
          <w:sz w:val="24"/>
          <w:szCs w:val="24"/>
        </w:rPr>
      </w:pPr>
      <w:r w:rsidRPr="00094E07">
        <w:rPr>
          <w:rFonts w:ascii="Times New Roman" w:hAnsi="Times New Roman"/>
          <w:sz w:val="24"/>
          <w:szCs w:val="24"/>
        </w:rPr>
        <w:t>is the error term assumed to have zero mean and independent across time period.</w:t>
      </w:r>
    </w:p>
    <w:tbl>
      <w:tblPr>
        <w:tblW w:w="0" w:type="auto"/>
        <w:tblInd w:w="360" w:type="dxa"/>
        <w:tblLayout w:type="fixed"/>
        <w:tblCellMar>
          <w:left w:w="0" w:type="dxa"/>
          <w:right w:w="0" w:type="dxa"/>
        </w:tblCellMar>
        <w:tblLook w:val="0000"/>
      </w:tblPr>
      <w:tblGrid>
        <w:gridCol w:w="280"/>
        <w:gridCol w:w="3040"/>
        <w:gridCol w:w="5360"/>
      </w:tblGrid>
      <w:tr w:rsidR="002B5DAE" w:rsidRPr="00094E07" w:rsidTr="001352B1">
        <w:trPr>
          <w:trHeight w:val="381"/>
        </w:trPr>
        <w:tc>
          <w:tcPr>
            <w:tcW w:w="3320" w:type="dxa"/>
            <w:gridSpan w:val="2"/>
            <w:shd w:val="clear" w:color="auto" w:fill="auto"/>
            <w:vAlign w:val="bottom"/>
          </w:tcPr>
          <w:p w:rsidR="002B5DAE" w:rsidRPr="00094E07" w:rsidRDefault="002B5DAE" w:rsidP="001352B1">
            <w:pPr>
              <w:spacing w:line="240" w:lineRule="auto"/>
              <w:contextualSpacing/>
              <w:mirrorIndents/>
              <w:rPr>
                <w:rFonts w:ascii="Times New Roman" w:hAnsi="Times New Roman"/>
                <w:sz w:val="24"/>
                <w:szCs w:val="24"/>
              </w:rPr>
            </w:pPr>
            <w:r w:rsidRPr="00094E07">
              <w:rPr>
                <w:rFonts w:ascii="Times New Roman" w:hAnsi="Times New Roman"/>
                <w:sz w:val="24"/>
                <w:szCs w:val="24"/>
              </w:rPr>
              <w:t>X</w:t>
            </w:r>
            <w:r w:rsidRPr="00094E07">
              <w:rPr>
                <w:rFonts w:ascii="Times New Roman" w:hAnsi="Times New Roman"/>
                <w:sz w:val="24"/>
                <w:szCs w:val="24"/>
                <w:vertAlign w:val="subscript"/>
              </w:rPr>
              <w:t>1</w:t>
            </w:r>
            <w:r w:rsidRPr="00094E07">
              <w:rPr>
                <w:rFonts w:ascii="Times New Roman" w:hAnsi="Times New Roman"/>
                <w:sz w:val="24"/>
                <w:szCs w:val="24"/>
              </w:rPr>
              <w:t>(Capital Adequacy)</w:t>
            </w:r>
          </w:p>
        </w:tc>
        <w:tc>
          <w:tcPr>
            <w:tcW w:w="5360" w:type="dxa"/>
            <w:shd w:val="clear" w:color="auto" w:fill="auto"/>
            <w:vAlign w:val="bottom"/>
          </w:tcPr>
          <w:p w:rsidR="002B5DAE" w:rsidRPr="00094E07" w:rsidRDefault="002B5DAE" w:rsidP="001352B1">
            <w:pPr>
              <w:spacing w:line="240" w:lineRule="auto"/>
              <w:ind w:left="640"/>
              <w:contextualSpacing/>
              <w:mirrorIndents/>
              <w:rPr>
                <w:rFonts w:ascii="Times New Roman" w:hAnsi="Times New Roman"/>
                <w:sz w:val="24"/>
                <w:szCs w:val="24"/>
              </w:rPr>
            </w:pPr>
            <w:r w:rsidRPr="00094E07">
              <w:rPr>
                <w:rFonts w:ascii="Times New Roman" w:hAnsi="Times New Roman"/>
                <w:sz w:val="24"/>
                <w:szCs w:val="24"/>
              </w:rPr>
              <w:t>Ratio of total equity to total risk weighted assets</w:t>
            </w:r>
          </w:p>
        </w:tc>
      </w:tr>
      <w:tr w:rsidR="002B5DAE" w:rsidRPr="00094E07" w:rsidTr="001352B1">
        <w:trPr>
          <w:trHeight w:val="552"/>
        </w:trPr>
        <w:tc>
          <w:tcPr>
            <w:tcW w:w="3320" w:type="dxa"/>
            <w:gridSpan w:val="2"/>
            <w:shd w:val="clear" w:color="auto" w:fill="auto"/>
            <w:vAlign w:val="bottom"/>
          </w:tcPr>
          <w:p w:rsidR="002B5DAE" w:rsidRPr="00094E07" w:rsidRDefault="002B5DAE" w:rsidP="001352B1">
            <w:pPr>
              <w:spacing w:line="240" w:lineRule="auto"/>
              <w:contextualSpacing/>
              <w:mirrorIndents/>
              <w:rPr>
                <w:rFonts w:ascii="Times New Roman" w:hAnsi="Times New Roman"/>
                <w:sz w:val="24"/>
                <w:szCs w:val="24"/>
              </w:rPr>
            </w:pPr>
            <w:r w:rsidRPr="00094E07">
              <w:rPr>
                <w:rFonts w:ascii="Times New Roman" w:hAnsi="Times New Roman"/>
                <w:sz w:val="24"/>
                <w:szCs w:val="24"/>
              </w:rPr>
              <w:t>X</w:t>
            </w:r>
            <w:r w:rsidRPr="00094E07">
              <w:rPr>
                <w:rFonts w:ascii="Times New Roman" w:hAnsi="Times New Roman"/>
                <w:sz w:val="24"/>
                <w:szCs w:val="24"/>
                <w:vertAlign w:val="subscript"/>
              </w:rPr>
              <w:t>2</w:t>
            </w:r>
            <w:r w:rsidRPr="00094E07">
              <w:rPr>
                <w:rFonts w:ascii="Times New Roman" w:hAnsi="Times New Roman"/>
                <w:sz w:val="24"/>
                <w:szCs w:val="24"/>
              </w:rPr>
              <w:t xml:space="preserve"> (Asset Quality)</w:t>
            </w:r>
          </w:p>
        </w:tc>
        <w:tc>
          <w:tcPr>
            <w:tcW w:w="5360" w:type="dxa"/>
            <w:shd w:val="clear" w:color="auto" w:fill="auto"/>
            <w:vAlign w:val="bottom"/>
          </w:tcPr>
          <w:p w:rsidR="002B5DAE" w:rsidRPr="00094E07" w:rsidRDefault="002B5DAE" w:rsidP="001352B1">
            <w:pPr>
              <w:spacing w:line="240" w:lineRule="auto"/>
              <w:ind w:left="640"/>
              <w:contextualSpacing/>
              <w:mirrorIndents/>
              <w:rPr>
                <w:rFonts w:ascii="Times New Roman" w:hAnsi="Times New Roman"/>
                <w:sz w:val="24"/>
                <w:szCs w:val="24"/>
              </w:rPr>
            </w:pPr>
            <w:r w:rsidRPr="00094E07">
              <w:rPr>
                <w:rFonts w:ascii="Times New Roman" w:hAnsi="Times New Roman"/>
                <w:sz w:val="24"/>
                <w:szCs w:val="24"/>
              </w:rPr>
              <w:t>Ratio of Non-performing loans to total loans</w:t>
            </w:r>
          </w:p>
        </w:tc>
      </w:tr>
      <w:tr w:rsidR="002B5DAE" w:rsidRPr="00094E07" w:rsidTr="001352B1">
        <w:trPr>
          <w:trHeight w:val="552"/>
        </w:trPr>
        <w:tc>
          <w:tcPr>
            <w:tcW w:w="280" w:type="dxa"/>
            <w:shd w:val="clear" w:color="auto" w:fill="auto"/>
            <w:vAlign w:val="bottom"/>
          </w:tcPr>
          <w:p w:rsidR="002B5DAE" w:rsidRPr="00094E07" w:rsidRDefault="002B5DAE" w:rsidP="001352B1">
            <w:pPr>
              <w:spacing w:line="240" w:lineRule="auto"/>
              <w:contextualSpacing/>
              <w:mirrorIndents/>
              <w:rPr>
                <w:rFonts w:ascii="Times New Roman" w:hAnsi="Times New Roman"/>
                <w:w w:val="92"/>
                <w:sz w:val="24"/>
                <w:szCs w:val="24"/>
                <w:vertAlign w:val="subscript"/>
              </w:rPr>
            </w:pPr>
            <w:r w:rsidRPr="00094E07">
              <w:rPr>
                <w:rFonts w:ascii="Times New Roman" w:hAnsi="Times New Roman"/>
                <w:w w:val="92"/>
                <w:sz w:val="24"/>
                <w:szCs w:val="24"/>
              </w:rPr>
              <w:t>X</w:t>
            </w:r>
            <w:r w:rsidRPr="00094E07">
              <w:rPr>
                <w:rFonts w:ascii="Times New Roman" w:hAnsi="Times New Roman"/>
                <w:w w:val="92"/>
                <w:sz w:val="24"/>
                <w:szCs w:val="24"/>
                <w:vertAlign w:val="subscript"/>
              </w:rPr>
              <w:t>3</w:t>
            </w:r>
          </w:p>
        </w:tc>
        <w:tc>
          <w:tcPr>
            <w:tcW w:w="3040" w:type="dxa"/>
            <w:shd w:val="clear" w:color="auto" w:fill="auto"/>
            <w:vAlign w:val="bottom"/>
          </w:tcPr>
          <w:p w:rsidR="002B5DAE" w:rsidRPr="00094E07" w:rsidRDefault="002B5DAE" w:rsidP="001352B1">
            <w:pPr>
              <w:spacing w:line="240" w:lineRule="auto"/>
              <w:ind w:left="40"/>
              <w:contextualSpacing/>
              <w:mirrorIndents/>
              <w:rPr>
                <w:rFonts w:ascii="Times New Roman" w:hAnsi="Times New Roman"/>
                <w:sz w:val="24"/>
                <w:szCs w:val="24"/>
              </w:rPr>
            </w:pPr>
            <w:r w:rsidRPr="00094E07">
              <w:rPr>
                <w:rFonts w:ascii="Times New Roman" w:hAnsi="Times New Roman"/>
                <w:sz w:val="24"/>
                <w:szCs w:val="24"/>
              </w:rPr>
              <w:t>(Liquidity)</w:t>
            </w:r>
          </w:p>
        </w:tc>
        <w:tc>
          <w:tcPr>
            <w:tcW w:w="5360" w:type="dxa"/>
            <w:shd w:val="clear" w:color="auto" w:fill="auto"/>
            <w:vAlign w:val="bottom"/>
          </w:tcPr>
          <w:p w:rsidR="002B5DAE" w:rsidRPr="00094E07" w:rsidRDefault="002B5DAE" w:rsidP="001352B1">
            <w:pPr>
              <w:spacing w:line="240" w:lineRule="auto"/>
              <w:ind w:left="640"/>
              <w:contextualSpacing/>
              <w:mirrorIndents/>
              <w:rPr>
                <w:rFonts w:ascii="Times New Roman" w:hAnsi="Times New Roman"/>
                <w:sz w:val="24"/>
                <w:szCs w:val="24"/>
              </w:rPr>
            </w:pPr>
            <w:r w:rsidRPr="00094E07">
              <w:rPr>
                <w:rFonts w:ascii="Times New Roman" w:hAnsi="Times New Roman"/>
                <w:sz w:val="24"/>
                <w:szCs w:val="24"/>
              </w:rPr>
              <w:t>Ratio  of  Term  liquid  assets  to  total  liability</w:t>
            </w:r>
          </w:p>
        </w:tc>
      </w:tr>
      <w:tr w:rsidR="002B5DAE" w:rsidRPr="00094E07" w:rsidTr="001352B1">
        <w:trPr>
          <w:trHeight w:val="537"/>
        </w:trPr>
        <w:tc>
          <w:tcPr>
            <w:tcW w:w="280" w:type="dxa"/>
            <w:shd w:val="clear" w:color="auto" w:fill="auto"/>
            <w:vAlign w:val="bottom"/>
          </w:tcPr>
          <w:p w:rsidR="002B5DAE" w:rsidRPr="00094E07" w:rsidRDefault="002B5DAE" w:rsidP="001352B1">
            <w:pPr>
              <w:spacing w:line="240" w:lineRule="auto"/>
              <w:contextualSpacing/>
              <w:mirrorIndents/>
              <w:rPr>
                <w:rFonts w:ascii="Times New Roman" w:hAnsi="Times New Roman"/>
                <w:sz w:val="24"/>
                <w:szCs w:val="24"/>
              </w:rPr>
            </w:pPr>
          </w:p>
        </w:tc>
        <w:tc>
          <w:tcPr>
            <w:tcW w:w="3040" w:type="dxa"/>
            <w:shd w:val="clear" w:color="auto" w:fill="auto"/>
            <w:vAlign w:val="bottom"/>
          </w:tcPr>
          <w:p w:rsidR="002B5DAE" w:rsidRPr="00094E07" w:rsidRDefault="002B5DAE" w:rsidP="001352B1">
            <w:pPr>
              <w:spacing w:line="240" w:lineRule="auto"/>
              <w:contextualSpacing/>
              <w:mirrorIndents/>
              <w:rPr>
                <w:rFonts w:ascii="Times New Roman" w:hAnsi="Times New Roman"/>
                <w:sz w:val="24"/>
                <w:szCs w:val="24"/>
              </w:rPr>
            </w:pPr>
          </w:p>
        </w:tc>
        <w:tc>
          <w:tcPr>
            <w:tcW w:w="5360" w:type="dxa"/>
            <w:shd w:val="clear" w:color="auto" w:fill="auto"/>
            <w:vAlign w:val="bottom"/>
          </w:tcPr>
          <w:p w:rsidR="002B5DAE" w:rsidRPr="00094E07" w:rsidRDefault="002B5DAE" w:rsidP="001352B1">
            <w:pPr>
              <w:spacing w:line="240" w:lineRule="auto"/>
              <w:contextualSpacing/>
              <w:mirrorIndents/>
              <w:rPr>
                <w:rFonts w:ascii="Times New Roman" w:hAnsi="Times New Roman"/>
                <w:sz w:val="24"/>
                <w:szCs w:val="24"/>
              </w:rPr>
            </w:pPr>
            <w:r>
              <w:rPr>
                <w:rFonts w:ascii="Times New Roman" w:hAnsi="Times New Roman"/>
                <w:sz w:val="24"/>
                <w:szCs w:val="24"/>
              </w:rPr>
              <w:t xml:space="preserve">           </w:t>
            </w:r>
            <w:r w:rsidRPr="00094E07">
              <w:rPr>
                <w:rFonts w:ascii="Times New Roman" w:hAnsi="Times New Roman"/>
                <w:sz w:val="24"/>
                <w:szCs w:val="24"/>
              </w:rPr>
              <w:t>Deposits</w:t>
            </w:r>
          </w:p>
        </w:tc>
      </w:tr>
      <w:tr w:rsidR="002B5DAE" w:rsidRPr="00094E07" w:rsidTr="001352B1">
        <w:trPr>
          <w:trHeight w:val="567"/>
        </w:trPr>
        <w:tc>
          <w:tcPr>
            <w:tcW w:w="280" w:type="dxa"/>
            <w:shd w:val="clear" w:color="auto" w:fill="auto"/>
            <w:vAlign w:val="bottom"/>
          </w:tcPr>
          <w:p w:rsidR="002B5DAE" w:rsidRPr="00094E07" w:rsidRDefault="002B5DAE" w:rsidP="001352B1">
            <w:pPr>
              <w:spacing w:line="240" w:lineRule="auto"/>
              <w:contextualSpacing/>
              <w:mirrorIndents/>
              <w:rPr>
                <w:rFonts w:ascii="Times New Roman" w:hAnsi="Times New Roman"/>
                <w:w w:val="92"/>
                <w:sz w:val="24"/>
                <w:szCs w:val="24"/>
                <w:vertAlign w:val="subscript"/>
              </w:rPr>
            </w:pPr>
            <w:r>
              <w:rPr>
                <w:rFonts w:ascii="Times New Roman" w:hAnsi="Times New Roman"/>
                <w:w w:val="92"/>
                <w:sz w:val="24"/>
                <w:szCs w:val="24"/>
              </w:rPr>
              <w:t xml:space="preserve"> </w:t>
            </w:r>
            <w:r w:rsidRPr="00094E07">
              <w:rPr>
                <w:rFonts w:ascii="Times New Roman" w:hAnsi="Times New Roman"/>
                <w:w w:val="92"/>
                <w:sz w:val="24"/>
                <w:szCs w:val="24"/>
              </w:rPr>
              <w:t>X</w:t>
            </w:r>
            <w:r w:rsidRPr="00094E07">
              <w:rPr>
                <w:rFonts w:ascii="Times New Roman" w:hAnsi="Times New Roman"/>
                <w:w w:val="92"/>
                <w:sz w:val="24"/>
                <w:szCs w:val="24"/>
                <w:vertAlign w:val="subscript"/>
              </w:rPr>
              <w:t>4</w:t>
            </w:r>
          </w:p>
        </w:tc>
        <w:tc>
          <w:tcPr>
            <w:tcW w:w="3040" w:type="dxa"/>
            <w:shd w:val="clear" w:color="auto" w:fill="auto"/>
            <w:vAlign w:val="bottom"/>
          </w:tcPr>
          <w:p w:rsidR="002B5DAE" w:rsidRPr="00094E07" w:rsidRDefault="002B5DAE" w:rsidP="001352B1">
            <w:pPr>
              <w:spacing w:line="240" w:lineRule="auto"/>
              <w:ind w:left="40"/>
              <w:contextualSpacing/>
              <w:mirrorIndents/>
              <w:rPr>
                <w:rFonts w:ascii="Times New Roman" w:hAnsi="Times New Roman"/>
                <w:sz w:val="24"/>
                <w:szCs w:val="24"/>
              </w:rPr>
            </w:pPr>
            <w:r w:rsidRPr="00094E07">
              <w:rPr>
                <w:rFonts w:ascii="Times New Roman" w:hAnsi="Times New Roman"/>
                <w:sz w:val="24"/>
                <w:szCs w:val="24"/>
              </w:rPr>
              <w:t>(Operational Efficiency)</w:t>
            </w:r>
          </w:p>
        </w:tc>
        <w:tc>
          <w:tcPr>
            <w:tcW w:w="5360" w:type="dxa"/>
            <w:shd w:val="clear" w:color="auto" w:fill="auto"/>
            <w:vAlign w:val="bottom"/>
          </w:tcPr>
          <w:p w:rsidR="002B5DAE" w:rsidRPr="00094E07" w:rsidRDefault="002B5DAE" w:rsidP="001352B1">
            <w:pPr>
              <w:spacing w:line="240" w:lineRule="auto"/>
              <w:ind w:left="640"/>
              <w:contextualSpacing/>
              <w:mirrorIndents/>
              <w:rPr>
                <w:rFonts w:ascii="Times New Roman" w:hAnsi="Times New Roman"/>
                <w:sz w:val="24"/>
                <w:szCs w:val="24"/>
              </w:rPr>
            </w:pPr>
            <w:r w:rsidRPr="00094E07">
              <w:rPr>
                <w:rFonts w:ascii="Times New Roman" w:hAnsi="Times New Roman"/>
                <w:sz w:val="24"/>
                <w:szCs w:val="24"/>
              </w:rPr>
              <w:t>Ratio of operating cost to net operating income</w:t>
            </w:r>
          </w:p>
        </w:tc>
      </w:tr>
      <w:tr w:rsidR="002B5DAE" w:rsidRPr="00094E07" w:rsidTr="001352B1">
        <w:trPr>
          <w:trHeight w:val="552"/>
        </w:trPr>
        <w:tc>
          <w:tcPr>
            <w:tcW w:w="280" w:type="dxa"/>
            <w:shd w:val="clear" w:color="auto" w:fill="auto"/>
            <w:vAlign w:val="bottom"/>
          </w:tcPr>
          <w:p w:rsidR="002B5DAE" w:rsidRPr="00094E07" w:rsidRDefault="002B5DAE" w:rsidP="001352B1">
            <w:pPr>
              <w:spacing w:line="240" w:lineRule="auto"/>
              <w:contextualSpacing/>
              <w:mirrorIndents/>
              <w:rPr>
                <w:rFonts w:ascii="Times New Roman" w:hAnsi="Times New Roman"/>
                <w:w w:val="92"/>
                <w:sz w:val="24"/>
                <w:szCs w:val="24"/>
                <w:vertAlign w:val="subscript"/>
              </w:rPr>
            </w:pPr>
            <w:r w:rsidRPr="00094E07">
              <w:rPr>
                <w:rFonts w:ascii="Times New Roman" w:hAnsi="Times New Roman"/>
                <w:w w:val="92"/>
                <w:sz w:val="24"/>
                <w:szCs w:val="24"/>
              </w:rPr>
              <w:t>X</w:t>
            </w:r>
            <w:r w:rsidRPr="00094E07">
              <w:rPr>
                <w:rFonts w:ascii="Times New Roman" w:hAnsi="Times New Roman"/>
                <w:w w:val="92"/>
                <w:sz w:val="24"/>
                <w:szCs w:val="24"/>
                <w:vertAlign w:val="subscript"/>
              </w:rPr>
              <w:t>5</w:t>
            </w:r>
          </w:p>
        </w:tc>
        <w:tc>
          <w:tcPr>
            <w:tcW w:w="3040" w:type="dxa"/>
            <w:shd w:val="clear" w:color="auto" w:fill="auto"/>
            <w:vAlign w:val="bottom"/>
          </w:tcPr>
          <w:p w:rsidR="002B5DAE" w:rsidRPr="00094E07" w:rsidRDefault="002B5DAE" w:rsidP="001352B1">
            <w:pPr>
              <w:spacing w:line="240" w:lineRule="auto"/>
              <w:ind w:left="40"/>
              <w:contextualSpacing/>
              <w:mirrorIndents/>
              <w:rPr>
                <w:rFonts w:ascii="Times New Roman" w:hAnsi="Times New Roman"/>
                <w:sz w:val="24"/>
                <w:szCs w:val="24"/>
              </w:rPr>
            </w:pPr>
            <w:r w:rsidRPr="00094E07">
              <w:rPr>
                <w:rFonts w:ascii="Times New Roman" w:hAnsi="Times New Roman"/>
                <w:sz w:val="24"/>
                <w:szCs w:val="24"/>
              </w:rPr>
              <w:t>(Income Diversification)</w:t>
            </w:r>
          </w:p>
        </w:tc>
        <w:tc>
          <w:tcPr>
            <w:tcW w:w="5360" w:type="dxa"/>
            <w:shd w:val="clear" w:color="auto" w:fill="auto"/>
            <w:vAlign w:val="bottom"/>
          </w:tcPr>
          <w:p w:rsidR="002B5DAE" w:rsidRPr="00094E07" w:rsidRDefault="002B5DAE" w:rsidP="001352B1">
            <w:pPr>
              <w:spacing w:line="240" w:lineRule="auto"/>
              <w:ind w:left="640"/>
              <w:contextualSpacing/>
              <w:mirrorIndents/>
              <w:rPr>
                <w:rFonts w:ascii="Times New Roman" w:hAnsi="Times New Roman"/>
                <w:sz w:val="24"/>
                <w:szCs w:val="24"/>
              </w:rPr>
            </w:pPr>
            <w:r w:rsidRPr="00094E07">
              <w:rPr>
                <w:rFonts w:ascii="Times New Roman" w:hAnsi="Times New Roman"/>
                <w:sz w:val="24"/>
                <w:szCs w:val="24"/>
              </w:rPr>
              <w:t>Ratio of non-interest income to total income</w:t>
            </w:r>
          </w:p>
        </w:tc>
      </w:tr>
    </w:tbl>
    <w:p w:rsidR="002B5DAE" w:rsidRPr="00832F88" w:rsidRDefault="002B5DAE" w:rsidP="002B5DAE">
      <w:pPr>
        <w:spacing w:after="0" w:line="240" w:lineRule="auto"/>
        <w:jc w:val="both"/>
        <w:rPr>
          <w:rFonts w:ascii="Times New Roman" w:hAnsi="Times New Roman"/>
          <w:color w:val="000000"/>
        </w:rPr>
      </w:pPr>
    </w:p>
    <w:p w:rsidR="002B5DAE" w:rsidRPr="006F4F6A" w:rsidRDefault="002B5DAE" w:rsidP="002B5DAE">
      <w:pPr>
        <w:pStyle w:val="NoSpacing"/>
        <w:jc w:val="both"/>
        <w:rPr>
          <w:rFonts w:ascii="Times New Roman" w:hAnsi="Times New Roman"/>
          <w:b/>
        </w:rPr>
      </w:pPr>
      <w:r>
        <w:rPr>
          <w:rFonts w:ascii="Times New Roman" w:hAnsi="Times New Roman"/>
          <w:b/>
        </w:rPr>
        <w:t>DATA ANALYSIS T</w:t>
      </w:r>
      <w:r w:rsidRPr="006F4F6A">
        <w:rPr>
          <w:rFonts w:ascii="Times New Roman" w:hAnsi="Times New Roman"/>
          <w:b/>
        </w:rPr>
        <w:t>ECHNIQUES</w:t>
      </w:r>
    </w:p>
    <w:p w:rsidR="002B5DAE" w:rsidRPr="006F4F6A" w:rsidRDefault="002B5DAE" w:rsidP="002B5DAE">
      <w:pPr>
        <w:pStyle w:val="NoSpacing"/>
        <w:ind w:firstLine="720"/>
        <w:jc w:val="both"/>
        <w:rPr>
          <w:rFonts w:ascii="Times New Roman" w:hAnsi="Times New Roman"/>
        </w:rPr>
      </w:pPr>
      <w:r w:rsidRPr="006F4F6A">
        <w:rPr>
          <w:rFonts w:ascii="Times New Roman" w:hAnsi="Times New Roman"/>
        </w:rPr>
        <w:t>We study a sample because it would, be virtually impossible to study the entire population due to constraints of time and costs.</w:t>
      </w:r>
    </w:p>
    <w:p w:rsidR="002B5DAE" w:rsidRPr="006F4F6A" w:rsidRDefault="002B5DAE" w:rsidP="002B5DAE">
      <w:pPr>
        <w:pStyle w:val="NoSpacing"/>
        <w:jc w:val="both"/>
        <w:rPr>
          <w:rFonts w:ascii="Times New Roman" w:hAnsi="Times New Roman"/>
        </w:rPr>
      </w:pPr>
      <w:r w:rsidRPr="006F4F6A">
        <w:rPr>
          <w:rFonts w:ascii="Times New Roman" w:hAnsi="Times New Roman"/>
        </w:rPr>
        <w:t>However, the sample must be representative of the population from which It is draw. In other to determine the sample size, the researcher used a 5% level of significance; the sample size was derived using Yaro Yammane formula</w:t>
      </w:r>
    </w:p>
    <w:p w:rsidR="002B5DAE" w:rsidRPr="006F4F6A" w:rsidRDefault="002B5DAE" w:rsidP="002B5DAE">
      <w:pPr>
        <w:pStyle w:val="NoSpacing"/>
        <w:jc w:val="both"/>
        <w:rPr>
          <w:rFonts w:ascii="Times New Roman" w:eastAsia="Times New Roman" w:hAnsi="Times New Roman"/>
        </w:rPr>
      </w:pPr>
      <m:oMathPara>
        <m:oMath>
          <m:r>
            <w:rPr>
              <w:rFonts w:ascii="Cambria Math" w:hAnsi="Cambria Math"/>
              <w:sz w:val="40"/>
              <w:szCs w:val="28"/>
            </w:rPr>
            <m:t xml:space="preserve">n= </m:t>
          </m:r>
          <m:f>
            <m:fPr>
              <m:ctrlPr>
                <w:rPr>
                  <w:rFonts w:ascii="Cambria Math" w:hAnsi="Cambria Math"/>
                  <w:i/>
                  <w:sz w:val="40"/>
                  <w:szCs w:val="28"/>
                </w:rPr>
              </m:ctrlPr>
            </m:fPr>
            <m:num>
              <m:r>
                <w:rPr>
                  <w:rFonts w:ascii="Cambria Math" w:hAnsi="Cambria Math"/>
                  <w:sz w:val="40"/>
                  <w:szCs w:val="28"/>
                </w:rPr>
                <m:t>N</m:t>
              </m:r>
            </m:num>
            <m:den>
              <m:r>
                <w:rPr>
                  <w:rFonts w:ascii="Cambria Math" w:hAnsi="Cambria Math"/>
                  <w:sz w:val="40"/>
                  <w:szCs w:val="28"/>
                </w:rPr>
                <m:t>1+N</m:t>
              </m:r>
              <m:sSup>
                <m:sSupPr>
                  <m:ctrlPr>
                    <w:rPr>
                      <w:rFonts w:ascii="Cambria Math" w:hAnsi="Cambria Math"/>
                      <w:i/>
                      <w:sz w:val="40"/>
                      <w:szCs w:val="28"/>
                    </w:rPr>
                  </m:ctrlPr>
                </m:sSupPr>
                <m:e>
                  <m:r>
                    <w:rPr>
                      <w:rFonts w:ascii="Cambria Math" w:hAnsi="Cambria Math"/>
                      <w:sz w:val="40"/>
                      <w:szCs w:val="28"/>
                    </w:rPr>
                    <m:t>(e)</m:t>
                  </m:r>
                </m:e>
                <m:sup>
                  <m:r>
                    <w:rPr>
                      <w:rFonts w:ascii="Cambria Math" w:hAnsi="Cambria Math"/>
                      <w:sz w:val="40"/>
                      <w:szCs w:val="28"/>
                    </w:rPr>
                    <m:t>2</m:t>
                  </m:r>
                </m:sup>
              </m:sSup>
            </m:den>
          </m:f>
        </m:oMath>
      </m:oMathPara>
    </w:p>
    <w:p w:rsidR="002B5DAE" w:rsidRPr="006F4F6A" w:rsidRDefault="002B5DAE" w:rsidP="002B5DAE">
      <w:pPr>
        <w:pStyle w:val="NoSpacing"/>
        <w:jc w:val="both"/>
        <w:rPr>
          <w:rFonts w:ascii="Times New Roman" w:eastAsia="Times New Roman" w:hAnsi="Times New Roman"/>
        </w:rPr>
      </w:pPr>
      <w:r w:rsidRPr="006F4F6A">
        <w:rPr>
          <w:rFonts w:ascii="Times New Roman" w:eastAsia="Times New Roman" w:hAnsi="Times New Roman"/>
        </w:rPr>
        <w:t>Where n = sample size</w:t>
      </w:r>
    </w:p>
    <w:p w:rsidR="002B5DAE" w:rsidRPr="006F4F6A" w:rsidRDefault="002B5DAE" w:rsidP="002B5DAE">
      <w:pPr>
        <w:pStyle w:val="NoSpacing"/>
        <w:jc w:val="both"/>
        <w:rPr>
          <w:rFonts w:ascii="Times New Roman" w:eastAsia="Times New Roman" w:hAnsi="Times New Roman"/>
        </w:rPr>
      </w:pPr>
      <w:r w:rsidRPr="006F4F6A">
        <w:rPr>
          <w:rFonts w:ascii="Times New Roman" w:eastAsia="Times New Roman" w:hAnsi="Times New Roman"/>
        </w:rPr>
        <w:t>N = population of the study</w:t>
      </w:r>
    </w:p>
    <w:p w:rsidR="002B5DAE" w:rsidRPr="006F4F6A" w:rsidRDefault="002B5DAE" w:rsidP="002B5DAE">
      <w:pPr>
        <w:pStyle w:val="NoSpacing"/>
        <w:jc w:val="both"/>
        <w:rPr>
          <w:rFonts w:ascii="Times New Roman" w:eastAsia="Times New Roman" w:hAnsi="Times New Roman"/>
        </w:rPr>
      </w:pPr>
      <w:r w:rsidRPr="006F4F6A">
        <w:rPr>
          <w:rFonts w:ascii="Times New Roman" w:eastAsia="Times New Roman" w:hAnsi="Times New Roman"/>
        </w:rPr>
        <w:tab/>
        <w:t xml:space="preserve">  e = level of significance/ error estimate a 5%</w:t>
      </w:r>
    </w:p>
    <w:p w:rsidR="002B5DAE" w:rsidRDefault="002B5DAE" w:rsidP="002B5DAE">
      <w:pPr>
        <w:spacing w:after="0" w:line="240" w:lineRule="auto"/>
        <w:rPr>
          <w:rFonts w:ascii="Times New Roman" w:hAnsi="Times New Roman"/>
          <w:b/>
          <w:bCs/>
        </w:rPr>
      </w:pPr>
      <w:r w:rsidRPr="006F4F6A">
        <w:rPr>
          <w:rFonts w:ascii="Times New Roman" w:eastAsia="Times New Roman" w:hAnsi="Times New Roman"/>
        </w:rPr>
        <w:tab/>
        <w:t xml:space="preserve">  I = constant</w:t>
      </w: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Default="002B5DAE" w:rsidP="002B5DAE">
      <w:pPr>
        <w:spacing w:after="0" w:line="240" w:lineRule="auto"/>
        <w:jc w:val="center"/>
        <w:rPr>
          <w:rFonts w:ascii="Times New Roman" w:hAnsi="Times New Roman"/>
          <w:b/>
          <w:bCs/>
        </w:rPr>
      </w:pP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lastRenderedPageBreak/>
        <w:t>CHAPTER FOUR</w:t>
      </w: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t>DATA PRESENTATION, ANALYSIS AND INTERPRETATION</w:t>
      </w: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4.1</w:t>
      </w:r>
      <w:r w:rsidRPr="00832F88">
        <w:rPr>
          <w:rFonts w:ascii="Times New Roman" w:hAnsi="Times New Roman"/>
          <w:b/>
          <w:bCs/>
        </w:rPr>
        <w:tab/>
        <w:t xml:space="preserve">INTRODUCTION </w:t>
      </w:r>
    </w:p>
    <w:p w:rsidR="002B5DAE" w:rsidRPr="00832F88" w:rsidRDefault="002B5DAE" w:rsidP="002B5DAE">
      <w:pPr>
        <w:spacing w:after="0" w:line="240" w:lineRule="auto"/>
        <w:jc w:val="both"/>
        <w:rPr>
          <w:rFonts w:ascii="Times New Roman" w:hAnsi="Times New Roman"/>
        </w:rPr>
      </w:pPr>
      <w:r w:rsidRPr="00832F88">
        <w:rPr>
          <w:rFonts w:ascii="Times New Roman" w:hAnsi="Times New Roman"/>
          <w:b/>
          <w:bCs/>
        </w:rPr>
        <w:tab/>
      </w:r>
      <w:r w:rsidRPr="00832F88">
        <w:rPr>
          <w:rFonts w:ascii="Times New Roman" w:hAnsi="Times New Roman"/>
        </w:rPr>
        <w:t xml:space="preserve">This chapter focuses on data presentation analysis and interpretation of data obtained from questionnaire administered for this research work. </w:t>
      </w:r>
    </w:p>
    <w:p w:rsidR="002B5DAE" w:rsidRPr="00832F88" w:rsidRDefault="002B5DAE" w:rsidP="002B5DAE">
      <w:pPr>
        <w:spacing w:after="0" w:line="240" w:lineRule="auto"/>
        <w:jc w:val="both"/>
        <w:rPr>
          <w:rFonts w:ascii="Times New Roman" w:hAnsi="Times New Roman"/>
          <w:b/>
          <w:bCs/>
        </w:rPr>
      </w:pPr>
      <w:r w:rsidRPr="00832F88">
        <w:rPr>
          <w:rFonts w:ascii="Times New Roman" w:hAnsi="Times New Roman"/>
          <w:b/>
          <w:bCs/>
        </w:rPr>
        <w:t>4.2</w:t>
      </w:r>
      <w:r w:rsidRPr="00832F88">
        <w:rPr>
          <w:rFonts w:ascii="Times New Roman" w:hAnsi="Times New Roman"/>
          <w:b/>
          <w:bCs/>
        </w:rPr>
        <w:tab/>
        <w:t xml:space="preserve">DATA PRESENTATION AND ANALYSIS </w:t>
      </w: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B5DAE" w:rsidRPr="00832F88" w:rsidTr="001352B1">
        <w:trPr>
          <w:cantSplit/>
        </w:trPr>
        <w:tc>
          <w:tcPr>
            <w:tcW w:w="6746"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1: Sex</w:t>
            </w:r>
          </w:p>
        </w:tc>
      </w:tr>
      <w:tr w:rsidR="002B5DAE" w:rsidRPr="00832F88" w:rsidTr="001352B1">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1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1023"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6"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9"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930"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Male</w:t>
            </w:r>
          </w:p>
        </w:tc>
        <w:tc>
          <w:tcPr>
            <w:tcW w:w="11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11</w:t>
            </w:r>
          </w:p>
        </w:tc>
        <w:tc>
          <w:tcPr>
            <w:tcW w:w="1023"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396"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489"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r>
      <w:tr w:rsidR="002B5DAE" w:rsidRPr="00832F88" w:rsidTr="001352B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930"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Female</w:t>
            </w:r>
          </w:p>
        </w:tc>
        <w:tc>
          <w:tcPr>
            <w:tcW w:w="11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w:t>
            </w:r>
          </w:p>
        </w:tc>
        <w:tc>
          <w:tcPr>
            <w:tcW w:w="102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396"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489"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930"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1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1023"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6"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9"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1 above shows that 11(55%) of the respondents are Males, while 9(45%)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281"/>
        <w:gridCol w:w="901"/>
        <w:gridCol w:w="1393"/>
        <w:gridCol w:w="1486"/>
      </w:tblGrid>
      <w:tr w:rsidR="002B5DAE" w:rsidRPr="00832F88" w:rsidTr="001352B1">
        <w:trPr>
          <w:cantSplit/>
        </w:trPr>
        <w:tc>
          <w:tcPr>
            <w:tcW w:w="7740"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2: Age</w:t>
            </w:r>
          </w:p>
        </w:tc>
      </w:tr>
      <w:tr w:rsidR="002B5DAE" w:rsidRPr="00832F88" w:rsidTr="001352B1">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81"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01"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3"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6"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935"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25 years and below</w:t>
            </w:r>
          </w:p>
        </w:tc>
        <w:tc>
          <w:tcPr>
            <w:tcW w:w="1281"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11</w:t>
            </w:r>
          </w:p>
        </w:tc>
        <w:tc>
          <w:tcPr>
            <w:tcW w:w="901"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393"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486"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r>
      <w:tr w:rsidR="002B5DAE" w:rsidRPr="00832F88" w:rsidTr="001352B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935"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31-35 years</w:t>
            </w:r>
          </w:p>
        </w:tc>
        <w:tc>
          <w:tcPr>
            <w:tcW w:w="128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w:t>
            </w:r>
          </w:p>
        </w:tc>
        <w:tc>
          <w:tcPr>
            <w:tcW w:w="90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39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486"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935"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41 years and above</w:t>
            </w:r>
          </w:p>
        </w:tc>
        <w:tc>
          <w:tcPr>
            <w:tcW w:w="128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0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6"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935"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81"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01"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3"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6"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2 above shows that 11(55%) of the respondents are within the ages of 25 years and below, 8 (40%) are within the ages of 31-35years, while 1(5%) are within the ages of 41 years and above</w:t>
      </w:r>
    </w:p>
    <w:tbl>
      <w:tblPr>
        <w:tblW w:w="71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352"/>
        <w:gridCol w:w="1258"/>
        <w:gridCol w:w="927"/>
        <w:gridCol w:w="1395"/>
        <w:gridCol w:w="1488"/>
      </w:tblGrid>
      <w:tr w:rsidR="002B5DAE" w:rsidRPr="00832F88" w:rsidTr="001352B1">
        <w:trPr>
          <w:cantSplit/>
        </w:trPr>
        <w:tc>
          <w:tcPr>
            <w:tcW w:w="7140"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3: Educational Qualification</w:t>
            </w:r>
          </w:p>
        </w:tc>
      </w:tr>
      <w:tr w:rsidR="002B5DAE" w:rsidRPr="00832F88" w:rsidTr="001352B1">
        <w:trPr>
          <w:cantSplit/>
        </w:trPr>
        <w:tc>
          <w:tcPr>
            <w:tcW w:w="2072"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58"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27"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352"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OND/NCE</w:t>
            </w:r>
          </w:p>
        </w:tc>
        <w:tc>
          <w:tcPr>
            <w:tcW w:w="1258"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w:t>
            </w:r>
          </w:p>
        </w:tc>
        <w:tc>
          <w:tcPr>
            <w:tcW w:w="927"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r>
      <w:tr w:rsidR="002B5DAE" w:rsidRPr="00832F88" w:rsidTr="001352B1">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352"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HND/B.Sc</w:t>
            </w:r>
          </w:p>
        </w:tc>
        <w:tc>
          <w:tcPr>
            <w:tcW w:w="1258"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w:t>
            </w:r>
          </w:p>
        </w:tc>
        <w:tc>
          <w:tcPr>
            <w:tcW w:w="927"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90.0</w:t>
            </w:r>
          </w:p>
        </w:tc>
      </w:tr>
      <w:tr w:rsidR="002B5DAE" w:rsidRPr="00832F88" w:rsidTr="001352B1">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352"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M.Sc/MED</w:t>
            </w:r>
          </w:p>
        </w:tc>
        <w:tc>
          <w:tcPr>
            <w:tcW w:w="1258"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27"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352"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58"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27"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3 above shows that 9 (45%) of the respondents are OND/NCE holders, 9 (45%) are HND/B.Sc holders, while 2 (10%) are M.Sc/MED holders.</w:t>
      </w:r>
    </w:p>
    <w:p w:rsidR="002B5DAE" w:rsidRPr="00832F88" w:rsidRDefault="002B5DAE" w:rsidP="002B5DAE">
      <w:pPr>
        <w:spacing w:after="0" w:line="240" w:lineRule="auto"/>
        <w:ind w:firstLine="720"/>
        <w:jc w:val="center"/>
        <w:rPr>
          <w:rFonts w:ascii="Times New Roman" w:hAnsi="Times New Roman"/>
          <w:b/>
        </w:rPr>
      </w:pPr>
      <w:r w:rsidRPr="00832F88">
        <w:rPr>
          <w:rFonts w:ascii="Times New Roman" w:hAnsi="Times New Roman"/>
          <w:b/>
        </w:rPr>
        <w:t>SECTION B</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832F88" w:rsidTr="001352B1">
        <w:trPr>
          <w:cantSplit/>
        </w:trPr>
        <w:tc>
          <w:tcPr>
            <w:tcW w:w="7434"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 Extent to which first bank of Nigeria Plc use client appraisal in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4:</w:t>
            </w:r>
          </w:p>
        </w:tc>
      </w:tr>
      <w:tr w:rsidR="002B5DAE" w:rsidRPr="00832F88" w:rsidTr="001352B1">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30"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53"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4"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53"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4"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7"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Moderate Extent</w:t>
            </w:r>
          </w:p>
        </w:tc>
        <w:tc>
          <w:tcPr>
            <w:tcW w:w="1230"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12</w:t>
            </w:r>
          </w:p>
        </w:tc>
        <w:tc>
          <w:tcPr>
            <w:tcW w:w="95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Low Extent</w:t>
            </w:r>
          </w:p>
        </w:tc>
        <w:tc>
          <w:tcPr>
            <w:tcW w:w="1230"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w:t>
            </w:r>
          </w:p>
        </w:tc>
        <w:tc>
          <w:tcPr>
            <w:tcW w:w="95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30"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53"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4"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7"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4 above shows that 2 (10%) of the respondents accepted Great extent, 12(60%) accepted moderate extent, while 6(30%)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2B5DAE" w:rsidRPr="00832F88" w:rsidTr="001352B1">
        <w:trPr>
          <w:cantSplit/>
        </w:trPr>
        <w:tc>
          <w:tcPr>
            <w:tcW w:w="760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2: Client Appraisal Is A Viable Strategy For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5</w:t>
            </w:r>
          </w:p>
        </w:tc>
      </w:tr>
      <w:tr w:rsidR="002B5DAE" w:rsidRPr="00832F88" w:rsidTr="001352B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41"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41"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4"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796"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41"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w:t>
            </w:r>
          </w:p>
        </w:tc>
        <w:tc>
          <w:tcPr>
            <w:tcW w:w="941"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394"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487"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4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w:t>
            </w:r>
          </w:p>
        </w:tc>
        <w:tc>
          <w:tcPr>
            <w:tcW w:w="94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4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4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Disagree</w:t>
            </w:r>
          </w:p>
        </w:tc>
        <w:tc>
          <w:tcPr>
            <w:tcW w:w="124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4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41"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41"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4"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7"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5 above shows that 8(40%) of the respondents strongly agreed with the question, 8(40%) agreed, 3(15%) are neutral, while 1(5%) strongly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3: Client appraisal considers the characters of the customers seeking credit facilities</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6</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11</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Disagree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6 above shows that 1(5%) of the respondents strongly agreed with the question, 11(55%) agreed, 7(35%) are neutral, while 1(5%)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4: Aspects of collateral are considered while appraising client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7</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7 above shows that 7(35) of the respondents strongly agreed with the question, 9(45%) agreed, 4(20%) are neutral, while no respondent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5: First Bank Has Competent Personnel For Carrying Out Client Appraisal</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8</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8 above shows that 3(15%) of the respondents strongly agreed with the question, 10(50%) agreed, 7(35%) are neutral, while no respondents disagreed.</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832F88" w:rsidTr="001352B1">
        <w:trPr>
          <w:cantSplit/>
        </w:trPr>
        <w:tc>
          <w:tcPr>
            <w:tcW w:w="7434"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6: Extent Which First Bank Of Nigeria Plc Use Credit Risk In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9</w:t>
            </w:r>
          </w:p>
        </w:tc>
      </w:tr>
      <w:tr w:rsidR="002B5DAE" w:rsidRPr="00832F88" w:rsidTr="001352B1">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30"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53"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4"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53"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4"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7"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Moderate Extent</w:t>
            </w:r>
          </w:p>
        </w:tc>
        <w:tc>
          <w:tcPr>
            <w:tcW w:w="1230"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w:t>
            </w:r>
          </w:p>
        </w:tc>
        <w:tc>
          <w:tcPr>
            <w:tcW w:w="95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Low Extent</w:t>
            </w:r>
          </w:p>
        </w:tc>
        <w:tc>
          <w:tcPr>
            <w:tcW w:w="1230"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5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30"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53"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4"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7"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9 above shows that 7 (35%) of the respondents accepted Great extent, 10(50%) accepted moderate extent, while 3(15%)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293"/>
        <w:gridCol w:w="971"/>
        <w:gridCol w:w="270"/>
        <w:gridCol w:w="649"/>
        <w:gridCol w:w="292"/>
        <w:gridCol w:w="1103"/>
        <w:gridCol w:w="291"/>
        <w:gridCol w:w="1197"/>
        <w:gridCol w:w="290"/>
      </w:tblGrid>
      <w:tr w:rsidR="002B5DAE" w:rsidRPr="00832F88" w:rsidTr="001352B1">
        <w:trPr>
          <w:gridAfter w:val="1"/>
          <w:wAfter w:w="290" w:type="dxa"/>
          <w:cantSplit/>
        </w:trPr>
        <w:tc>
          <w:tcPr>
            <w:tcW w:w="7312" w:type="dxa"/>
            <w:gridSpan w:val="10"/>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lastRenderedPageBreak/>
              <w:t>Question 7: Imposing Loan Size Limits Is Viable Strategy In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10</w:t>
            </w:r>
          </w:p>
        </w:tc>
      </w:tr>
      <w:tr w:rsidR="002B5DAE" w:rsidRPr="00832F88" w:rsidTr="001352B1">
        <w:trPr>
          <w:gridAfter w:val="1"/>
          <w:wAfter w:w="290" w:type="dxa"/>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gridSpan w:val="2"/>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gridSpan w:val="2"/>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gridSpan w:val="2"/>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gridSpan w:val="2"/>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gridAfter w:val="1"/>
          <w:wAfter w:w="29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gridSpan w:val="2"/>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gridSpan w:val="2"/>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gridSpan w:val="2"/>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gridSpan w:val="2"/>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r>
      <w:tr w:rsidR="002B5DAE" w:rsidRPr="00832F88" w:rsidTr="001352B1">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11</w:t>
            </w:r>
          </w:p>
        </w:tc>
        <w:tc>
          <w:tcPr>
            <w:tcW w:w="919"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395"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488"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75.0</w:t>
            </w:r>
          </w:p>
        </w:tc>
      </w:tr>
      <w:tr w:rsidR="002B5DAE" w:rsidRPr="00832F88" w:rsidTr="001352B1">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Disagree</w:t>
            </w:r>
          </w:p>
        </w:tc>
        <w:tc>
          <w:tcPr>
            <w:tcW w:w="1264"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19"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5"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8"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gridSpan w:val="2"/>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gridSpan w:val="2"/>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gridSpan w:val="2"/>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gridSpan w:val="2"/>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r w:rsidR="002B5DAE" w:rsidRPr="00832F88" w:rsidTr="001352B1">
        <w:trPr>
          <w:cantSplit/>
        </w:trPr>
        <w:tc>
          <w:tcPr>
            <w:tcW w:w="7602" w:type="dxa"/>
            <w:gridSpan w:val="11"/>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1352B1">
            <w:pPr>
              <w:spacing w:after="0" w:line="240" w:lineRule="auto"/>
              <w:ind w:firstLine="720"/>
              <w:jc w:val="both"/>
              <w:rPr>
                <w:rFonts w:ascii="Times New Roman" w:hAnsi="Times New Roman"/>
              </w:rPr>
            </w:pPr>
            <w:r w:rsidRPr="00832F88">
              <w:rPr>
                <w:rFonts w:ascii="Times New Roman" w:hAnsi="Times New Roman"/>
              </w:rPr>
              <w:t>Table 10 above shows that 4(20%) of the respondents strongly agreed with the question, 11(55%) agreed, 4(20%) are neutral, 1 (5%) disagreed, while no respondents strongly disagreed.</w:t>
            </w:r>
          </w:p>
          <w:p w:rsidR="002B5DAE" w:rsidRPr="00832F88" w:rsidRDefault="002B5DAE" w:rsidP="001352B1">
            <w:pPr>
              <w:spacing w:after="0" w:line="240" w:lineRule="auto"/>
              <w:ind w:left="60" w:right="60"/>
              <w:rPr>
                <w:rFonts w:ascii="Times New Roman" w:hAnsi="Times New Roman"/>
                <w:b/>
                <w:bCs/>
              </w:rPr>
            </w:pPr>
            <w:r w:rsidRPr="00832F88">
              <w:rPr>
                <w:rFonts w:ascii="Times New Roman" w:hAnsi="Times New Roman"/>
                <w:b/>
                <w:bCs/>
              </w:rPr>
              <w:t>Question 8: The Use Of Credit Checks On Regular Basis Enhance Credit Management</w:t>
            </w:r>
          </w:p>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11</w:t>
            </w:r>
          </w:p>
        </w:tc>
      </w:tr>
      <w:tr w:rsidR="002B5DAE" w:rsidRPr="00832F88" w:rsidTr="001352B1">
        <w:trPr>
          <w:cantSplit/>
        </w:trPr>
        <w:tc>
          <w:tcPr>
            <w:tcW w:w="2539" w:type="dxa"/>
            <w:gridSpan w:val="3"/>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41" w:type="dxa"/>
            <w:gridSpan w:val="2"/>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41" w:type="dxa"/>
            <w:gridSpan w:val="2"/>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4" w:type="dxa"/>
            <w:gridSpan w:val="2"/>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7" w:type="dxa"/>
            <w:gridSpan w:val="2"/>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796" w:type="dxa"/>
            <w:gridSpan w:val="2"/>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41" w:type="dxa"/>
            <w:gridSpan w:val="2"/>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41" w:type="dxa"/>
            <w:gridSpan w:val="2"/>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4" w:type="dxa"/>
            <w:gridSpan w:val="2"/>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7" w:type="dxa"/>
            <w:gridSpan w:val="2"/>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gridSpan w:val="2"/>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41"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11</w:t>
            </w:r>
          </w:p>
        </w:tc>
        <w:tc>
          <w:tcPr>
            <w:tcW w:w="941"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394"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55.0</w:t>
            </w:r>
          </w:p>
        </w:tc>
        <w:tc>
          <w:tcPr>
            <w:tcW w:w="1487"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gridSpan w:val="2"/>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41"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41"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4"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7"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gridSpan w:val="2"/>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Disagree</w:t>
            </w:r>
          </w:p>
        </w:tc>
        <w:tc>
          <w:tcPr>
            <w:tcW w:w="1241"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41"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4"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7"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gridSpan w:val="2"/>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Disagree</w:t>
            </w:r>
          </w:p>
        </w:tc>
        <w:tc>
          <w:tcPr>
            <w:tcW w:w="1241" w:type="dxa"/>
            <w:gridSpan w:val="2"/>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41"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4" w:type="dxa"/>
            <w:gridSpan w:val="2"/>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7" w:type="dxa"/>
            <w:gridSpan w:val="2"/>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gridSpan w:val="2"/>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41" w:type="dxa"/>
            <w:gridSpan w:val="2"/>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41" w:type="dxa"/>
            <w:gridSpan w:val="2"/>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4" w:type="dxa"/>
            <w:gridSpan w:val="2"/>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7" w:type="dxa"/>
            <w:gridSpan w:val="2"/>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11 above shows that 3(15%) of the respondents strongly agreed with the question, 11(55%) agreed, 4(20%) are neutral, 1 (5%) disagreed, while 1 (5%) respondents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2B5DAE" w:rsidRPr="00832F88" w:rsidTr="001352B1">
        <w:trPr>
          <w:cantSplit/>
        </w:trPr>
        <w:tc>
          <w:tcPr>
            <w:tcW w:w="760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b/>
                <w:bCs/>
              </w:rPr>
            </w:pPr>
            <w:r w:rsidRPr="00832F88">
              <w:rPr>
                <w:rFonts w:ascii="Times New Roman" w:hAnsi="Times New Roman"/>
                <w:b/>
                <w:bCs/>
              </w:rPr>
              <w:t>Question 9: Flexible Repayment Periods Improve Loan Repayments</w:t>
            </w:r>
          </w:p>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12</w:t>
            </w:r>
          </w:p>
        </w:tc>
      </w:tr>
      <w:tr w:rsidR="002B5DAE" w:rsidRPr="00832F88" w:rsidTr="001352B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41"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41"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4"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796"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41"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w:t>
            </w:r>
          </w:p>
        </w:tc>
        <w:tc>
          <w:tcPr>
            <w:tcW w:w="941"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394"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487"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4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w:t>
            </w:r>
          </w:p>
        </w:tc>
        <w:tc>
          <w:tcPr>
            <w:tcW w:w="94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4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4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Disagree</w:t>
            </w:r>
          </w:p>
        </w:tc>
        <w:tc>
          <w:tcPr>
            <w:tcW w:w="1241"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41"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796"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41"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41"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4"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7"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12 above shows that 5(25%) of the respondents strongly agreed with the question, 10(50%) agreed, 4(20%) are neutral, 1 (5%) strongly disagreed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10: Penalty For Late Payment Enhance Customers Commitment To Loan Repayment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13</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jc w:val="both"/>
        <w:rPr>
          <w:rFonts w:ascii="Times New Roman" w:hAnsi="Times New Roman"/>
        </w:rPr>
      </w:pPr>
      <w:r w:rsidRPr="00832F88">
        <w:rPr>
          <w:rFonts w:ascii="Times New Roman" w:hAnsi="Times New Roman"/>
        </w:rPr>
        <w:t>Table 13 above shows that 5(25%) of the respondents strongly agreed with the question, 8(40%) agreed, 7(35%)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lastRenderedPageBreak/>
              <w:t>Question 11: The Use Of Customer Credit Applications From Improves Monitoring And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14</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12</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14 above shows that 3(15%) of the respondents strongly agreed with the question, 12(60%) agreed, 5(25%)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b/>
                <w:bCs/>
              </w:rPr>
            </w:pPr>
            <w:r w:rsidRPr="00832F88">
              <w:rPr>
                <w:rFonts w:ascii="Times New Roman" w:hAnsi="Times New Roman"/>
                <w:b/>
                <w:bCs/>
              </w:rPr>
              <w:t>Question 12: Interest Rate Changed Affect Performance Of Loan In The Bank</w:t>
            </w:r>
          </w:p>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15</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Disagree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15 above shows that 8(40%) of the respondents strongly agreed with the question, 7(35%) agreed, 3(15%) are neutral, while 2 (10%) disagreed.</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832F88" w:rsidTr="001352B1">
        <w:trPr>
          <w:cantSplit/>
        </w:trPr>
        <w:tc>
          <w:tcPr>
            <w:tcW w:w="7434"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13: Extent Of Which First Bank Use Collective Policy In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16</w:t>
            </w:r>
          </w:p>
        </w:tc>
      </w:tr>
      <w:tr w:rsidR="002B5DAE" w:rsidRPr="00832F88" w:rsidTr="001352B1">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30"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53"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4"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53"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4"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7"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Moderate Extent</w:t>
            </w:r>
          </w:p>
        </w:tc>
        <w:tc>
          <w:tcPr>
            <w:tcW w:w="1230"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12</w:t>
            </w:r>
          </w:p>
        </w:tc>
        <w:tc>
          <w:tcPr>
            <w:tcW w:w="95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Low Extent</w:t>
            </w:r>
          </w:p>
        </w:tc>
        <w:tc>
          <w:tcPr>
            <w:tcW w:w="1230"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w:t>
            </w:r>
          </w:p>
        </w:tc>
        <w:tc>
          <w:tcPr>
            <w:tcW w:w="953"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394"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487"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30"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53"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4"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7"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16 above shows that 2 (10%) of the respondents accepted Great extent, 12(60%) accepted moderate extent, while 6(30%) chooses low extent.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14: Available Collection Policies Have Assisted Towards Effective Credit Management</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17</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17 above shows that 10(50%) of the respondents strongly agreed with the question, 4(20%) agreed, 6(30%) are neutral, while 2 (10%)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15: Enforcement To Guarantee Policies Provides Chances For Loan Recovery In Case Of Loan Defaults</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18</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lastRenderedPageBreak/>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13</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Disagree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18 above shows that 2(10%) of the respondents strongly agreed with the question, 13(65%) agreed, 4(20%) are neutral, while 1 (5%)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16: A Stringent Policy Is More Effective In Debt Recovery Than A Limit Policy</w:t>
            </w:r>
          </w:p>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19</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19 above shows that 9(45%) of the respondents strongly agreed with the question, 5(25%) agreed, 6(30%)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17: Credit risk management has significant relationship with bank performance</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20</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20 above shows that 2(10%) of the respondents strongly agreed with the question, 14(70%) agreed, 4(20%)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18: Appropriate credit policy enhance bank performance</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21</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21 above shows that 10(50%) of the respondents strongly agreed with the question, 4(20%) agreed, 6(30%)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19: CBN should design appropriate penalty measure against defaulters</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22</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90.0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lastRenderedPageBreak/>
        <w:t>Table 22 above shows that 4(20%) of the respondents strongly agreed with the question, 14(70%) agreed, 2(10%)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rPr>
                <w:rFonts w:ascii="Times New Roman" w:hAnsi="Times New Roman"/>
                <w:b/>
                <w:bCs/>
              </w:rPr>
            </w:pPr>
            <w:r w:rsidRPr="00832F88">
              <w:rPr>
                <w:rFonts w:ascii="Times New Roman" w:hAnsi="Times New Roman"/>
                <w:b/>
                <w:bCs/>
              </w:rPr>
              <w:t>Question 20: Heavy penalty should be imposed on defaulters</w:t>
            </w:r>
          </w:p>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b/>
                <w:bCs/>
              </w:rPr>
              <w:t>Table 23</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4</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85.0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Disagree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3</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23 above shows that 7(35%) of the respondents strongly agreed with the question, 6(30%) agreed, 4(20%) are neutral, while 3(15%)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832F88" w:rsidTr="001352B1">
        <w:trPr>
          <w:cantSplit/>
        </w:trPr>
        <w:tc>
          <w:tcPr>
            <w:tcW w:w="7312" w:type="dxa"/>
            <w:gridSpan w:val="6"/>
            <w:tcBorders>
              <w:top w:val="nil"/>
              <w:left w:val="nil"/>
              <w:bottom w:val="nil"/>
              <w:right w:val="nil"/>
            </w:tcBorders>
            <w:shd w:val="clear" w:color="auto" w:fill="FFFFFF"/>
          </w:tcPr>
          <w:p w:rsidR="002B5DAE" w:rsidRPr="00832F88" w:rsidRDefault="002B5DAE" w:rsidP="001352B1">
            <w:pPr>
              <w:spacing w:after="0" w:line="240" w:lineRule="auto"/>
              <w:ind w:left="60" w:right="60"/>
              <w:jc w:val="both"/>
              <w:rPr>
                <w:rFonts w:ascii="Times New Roman" w:hAnsi="Times New Roman"/>
                <w:b/>
                <w:bCs/>
              </w:rPr>
            </w:pPr>
            <w:r w:rsidRPr="00832F88">
              <w:rPr>
                <w:rFonts w:ascii="Times New Roman" w:hAnsi="Times New Roman"/>
                <w:b/>
                <w:bCs/>
              </w:rPr>
              <w:t>Question 21: Penalty for late payment should be heavy</w:t>
            </w:r>
          </w:p>
          <w:p w:rsidR="002B5DAE" w:rsidRPr="00832F88" w:rsidRDefault="002B5DAE" w:rsidP="001352B1">
            <w:pPr>
              <w:spacing w:after="0" w:line="240" w:lineRule="auto"/>
              <w:ind w:left="60" w:right="60"/>
              <w:jc w:val="both"/>
              <w:rPr>
                <w:rFonts w:ascii="Times New Roman" w:hAnsi="Times New Roman"/>
              </w:rPr>
            </w:pPr>
            <w:r w:rsidRPr="00832F88">
              <w:rPr>
                <w:rFonts w:ascii="Times New Roman" w:hAnsi="Times New Roman"/>
                <w:b/>
                <w:bCs/>
              </w:rPr>
              <w:t>Table 24</w:t>
            </w:r>
          </w:p>
        </w:tc>
      </w:tr>
      <w:tr w:rsidR="002B5DAE" w:rsidRPr="00832F88" w:rsidTr="001352B1">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832F88" w:rsidRDefault="002B5DAE" w:rsidP="001352B1">
            <w:pPr>
              <w:spacing w:after="0" w:line="240" w:lineRule="auto"/>
              <w:ind w:left="60" w:right="60"/>
              <w:rPr>
                <w:rFonts w:ascii="Times New Roman" w:hAnsi="Times New Roman"/>
              </w:rPr>
            </w:pPr>
          </w:p>
        </w:tc>
        <w:tc>
          <w:tcPr>
            <w:tcW w:w="1264" w:type="dxa"/>
            <w:tcBorders>
              <w:top w:val="single" w:sz="16" w:space="0" w:color="000000"/>
              <w:left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Frequency</w:t>
            </w:r>
          </w:p>
        </w:tc>
        <w:tc>
          <w:tcPr>
            <w:tcW w:w="919"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Percent</w:t>
            </w:r>
          </w:p>
        </w:tc>
        <w:tc>
          <w:tcPr>
            <w:tcW w:w="1395" w:type="dxa"/>
            <w:tcBorders>
              <w:top w:val="single" w:sz="16" w:space="0" w:color="000000"/>
              <w:bottom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832F88" w:rsidRDefault="002B5DAE" w:rsidP="001352B1">
            <w:pPr>
              <w:spacing w:after="0" w:line="240" w:lineRule="auto"/>
              <w:ind w:left="60" w:right="60"/>
              <w:jc w:val="center"/>
              <w:rPr>
                <w:rFonts w:ascii="Times New Roman" w:hAnsi="Times New Roman"/>
              </w:rPr>
            </w:pPr>
            <w:r w:rsidRPr="00832F88">
              <w:rPr>
                <w:rFonts w:ascii="Times New Roman" w:hAnsi="Times New Roman"/>
              </w:rPr>
              <w:t>Cumulative Percent</w:t>
            </w:r>
          </w:p>
        </w:tc>
      </w:tr>
      <w:tr w:rsidR="002B5DAE" w:rsidRPr="00832F88" w:rsidTr="001352B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Strongly Agree</w:t>
            </w:r>
          </w:p>
        </w:tc>
        <w:tc>
          <w:tcPr>
            <w:tcW w:w="1264" w:type="dxa"/>
            <w:tcBorders>
              <w:top w:val="single" w:sz="16" w:space="0" w:color="000000"/>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w:t>
            </w:r>
          </w:p>
        </w:tc>
        <w:tc>
          <w:tcPr>
            <w:tcW w:w="919"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395" w:type="dxa"/>
            <w:tcBorders>
              <w:top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c>
          <w:tcPr>
            <w:tcW w:w="1488" w:type="dxa"/>
            <w:tcBorders>
              <w:top w:val="single" w:sz="16" w:space="0" w:color="000000"/>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Agree</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13</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65.0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75.0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Neutral</w:t>
            </w:r>
          </w:p>
        </w:tc>
        <w:tc>
          <w:tcPr>
            <w:tcW w:w="1264" w:type="dxa"/>
            <w:tcBorders>
              <w:top w:val="nil"/>
              <w:left w:val="single" w:sz="16" w:space="0" w:color="000000"/>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5</w:t>
            </w:r>
          </w:p>
        </w:tc>
        <w:tc>
          <w:tcPr>
            <w:tcW w:w="919"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395" w:type="dxa"/>
            <w:tcBorders>
              <w:top w:val="nil"/>
              <w:bottom w:val="nil"/>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25.0</w:t>
            </w:r>
          </w:p>
        </w:tc>
        <w:tc>
          <w:tcPr>
            <w:tcW w:w="1488" w:type="dxa"/>
            <w:tcBorders>
              <w:top w:val="nil"/>
              <w:bottom w:val="nil"/>
              <w:right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r>
      <w:tr w:rsidR="002B5DAE" w:rsidRPr="00832F88" w:rsidTr="001352B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832F88" w:rsidRDefault="002B5DAE" w:rsidP="001352B1">
            <w:pPr>
              <w:spacing w:after="0" w:line="240" w:lineRule="auto"/>
              <w:rPr>
                <w:rFonts w:ascii="Times New Roman" w:hAnsi="Times New Roman"/>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832F88" w:rsidRDefault="002B5DAE" w:rsidP="001352B1">
            <w:pPr>
              <w:spacing w:after="0" w:line="240" w:lineRule="auto"/>
              <w:ind w:left="60" w:right="60"/>
              <w:rPr>
                <w:rFonts w:ascii="Times New Roman" w:hAnsi="Times New Roman"/>
              </w:rPr>
            </w:pPr>
            <w:r w:rsidRPr="00832F88">
              <w:rPr>
                <w:rFonts w:ascii="Times New Roman" w:hAnsi="Times New Roman"/>
              </w:rPr>
              <w:t>Total</w:t>
            </w:r>
          </w:p>
        </w:tc>
        <w:tc>
          <w:tcPr>
            <w:tcW w:w="1264" w:type="dxa"/>
            <w:tcBorders>
              <w:top w:val="nil"/>
              <w:left w:val="single" w:sz="16" w:space="0" w:color="000000"/>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20</w:t>
            </w:r>
          </w:p>
        </w:tc>
        <w:tc>
          <w:tcPr>
            <w:tcW w:w="919"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395" w:type="dxa"/>
            <w:tcBorders>
              <w:top w:val="nil"/>
              <w:bottom w:val="single" w:sz="16" w:space="0" w:color="000000"/>
            </w:tcBorders>
            <w:shd w:val="clear" w:color="auto" w:fill="FFFFFF"/>
            <w:vAlign w:val="center"/>
          </w:tcPr>
          <w:p w:rsidR="002B5DAE" w:rsidRPr="00832F88" w:rsidRDefault="002B5DAE" w:rsidP="001352B1">
            <w:pPr>
              <w:spacing w:after="0" w:line="240" w:lineRule="auto"/>
              <w:ind w:left="60" w:right="60"/>
              <w:jc w:val="right"/>
              <w:rPr>
                <w:rFonts w:ascii="Times New Roman" w:hAnsi="Times New Roman"/>
              </w:rPr>
            </w:pPr>
            <w:r w:rsidRPr="00832F88">
              <w:rPr>
                <w:rFonts w:ascii="Times New Roman" w:hAnsi="Times New Roman"/>
              </w:rPr>
              <w:t>100.0</w:t>
            </w:r>
          </w:p>
        </w:tc>
        <w:tc>
          <w:tcPr>
            <w:tcW w:w="1488" w:type="dxa"/>
            <w:tcBorders>
              <w:top w:val="nil"/>
              <w:bottom w:val="single" w:sz="16" w:space="0" w:color="000000"/>
              <w:right w:val="single" w:sz="16" w:space="0" w:color="000000"/>
            </w:tcBorders>
            <w:shd w:val="clear" w:color="auto" w:fill="FFFFFF"/>
          </w:tcPr>
          <w:p w:rsidR="002B5DAE" w:rsidRPr="00832F88" w:rsidRDefault="002B5DAE" w:rsidP="001352B1">
            <w:pPr>
              <w:spacing w:after="0" w:line="240" w:lineRule="auto"/>
              <w:rPr>
                <w:rFonts w:ascii="Times New Roman" w:hAnsi="Times New Roman"/>
              </w:rPr>
            </w:pPr>
          </w:p>
        </w:tc>
      </w:tr>
    </w:tbl>
    <w:p w:rsidR="002B5DAE" w:rsidRPr="00832F88" w:rsidRDefault="002B5DAE" w:rsidP="002B5DAE">
      <w:pPr>
        <w:spacing w:after="0" w:line="240" w:lineRule="auto"/>
        <w:rPr>
          <w:rFonts w:ascii="Times New Roman" w:hAnsi="Times New Roman"/>
          <w:b/>
        </w:rPr>
      </w:pPr>
      <w:r w:rsidRPr="00832F88">
        <w:rPr>
          <w:rFonts w:ascii="Times New Roman" w:hAnsi="Times New Roman"/>
          <w:b/>
        </w:rPr>
        <w:t xml:space="preserve">Source: Field Survey, </w:t>
      </w:r>
      <w:r>
        <w:rPr>
          <w:rFonts w:ascii="Times New Roman" w:hAnsi="Times New Roman"/>
          <w:b/>
        </w:rPr>
        <w:t>2023</w:t>
      </w:r>
    </w:p>
    <w:p w:rsidR="002B5DAE" w:rsidRPr="00832F88" w:rsidRDefault="002B5DAE" w:rsidP="002B5DAE">
      <w:pPr>
        <w:spacing w:after="0" w:line="240" w:lineRule="auto"/>
        <w:ind w:firstLine="720"/>
        <w:rPr>
          <w:rFonts w:ascii="Times New Roman" w:hAnsi="Times New Roman"/>
        </w:rPr>
      </w:pPr>
      <w:r w:rsidRPr="00832F88">
        <w:rPr>
          <w:rFonts w:ascii="Times New Roman" w:hAnsi="Times New Roman"/>
        </w:rPr>
        <w:t>Table 24 above shows that 2(10%) of the respondents strongly agreed with the question, 13(65%) agreed, 5(25%) are neutral, while no respondents disagreed.</w:t>
      </w:r>
    </w:p>
    <w:p w:rsidR="002B5DAE" w:rsidRPr="00832F88" w:rsidRDefault="002B5DAE" w:rsidP="002B5DAE">
      <w:pPr>
        <w:pStyle w:val="Heading1"/>
        <w:tabs>
          <w:tab w:val="left" w:pos="960"/>
          <w:tab w:val="left" w:pos="961"/>
        </w:tabs>
        <w:ind w:left="0" w:firstLine="0"/>
        <w:rPr>
          <w:sz w:val="22"/>
          <w:szCs w:val="22"/>
        </w:rPr>
      </w:pPr>
      <w:r w:rsidRPr="00832F88">
        <w:rPr>
          <w:sz w:val="22"/>
          <w:szCs w:val="22"/>
        </w:rPr>
        <w:t>TESTING OF HYPOTHESES</w:t>
      </w:r>
    </w:p>
    <w:p w:rsidR="002B5DAE" w:rsidRPr="00832F88" w:rsidRDefault="002B5DAE" w:rsidP="002B5DAE">
      <w:pPr>
        <w:pStyle w:val="Heading1"/>
        <w:tabs>
          <w:tab w:val="left" w:pos="960"/>
          <w:tab w:val="left" w:pos="961"/>
        </w:tabs>
        <w:ind w:left="0" w:firstLine="0"/>
        <w:rPr>
          <w:sz w:val="22"/>
          <w:szCs w:val="22"/>
        </w:rPr>
      </w:pPr>
      <w:r w:rsidRPr="00832F88">
        <w:rPr>
          <w:sz w:val="22"/>
          <w:szCs w:val="22"/>
        </w:rPr>
        <w:t>Regression</w:t>
      </w:r>
    </w:p>
    <w:p w:rsidR="002B5DAE" w:rsidRPr="00832F88" w:rsidRDefault="002B5DAE" w:rsidP="002B5DAE">
      <w:pPr>
        <w:pStyle w:val="BodyText"/>
        <w:ind w:right="618" w:firstLine="480"/>
        <w:rPr>
          <w:sz w:val="22"/>
          <w:szCs w:val="22"/>
        </w:rPr>
      </w:pPr>
      <w:r w:rsidRPr="00832F88">
        <w:rPr>
          <w:sz w:val="22"/>
          <w:szCs w:val="22"/>
        </w:rPr>
        <w:t>Table 25 presents the result of the regression based on Fixed effects and Random effects techniques. It demonstrates an agreement in the results of the two approaches. The coefficients of the non-performing loan to total loan ratio (NPLLR) and capital adequacy ratio (CAR) are positively related to performance proxies, ROA and ROE. This indicates a direct relationship between the two credit risk parameters and financial performance. Also, the ratio of non-performing loan to total deposit is negatively related with the two performance proxies.</w:t>
      </w:r>
    </w:p>
    <w:p w:rsidR="002B5DAE" w:rsidRPr="00832F88" w:rsidRDefault="002B5DAE" w:rsidP="002B5DAE">
      <w:pPr>
        <w:pStyle w:val="BodyText"/>
        <w:ind w:left="0"/>
        <w:jc w:val="left"/>
        <w:rPr>
          <w:sz w:val="22"/>
          <w:szCs w:val="22"/>
        </w:rPr>
      </w:pPr>
    </w:p>
    <w:p w:rsidR="002B5DAE" w:rsidRPr="00832F88" w:rsidRDefault="002B5DAE" w:rsidP="002B5DAE">
      <w:pPr>
        <w:pStyle w:val="Heading1"/>
        <w:ind w:left="240" w:firstLine="0"/>
        <w:jc w:val="both"/>
        <w:rPr>
          <w:sz w:val="22"/>
          <w:szCs w:val="22"/>
        </w:rPr>
      </w:pPr>
      <w:r w:rsidRPr="00832F88">
        <w:rPr>
          <w:sz w:val="22"/>
          <w:szCs w:val="22"/>
        </w:rPr>
        <w:t>Table 25: Regression Results</w:t>
      </w:r>
    </w:p>
    <w:p w:rsidR="002B5DAE" w:rsidRPr="00832F88" w:rsidRDefault="002B5DAE" w:rsidP="002B5DAE">
      <w:pPr>
        <w:pStyle w:val="BodyText"/>
        <w:ind w:left="0"/>
        <w:jc w:val="left"/>
        <w:rPr>
          <w:b/>
          <w:sz w:val="22"/>
          <w:szCs w:val="22"/>
        </w:rPr>
      </w:pPr>
    </w:p>
    <w:tbl>
      <w:tblPr>
        <w:tblW w:w="0" w:type="auto"/>
        <w:tblInd w:w="238" w:type="dxa"/>
        <w:tblLayout w:type="fixed"/>
        <w:tblCellMar>
          <w:left w:w="0" w:type="dxa"/>
          <w:right w:w="0" w:type="dxa"/>
        </w:tblCellMar>
        <w:tblLook w:val="01E0"/>
      </w:tblPr>
      <w:tblGrid>
        <w:gridCol w:w="14"/>
        <w:gridCol w:w="1551"/>
        <w:gridCol w:w="405"/>
        <w:gridCol w:w="1514"/>
        <w:gridCol w:w="190"/>
        <w:gridCol w:w="1494"/>
        <w:gridCol w:w="100"/>
        <w:gridCol w:w="1660"/>
        <w:gridCol w:w="51"/>
        <w:gridCol w:w="2055"/>
      </w:tblGrid>
      <w:tr w:rsidR="002B5DAE" w:rsidRPr="00832F88" w:rsidTr="001352B1">
        <w:trPr>
          <w:gridBefore w:val="1"/>
          <w:wBefore w:w="14" w:type="dxa"/>
          <w:trHeight w:val="290"/>
        </w:trPr>
        <w:tc>
          <w:tcPr>
            <w:tcW w:w="1551" w:type="dxa"/>
            <w:tcBorders>
              <w:top w:val="single" w:sz="4" w:space="0" w:color="000000"/>
            </w:tcBorders>
          </w:tcPr>
          <w:p w:rsidR="002B5DAE" w:rsidRPr="00832F88" w:rsidRDefault="002B5DAE" w:rsidP="001352B1">
            <w:pPr>
              <w:pStyle w:val="TableParagraph"/>
              <w:spacing w:line="240" w:lineRule="auto"/>
            </w:pPr>
          </w:p>
        </w:tc>
        <w:tc>
          <w:tcPr>
            <w:tcW w:w="2109" w:type="dxa"/>
            <w:gridSpan w:val="3"/>
            <w:tcBorders>
              <w:top w:val="single" w:sz="4" w:space="0" w:color="000000"/>
            </w:tcBorders>
          </w:tcPr>
          <w:p w:rsidR="002B5DAE" w:rsidRPr="00832F88" w:rsidRDefault="002B5DAE" w:rsidP="001352B1">
            <w:pPr>
              <w:pStyle w:val="TableParagraph"/>
              <w:spacing w:line="240" w:lineRule="auto"/>
              <w:ind w:left="1387"/>
              <w:rPr>
                <w:b/>
              </w:rPr>
            </w:pPr>
            <w:r w:rsidRPr="00832F88">
              <w:rPr>
                <w:b/>
              </w:rPr>
              <w:t>Fixed</w:t>
            </w:r>
          </w:p>
        </w:tc>
        <w:tc>
          <w:tcPr>
            <w:tcW w:w="1594" w:type="dxa"/>
            <w:gridSpan w:val="2"/>
            <w:tcBorders>
              <w:top w:val="single" w:sz="4" w:space="0" w:color="000000"/>
            </w:tcBorders>
          </w:tcPr>
          <w:p w:rsidR="002B5DAE" w:rsidRPr="00832F88" w:rsidRDefault="002B5DAE" w:rsidP="001352B1">
            <w:pPr>
              <w:pStyle w:val="TableParagraph"/>
              <w:spacing w:line="240" w:lineRule="auto"/>
              <w:ind w:left="245"/>
              <w:rPr>
                <w:b/>
              </w:rPr>
            </w:pPr>
            <w:r w:rsidRPr="00832F88">
              <w:rPr>
                <w:b/>
              </w:rPr>
              <w:t>effects</w:t>
            </w:r>
          </w:p>
        </w:tc>
        <w:tc>
          <w:tcPr>
            <w:tcW w:w="1711" w:type="dxa"/>
            <w:gridSpan w:val="2"/>
            <w:tcBorders>
              <w:top w:val="single" w:sz="4" w:space="0" w:color="000000"/>
            </w:tcBorders>
          </w:tcPr>
          <w:p w:rsidR="002B5DAE" w:rsidRPr="00832F88" w:rsidRDefault="002B5DAE" w:rsidP="001352B1">
            <w:pPr>
              <w:pStyle w:val="TableParagraph"/>
              <w:spacing w:line="240" w:lineRule="auto"/>
              <w:ind w:left="398"/>
              <w:rPr>
                <w:b/>
              </w:rPr>
            </w:pPr>
            <w:r w:rsidRPr="00832F88">
              <w:rPr>
                <w:b/>
              </w:rPr>
              <w:t>Random</w:t>
            </w:r>
          </w:p>
        </w:tc>
        <w:tc>
          <w:tcPr>
            <w:tcW w:w="2055" w:type="dxa"/>
            <w:tcBorders>
              <w:top w:val="single" w:sz="4" w:space="0" w:color="000000"/>
            </w:tcBorders>
          </w:tcPr>
          <w:p w:rsidR="002B5DAE" w:rsidRPr="00832F88" w:rsidRDefault="002B5DAE" w:rsidP="001352B1">
            <w:pPr>
              <w:pStyle w:val="TableParagraph"/>
              <w:spacing w:line="240" w:lineRule="auto"/>
              <w:ind w:left="361"/>
              <w:rPr>
                <w:b/>
              </w:rPr>
            </w:pPr>
            <w:r w:rsidRPr="00832F88">
              <w:rPr>
                <w:b/>
              </w:rPr>
              <w:t>effects</w:t>
            </w:r>
          </w:p>
        </w:tc>
      </w:tr>
      <w:tr w:rsidR="002B5DAE" w:rsidRPr="00832F88" w:rsidTr="001352B1">
        <w:trPr>
          <w:gridBefore w:val="1"/>
          <w:wBefore w:w="14" w:type="dxa"/>
          <w:trHeight w:val="518"/>
        </w:trPr>
        <w:tc>
          <w:tcPr>
            <w:tcW w:w="1551" w:type="dxa"/>
            <w:tcBorders>
              <w:bottom w:val="single" w:sz="4" w:space="0" w:color="000000"/>
            </w:tcBorders>
          </w:tcPr>
          <w:p w:rsidR="002B5DAE" w:rsidRPr="00832F88" w:rsidRDefault="002B5DAE" w:rsidP="001352B1">
            <w:pPr>
              <w:pStyle w:val="TableParagraph"/>
              <w:spacing w:line="240" w:lineRule="auto"/>
            </w:pPr>
          </w:p>
        </w:tc>
        <w:tc>
          <w:tcPr>
            <w:tcW w:w="2109" w:type="dxa"/>
            <w:gridSpan w:val="3"/>
            <w:tcBorders>
              <w:bottom w:val="single" w:sz="4" w:space="0" w:color="000000"/>
            </w:tcBorders>
          </w:tcPr>
          <w:p w:rsidR="002B5DAE" w:rsidRPr="00832F88" w:rsidRDefault="002B5DAE" w:rsidP="001352B1">
            <w:pPr>
              <w:pStyle w:val="TableParagraph"/>
              <w:spacing w:line="240" w:lineRule="auto"/>
              <w:ind w:left="734" w:right="682"/>
            </w:pPr>
            <w:r w:rsidRPr="00832F88">
              <w:t>Model 1 (ROA)</w:t>
            </w:r>
          </w:p>
        </w:tc>
        <w:tc>
          <w:tcPr>
            <w:tcW w:w="1594" w:type="dxa"/>
            <w:gridSpan w:val="2"/>
            <w:tcBorders>
              <w:bottom w:val="single" w:sz="4" w:space="0" w:color="000000"/>
            </w:tcBorders>
          </w:tcPr>
          <w:p w:rsidR="002B5DAE" w:rsidRPr="00832F88" w:rsidRDefault="002B5DAE" w:rsidP="001352B1">
            <w:pPr>
              <w:pStyle w:val="TableParagraph"/>
              <w:spacing w:line="240" w:lineRule="auto"/>
              <w:ind w:left="245" w:right="656"/>
            </w:pPr>
            <w:r w:rsidRPr="00832F88">
              <w:t>Model 2 (ROE)</w:t>
            </w:r>
          </w:p>
        </w:tc>
        <w:tc>
          <w:tcPr>
            <w:tcW w:w="1711" w:type="dxa"/>
            <w:gridSpan w:val="2"/>
            <w:tcBorders>
              <w:bottom w:val="single" w:sz="4" w:space="0" w:color="000000"/>
            </w:tcBorders>
          </w:tcPr>
          <w:p w:rsidR="002B5DAE" w:rsidRPr="00832F88" w:rsidRDefault="002B5DAE" w:rsidP="001352B1">
            <w:pPr>
              <w:pStyle w:val="TableParagraph"/>
              <w:spacing w:line="240" w:lineRule="auto"/>
              <w:ind w:left="398" w:right="620"/>
            </w:pPr>
            <w:r w:rsidRPr="00832F88">
              <w:t>Model 1 (ROA)</w:t>
            </w:r>
          </w:p>
        </w:tc>
        <w:tc>
          <w:tcPr>
            <w:tcW w:w="2055" w:type="dxa"/>
            <w:tcBorders>
              <w:bottom w:val="single" w:sz="4" w:space="0" w:color="000000"/>
            </w:tcBorders>
          </w:tcPr>
          <w:p w:rsidR="002B5DAE" w:rsidRPr="00832F88" w:rsidRDefault="002B5DAE" w:rsidP="001352B1">
            <w:pPr>
              <w:pStyle w:val="TableParagraph"/>
              <w:spacing w:line="240" w:lineRule="auto"/>
              <w:ind w:left="361" w:right="1001"/>
            </w:pPr>
            <w:r w:rsidRPr="00832F88">
              <w:t>Model 2 (ROE)</w:t>
            </w:r>
          </w:p>
        </w:tc>
      </w:tr>
      <w:tr w:rsidR="002B5DAE" w:rsidRPr="00832F88" w:rsidTr="001352B1">
        <w:trPr>
          <w:gridBefore w:val="1"/>
          <w:wBefore w:w="14" w:type="dxa"/>
          <w:trHeight w:val="228"/>
        </w:trPr>
        <w:tc>
          <w:tcPr>
            <w:tcW w:w="1551" w:type="dxa"/>
            <w:tcBorders>
              <w:top w:val="single" w:sz="4" w:space="0" w:color="000000"/>
            </w:tcBorders>
          </w:tcPr>
          <w:p w:rsidR="002B5DAE" w:rsidRPr="00832F88" w:rsidRDefault="002B5DAE" w:rsidP="001352B1">
            <w:pPr>
              <w:pStyle w:val="TableParagraph"/>
              <w:spacing w:line="240" w:lineRule="auto"/>
              <w:ind w:left="108"/>
            </w:pPr>
            <w:r w:rsidRPr="00832F88">
              <w:t>Constant</w:t>
            </w:r>
          </w:p>
        </w:tc>
        <w:tc>
          <w:tcPr>
            <w:tcW w:w="2109" w:type="dxa"/>
            <w:gridSpan w:val="3"/>
            <w:tcBorders>
              <w:top w:val="single" w:sz="4" w:space="0" w:color="000000"/>
            </w:tcBorders>
          </w:tcPr>
          <w:p w:rsidR="002B5DAE" w:rsidRPr="00832F88" w:rsidRDefault="002B5DAE" w:rsidP="001352B1">
            <w:pPr>
              <w:pStyle w:val="TableParagraph"/>
              <w:spacing w:line="240" w:lineRule="auto"/>
              <w:ind w:left="734"/>
            </w:pPr>
            <w:r w:rsidRPr="00832F88">
              <w:t>-0.380</w:t>
            </w:r>
          </w:p>
        </w:tc>
        <w:tc>
          <w:tcPr>
            <w:tcW w:w="1594" w:type="dxa"/>
            <w:gridSpan w:val="2"/>
            <w:tcBorders>
              <w:top w:val="single" w:sz="4" w:space="0" w:color="000000"/>
            </w:tcBorders>
          </w:tcPr>
          <w:p w:rsidR="002B5DAE" w:rsidRPr="00832F88" w:rsidRDefault="002B5DAE" w:rsidP="001352B1">
            <w:pPr>
              <w:pStyle w:val="TableParagraph"/>
              <w:spacing w:line="240" w:lineRule="auto"/>
              <w:ind w:left="245"/>
            </w:pPr>
            <w:r w:rsidRPr="00832F88">
              <w:t>-17.214</w:t>
            </w:r>
          </w:p>
        </w:tc>
        <w:tc>
          <w:tcPr>
            <w:tcW w:w="1711" w:type="dxa"/>
            <w:gridSpan w:val="2"/>
            <w:tcBorders>
              <w:top w:val="single" w:sz="4" w:space="0" w:color="000000"/>
            </w:tcBorders>
          </w:tcPr>
          <w:p w:rsidR="002B5DAE" w:rsidRPr="00832F88" w:rsidRDefault="002B5DAE" w:rsidP="001352B1">
            <w:pPr>
              <w:pStyle w:val="TableParagraph"/>
              <w:spacing w:line="240" w:lineRule="auto"/>
              <w:ind w:left="398"/>
            </w:pPr>
            <w:r w:rsidRPr="00832F88">
              <w:t>-0.166</w:t>
            </w:r>
          </w:p>
        </w:tc>
        <w:tc>
          <w:tcPr>
            <w:tcW w:w="2055" w:type="dxa"/>
            <w:tcBorders>
              <w:top w:val="single" w:sz="4" w:space="0" w:color="000000"/>
            </w:tcBorders>
          </w:tcPr>
          <w:p w:rsidR="002B5DAE" w:rsidRPr="00832F88" w:rsidRDefault="002B5DAE" w:rsidP="001352B1">
            <w:pPr>
              <w:pStyle w:val="TableParagraph"/>
              <w:spacing w:line="240" w:lineRule="auto"/>
              <w:ind w:left="361"/>
            </w:pPr>
            <w:r w:rsidRPr="00832F88">
              <w:t>-7.567</w:t>
            </w:r>
          </w:p>
        </w:tc>
      </w:tr>
      <w:tr w:rsidR="002B5DAE" w:rsidRPr="00832F88" w:rsidTr="001352B1">
        <w:trPr>
          <w:gridBefore w:val="1"/>
          <w:wBefore w:w="14" w:type="dxa"/>
          <w:trHeight w:val="229"/>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(-1.556)</w:t>
            </w:r>
          </w:p>
        </w:tc>
        <w:tc>
          <w:tcPr>
            <w:tcW w:w="1594" w:type="dxa"/>
            <w:gridSpan w:val="2"/>
          </w:tcPr>
          <w:p w:rsidR="002B5DAE" w:rsidRPr="00832F88" w:rsidRDefault="002B5DAE" w:rsidP="001352B1">
            <w:pPr>
              <w:pStyle w:val="TableParagraph"/>
              <w:spacing w:line="240" w:lineRule="auto"/>
              <w:ind w:left="245"/>
            </w:pPr>
            <w:r w:rsidRPr="00832F88">
              <w:t>(-0.987)</w:t>
            </w:r>
          </w:p>
        </w:tc>
        <w:tc>
          <w:tcPr>
            <w:tcW w:w="1711" w:type="dxa"/>
            <w:gridSpan w:val="2"/>
          </w:tcPr>
          <w:p w:rsidR="002B5DAE" w:rsidRPr="00832F88" w:rsidRDefault="002B5DAE" w:rsidP="001352B1">
            <w:pPr>
              <w:pStyle w:val="TableParagraph"/>
              <w:spacing w:line="240" w:lineRule="auto"/>
              <w:ind w:left="398"/>
            </w:pPr>
            <w:r w:rsidRPr="00832F88">
              <w:t>(-1.738)*</w:t>
            </w:r>
          </w:p>
        </w:tc>
        <w:tc>
          <w:tcPr>
            <w:tcW w:w="2055" w:type="dxa"/>
          </w:tcPr>
          <w:p w:rsidR="002B5DAE" w:rsidRPr="00832F88" w:rsidRDefault="002B5DAE" w:rsidP="001352B1">
            <w:pPr>
              <w:pStyle w:val="TableParagraph"/>
              <w:spacing w:line="240" w:lineRule="auto"/>
              <w:ind w:left="361"/>
            </w:pPr>
            <w:r w:rsidRPr="00832F88">
              <w:t>(-1.219)</w:t>
            </w:r>
          </w:p>
        </w:tc>
      </w:tr>
      <w:tr w:rsidR="002B5DAE" w:rsidRPr="00832F88" w:rsidTr="001352B1">
        <w:trPr>
          <w:gridBefore w:val="1"/>
          <w:wBefore w:w="14" w:type="dxa"/>
          <w:trHeight w:val="230"/>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{0.123}</w:t>
            </w:r>
          </w:p>
        </w:tc>
        <w:tc>
          <w:tcPr>
            <w:tcW w:w="1594" w:type="dxa"/>
            <w:gridSpan w:val="2"/>
          </w:tcPr>
          <w:p w:rsidR="002B5DAE" w:rsidRPr="00832F88" w:rsidRDefault="002B5DAE" w:rsidP="001352B1">
            <w:pPr>
              <w:pStyle w:val="TableParagraph"/>
              <w:spacing w:line="240" w:lineRule="auto"/>
              <w:ind w:left="245"/>
            </w:pPr>
            <w:r w:rsidRPr="00832F88">
              <w:t>{0.326}</w:t>
            </w:r>
          </w:p>
        </w:tc>
        <w:tc>
          <w:tcPr>
            <w:tcW w:w="1711" w:type="dxa"/>
            <w:gridSpan w:val="2"/>
          </w:tcPr>
          <w:p w:rsidR="002B5DAE" w:rsidRPr="00832F88" w:rsidRDefault="002B5DAE" w:rsidP="001352B1">
            <w:pPr>
              <w:pStyle w:val="TableParagraph"/>
              <w:spacing w:line="240" w:lineRule="auto"/>
              <w:ind w:left="398"/>
            </w:pPr>
            <w:r w:rsidRPr="00832F88">
              <w:t>{0.085}</w:t>
            </w:r>
          </w:p>
        </w:tc>
        <w:tc>
          <w:tcPr>
            <w:tcW w:w="2055" w:type="dxa"/>
          </w:tcPr>
          <w:p w:rsidR="002B5DAE" w:rsidRPr="00832F88" w:rsidRDefault="002B5DAE" w:rsidP="001352B1">
            <w:pPr>
              <w:pStyle w:val="TableParagraph"/>
              <w:spacing w:line="240" w:lineRule="auto"/>
              <w:ind w:left="361"/>
            </w:pPr>
            <w:r w:rsidRPr="00832F88">
              <w:t>{0.226}</w:t>
            </w:r>
          </w:p>
        </w:tc>
      </w:tr>
      <w:tr w:rsidR="002B5DAE" w:rsidRPr="00832F88" w:rsidTr="001352B1">
        <w:trPr>
          <w:gridBefore w:val="1"/>
          <w:wBefore w:w="14" w:type="dxa"/>
          <w:trHeight w:val="230"/>
        </w:trPr>
        <w:tc>
          <w:tcPr>
            <w:tcW w:w="1551" w:type="dxa"/>
          </w:tcPr>
          <w:p w:rsidR="002B5DAE" w:rsidRPr="00832F88" w:rsidRDefault="002B5DAE" w:rsidP="001352B1">
            <w:pPr>
              <w:pStyle w:val="TableParagraph"/>
              <w:spacing w:line="240" w:lineRule="auto"/>
              <w:ind w:left="108"/>
            </w:pPr>
            <w:r w:rsidRPr="00832F88">
              <w:t>NPLLR</w:t>
            </w:r>
          </w:p>
        </w:tc>
        <w:tc>
          <w:tcPr>
            <w:tcW w:w="2109" w:type="dxa"/>
            <w:gridSpan w:val="3"/>
          </w:tcPr>
          <w:p w:rsidR="002B5DAE" w:rsidRPr="00832F88" w:rsidRDefault="002B5DAE" w:rsidP="001352B1">
            <w:pPr>
              <w:pStyle w:val="TableParagraph"/>
              <w:spacing w:line="240" w:lineRule="auto"/>
              <w:ind w:left="734"/>
            </w:pPr>
            <w:r w:rsidRPr="00832F88">
              <w:t>0.342</w:t>
            </w:r>
          </w:p>
        </w:tc>
        <w:tc>
          <w:tcPr>
            <w:tcW w:w="1594" w:type="dxa"/>
            <w:gridSpan w:val="2"/>
          </w:tcPr>
          <w:p w:rsidR="002B5DAE" w:rsidRPr="00832F88" w:rsidRDefault="002B5DAE" w:rsidP="001352B1">
            <w:pPr>
              <w:pStyle w:val="TableParagraph"/>
              <w:spacing w:line="240" w:lineRule="auto"/>
              <w:ind w:left="245"/>
            </w:pPr>
            <w:r w:rsidRPr="00832F88">
              <w:t>11.401</w:t>
            </w:r>
          </w:p>
        </w:tc>
        <w:tc>
          <w:tcPr>
            <w:tcW w:w="1711" w:type="dxa"/>
            <w:gridSpan w:val="2"/>
          </w:tcPr>
          <w:p w:rsidR="002B5DAE" w:rsidRPr="00832F88" w:rsidRDefault="002B5DAE" w:rsidP="001352B1">
            <w:pPr>
              <w:pStyle w:val="TableParagraph"/>
              <w:spacing w:line="240" w:lineRule="auto"/>
              <w:ind w:left="398"/>
            </w:pPr>
            <w:r w:rsidRPr="00832F88">
              <w:t>0.280</w:t>
            </w:r>
          </w:p>
        </w:tc>
        <w:tc>
          <w:tcPr>
            <w:tcW w:w="2055" w:type="dxa"/>
          </w:tcPr>
          <w:p w:rsidR="002B5DAE" w:rsidRPr="00832F88" w:rsidRDefault="002B5DAE" w:rsidP="001352B1">
            <w:pPr>
              <w:pStyle w:val="TableParagraph"/>
              <w:spacing w:line="240" w:lineRule="auto"/>
              <w:ind w:left="361"/>
            </w:pPr>
            <w:r w:rsidRPr="00832F88">
              <w:t>7.662</w:t>
            </w:r>
          </w:p>
        </w:tc>
      </w:tr>
      <w:tr w:rsidR="002B5DAE" w:rsidRPr="00832F88" w:rsidTr="001352B1">
        <w:trPr>
          <w:gridBefore w:val="1"/>
          <w:wBefore w:w="14" w:type="dxa"/>
          <w:trHeight w:val="230"/>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(5.216)***</w:t>
            </w:r>
          </w:p>
        </w:tc>
        <w:tc>
          <w:tcPr>
            <w:tcW w:w="1594" w:type="dxa"/>
            <w:gridSpan w:val="2"/>
          </w:tcPr>
          <w:p w:rsidR="002B5DAE" w:rsidRPr="00832F88" w:rsidRDefault="002B5DAE" w:rsidP="001352B1">
            <w:pPr>
              <w:pStyle w:val="TableParagraph"/>
              <w:spacing w:line="240" w:lineRule="auto"/>
              <w:ind w:left="245"/>
            </w:pPr>
            <w:r w:rsidRPr="00832F88">
              <w:t>(2.432)**</w:t>
            </w:r>
          </w:p>
        </w:tc>
        <w:tc>
          <w:tcPr>
            <w:tcW w:w="1711" w:type="dxa"/>
            <w:gridSpan w:val="2"/>
          </w:tcPr>
          <w:p w:rsidR="002B5DAE" w:rsidRPr="00832F88" w:rsidRDefault="002B5DAE" w:rsidP="001352B1">
            <w:pPr>
              <w:pStyle w:val="TableParagraph"/>
              <w:spacing w:line="240" w:lineRule="auto"/>
              <w:ind w:left="398"/>
            </w:pPr>
            <w:r w:rsidRPr="00832F88">
              <w:t>(5.096)***</w:t>
            </w:r>
          </w:p>
        </w:tc>
        <w:tc>
          <w:tcPr>
            <w:tcW w:w="2055" w:type="dxa"/>
          </w:tcPr>
          <w:p w:rsidR="002B5DAE" w:rsidRPr="00832F88" w:rsidRDefault="002B5DAE" w:rsidP="001352B1">
            <w:pPr>
              <w:pStyle w:val="TableParagraph"/>
              <w:spacing w:line="240" w:lineRule="auto"/>
              <w:ind w:left="361"/>
            </w:pPr>
            <w:r w:rsidRPr="00832F88">
              <w:t>(1.934)*</w:t>
            </w:r>
          </w:p>
        </w:tc>
      </w:tr>
      <w:tr w:rsidR="002B5DAE" w:rsidRPr="00832F88" w:rsidTr="001352B1">
        <w:trPr>
          <w:gridBefore w:val="1"/>
          <w:wBefore w:w="14" w:type="dxa"/>
          <w:trHeight w:val="230"/>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{0.000}</w:t>
            </w:r>
          </w:p>
        </w:tc>
        <w:tc>
          <w:tcPr>
            <w:tcW w:w="1594" w:type="dxa"/>
            <w:gridSpan w:val="2"/>
          </w:tcPr>
          <w:p w:rsidR="002B5DAE" w:rsidRPr="00832F88" w:rsidRDefault="002B5DAE" w:rsidP="001352B1">
            <w:pPr>
              <w:pStyle w:val="TableParagraph"/>
              <w:spacing w:line="240" w:lineRule="auto"/>
              <w:ind w:left="245"/>
            </w:pPr>
            <w:r w:rsidRPr="00832F88">
              <w:t>{0.017)</w:t>
            </w:r>
          </w:p>
        </w:tc>
        <w:tc>
          <w:tcPr>
            <w:tcW w:w="1711" w:type="dxa"/>
            <w:gridSpan w:val="2"/>
          </w:tcPr>
          <w:p w:rsidR="002B5DAE" w:rsidRPr="00832F88" w:rsidRDefault="002B5DAE" w:rsidP="001352B1">
            <w:pPr>
              <w:pStyle w:val="TableParagraph"/>
              <w:spacing w:line="240" w:lineRule="auto"/>
              <w:ind w:left="398"/>
            </w:pPr>
            <w:r w:rsidRPr="00832F88">
              <w:t>{0.000}</w:t>
            </w:r>
          </w:p>
        </w:tc>
        <w:tc>
          <w:tcPr>
            <w:tcW w:w="2055" w:type="dxa"/>
          </w:tcPr>
          <w:p w:rsidR="002B5DAE" w:rsidRPr="00832F88" w:rsidRDefault="002B5DAE" w:rsidP="001352B1">
            <w:pPr>
              <w:pStyle w:val="TableParagraph"/>
              <w:spacing w:line="240" w:lineRule="auto"/>
              <w:ind w:left="361"/>
            </w:pPr>
            <w:r w:rsidRPr="00832F88">
              <w:t>{0.056)</w:t>
            </w:r>
          </w:p>
        </w:tc>
      </w:tr>
      <w:tr w:rsidR="002B5DAE" w:rsidRPr="00832F88" w:rsidTr="001352B1">
        <w:trPr>
          <w:gridBefore w:val="1"/>
          <w:wBefore w:w="14" w:type="dxa"/>
          <w:trHeight w:val="229"/>
        </w:trPr>
        <w:tc>
          <w:tcPr>
            <w:tcW w:w="1551" w:type="dxa"/>
          </w:tcPr>
          <w:p w:rsidR="002B5DAE" w:rsidRPr="00832F88" w:rsidRDefault="002B5DAE" w:rsidP="001352B1">
            <w:pPr>
              <w:pStyle w:val="TableParagraph"/>
              <w:spacing w:line="240" w:lineRule="auto"/>
              <w:ind w:left="108"/>
            </w:pPr>
            <w:r w:rsidRPr="00832F88">
              <w:t>NPLDR</w:t>
            </w:r>
          </w:p>
        </w:tc>
        <w:tc>
          <w:tcPr>
            <w:tcW w:w="2109" w:type="dxa"/>
            <w:gridSpan w:val="3"/>
          </w:tcPr>
          <w:p w:rsidR="002B5DAE" w:rsidRPr="00832F88" w:rsidRDefault="002B5DAE" w:rsidP="001352B1">
            <w:pPr>
              <w:pStyle w:val="TableParagraph"/>
              <w:spacing w:line="240" w:lineRule="auto"/>
              <w:ind w:left="734"/>
            </w:pPr>
            <w:r w:rsidRPr="00832F88">
              <w:t>-0.841</w:t>
            </w:r>
          </w:p>
        </w:tc>
        <w:tc>
          <w:tcPr>
            <w:tcW w:w="1594" w:type="dxa"/>
            <w:gridSpan w:val="2"/>
          </w:tcPr>
          <w:p w:rsidR="002B5DAE" w:rsidRPr="00832F88" w:rsidRDefault="002B5DAE" w:rsidP="001352B1">
            <w:pPr>
              <w:pStyle w:val="TableParagraph"/>
              <w:spacing w:line="240" w:lineRule="auto"/>
              <w:ind w:left="245"/>
            </w:pPr>
            <w:r w:rsidRPr="00832F88">
              <w:t>-30.989</w:t>
            </w:r>
          </w:p>
        </w:tc>
        <w:tc>
          <w:tcPr>
            <w:tcW w:w="1711" w:type="dxa"/>
            <w:gridSpan w:val="2"/>
          </w:tcPr>
          <w:p w:rsidR="002B5DAE" w:rsidRPr="00832F88" w:rsidRDefault="002B5DAE" w:rsidP="001352B1">
            <w:pPr>
              <w:pStyle w:val="TableParagraph"/>
              <w:spacing w:line="240" w:lineRule="auto"/>
              <w:ind w:left="398"/>
            </w:pPr>
            <w:r w:rsidRPr="00832F88">
              <w:t>-0.733</w:t>
            </w:r>
          </w:p>
        </w:tc>
        <w:tc>
          <w:tcPr>
            <w:tcW w:w="2055" w:type="dxa"/>
          </w:tcPr>
          <w:p w:rsidR="002B5DAE" w:rsidRPr="00832F88" w:rsidRDefault="002B5DAE" w:rsidP="001352B1">
            <w:pPr>
              <w:pStyle w:val="TableParagraph"/>
              <w:spacing w:line="240" w:lineRule="auto"/>
              <w:ind w:left="361"/>
            </w:pPr>
            <w:r w:rsidRPr="00832F88">
              <w:t>-25.370</w:t>
            </w:r>
          </w:p>
        </w:tc>
      </w:tr>
      <w:tr w:rsidR="002B5DAE" w:rsidRPr="00832F88" w:rsidTr="001352B1">
        <w:trPr>
          <w:gridBefore w:val="1"/>
          <w:wBefore w:w="14" w:type="dxa"/>
          <w:trHeight w:val="229"/>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(-6.635)***</w:t>
            </w:r>
          </w:p>
        </w:tc>
        <w:tc>
          <w:tcPr>
            <w:tcW w:w="1594" w:type="dxa"/>
            <w:gridSpan w:val="2"/>
          </w:tcPr>
          <w:p w:rsidR="002B5DAE" w:rsidRPr="00832F88" w:rsidRDefault="002B5DAE" w:rsidP="001352B1">
            <w:pPr>
              <w:pStyle w:val="TableParagraph"/>
              <w:spacing w:line="240" w:lineRule="auto"/>
              <w:ind w:left="245"/>
            </w:pPr>
            <w:r w:rsidRPr="00832F88">
              <w:t>(-3.421)***</w:t>
            </w:r>
          </w:p>
        </w:tc>
        <w:tc>
          <w:tcPr>
            <w:tcW w:w="1711" w:type="dxa"/>
            <w:gridSpan w:val="2"/>
          </w:tcPr>
          <w:p w:rsidR="002B5DAE" w:rsidRPr="00832F88" w:rsidRDefault="002B5DAE" w:rsidP="001352B1">
            <w:pPr>
              <w:pStyle w:val="TableParagraph"/>
              <w:spacing w:line="240" w:lineRule="auto"/>
              <w:ind w:left="398"/>
            </w:pPr>
            <w:r w:rsidRPr="00832F88">
              <w:t>(-6.864)***</w:t>
            </w:r>
          </w:p>
        </w:tc>
        <w:tc>
          <w:tcPr>
            <w:tcW w:w="2055" w:type="dxa"/>
          </w:tcPr>
          <w:p w:rsidR="002B5DAE" w:rsidRPr="00832F88" w:rsidRDefault="002B5DAE" w:rsidP="001352B1">
            <w:pPr>
              <w:pStyle w:val="TableParagraph"/>
              <w:spacing w:line="240" w:lineRule="auto"/>
              <w:ind w:left="361"/>
            </w:pPr>
            <w:r w:rsidRPr="00832F88">
              <w:t>(-3.283)***</w:t>
            </w:r>
          </w:p>
        </w:tc>
      </w:tr>
      <w:tr w:rsidR="002B5DAE" w:rsidRPr="00832F88" w:rsidTr="001352B1">
        <w:trPr>
          <w:gridBefore w:val="1"/>
          <w:wBefore w:w="14" w:type="dxa"/>
          <w:trHeight w:val="230"/>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{0.000}</w:t>
            </w:r>
          </w:p>
        </w:tc>
        <w:tc>
          <w:tcPr>
            <w:tcW w:w="1594" w:type="dxa"/>
            <w:gridSpan w:val="2"/>
          </w:tcPr>
          <w:p w:rsidR="002B5DAE" w:rsidRPr="00832F88" w:rsidRDefault="002B5DAE" w:rsidP="001352B1">
            <w:pPr>
              <w:pStyle w:val="TableParagraph"/>
              <w:spacing w:line="240" w:lineRule="auto"/>
              <w:ind w:left="245"/>
            </w:pPr>
            <w:r w:rsidRPr="00832F88">
              <w:t>{0.001}</w:t>
            </w:r>
          </w:p>
        </w:tc>
        <w:tc>
          <w:tcPr>
            <w:tcW w:w="1711" w:type="dxa"/>
            <w:gridSpan w:val="2"/>
          </w:tcPr>
          <w:p w:rsidR="002B5DAE" w:rsidRPr="00832F88" w:rsidRDefault="002B5DAE" w:rsidP="001352B1">
            <w:pPr>
              <w:pStyle w:val="TableParagraph"/>
              <w:spacing w:line="240" w:lineRule="auto"/>
              <w:ind w:left="398"/>
            </w:pPr>
            <w:r w:rsidRPr="00832F88">
              <w:t>{0.000}</w:t>
            </w:r>
          </w:p>
        </w:tc>
        <w:tc>
          <w:tcPr>
            <w:tcW w:w="2055" w:type="dxa"/>
          </w:tcPr>
          <w:p w:rsidR="002B5DAE" w:rsidRPr="00832F88" w:rsidRDefault="002B5DAE" w:rsidP="001352B1">
            <w:pPr>
              <w:pStyle w:val="TableParagraph"/>
              <w:spacing w:line="240" w:lineRule="auto"/>
              <w:ind w:left="361"/>
            </w:pPr>
            <w:r w:rsidRPr="00832F88">
              <w:t>{0.001}</w:t>
            </w:r>
          </w:p>
        </w:tc>
      </w:tr>
      <w:tr w:rsidR="002B5DAE" w:rsidRPr="00832F88" w:rsidTr="001352B1">
        <w:trPr>
          <w:gridBefore w:val="1"/>
          <w:wBefore w:w="14" w:type="dxa"/>
          <w:trHeight w:val="230"/>
        </w:trPr>
        <w:tc>
          <w:tcPr>
            <w:tcW w:w="1551" w:type="dxa"/>
          </w:tcPr>
          <w:p w:rsidR="002B5DAE" w:rsidRPr="00832F88" w:rsidRDefault="002B5DAE" w:rsidP="001352B1">
            <w:pPr>
              <w:pStyle w:val="TableParagraph"/>
              <w:spacing w:line="240" w:lineRule="auto"/>
              <w:ind w:left="108"/>
            </w:pPr>
            <w:r w:rsidRPr="00832F88">
              <w:t>CAR</w:t>
            </w:r>
          </w:p>
        </w:tc>
        <w:tc>
          <w:tcPr>
            <w:tcW w:w="2109" w:type="dxa"/>
            <w:gridSpan w:val="3"/>
          </w:tcPr>
          <w:p w:rsidR="002B5DAE" w:rsidRPr="00832F88" w:rsidRDefault="002B5DAE" w:rsidP="001352B1">
            <w:pPr>
              <w:pStyle w:val="TableParagraph"/>
              <w:spacing w:line="240" w:lineRule="auto"/>
              <w:ind w:left="734"/>
            </w:pPr>
            <w:r w:rsidRPr="00832F88">
              <w:t>0.343</w:t>
            </w:r>
          </w:p>
        </w:tc>
        <w:tc>
          <w:tcPr>
            <w:tcW w:w="1594" w:type="dxa"/>
            <w:gridSpan w:val="2"/>
          </w:tcPr>
          <w:p w:rsidR="002B5DAE" w:rsidRPr="00832F88" w:rsidRDefault="002B5DAE" w:rsidP="001352B1">
            <w:pPr>
              <w:pStyle w:val="TableParagraph"/>
              <w:spacing w:line="240" w:lineRule="auto"/>
              <w:ind w:left="245"/>
            </w:pPr>
            <w:r w:rsidRPr="00832F88">
              <w:t>12.366</w:t>
            </w:r>
          </w:p>
        </w:tc>
        <w:tc>
          <w:tcPr>
            <w:tcW w:w="1711" w:type="dxa"/>
            <w:gridSpan w:val="2"/>
          </w:tcPr>
          <w:p w:rsidR="002B5DAE" w:rsidRPr="00832F88" w:rsidRDefault="002B5DAE" w:rsidP="001352B1">
            <w:pPr>
              <w:pStyle w:val="TableParagraph"/>
              <w:spacing w:line="240" w:lineRule="auto"/>
              <w:ind w:left="398"/>
            </w:pPr>
            <w:r w:rsidRPr="00832F88">
              <w:t>0.320</w:t>
            </w:r>
          </w:p>
        </w:tc>
        <w:tc>
          <w:tcPr>
            <w:tcW w:w="2055" w:type="dxa"/>
          </w:tcPr>
          <w:p w:rsidR="002B5DAE" w:rsidRPr="00832F88" w:rsidRDefault="002B5DAE" w:rsidP="001352B1">
            <w:pPr>
              <w:pStyle w:val="TableParagraph"/>
              <w:spacing w:line="240" w:lineRule="auto"/>
              <w:ind w:left="361"/>
            </w:pPr>
            <w:r w:rsidRPr="00832F88">
              <w:t>9.915</w:t>
            </w:r>
          </w:p>
        </w:tc>
      </w:tr>
      <w:tr w:rsidR="002B5DAE" w:rsidRPr="00832F88" w:rsidTr="001352B1">
        <w:trPr>
          <w:gridBefore w:val="1"/>
          <w:wBefore w:w="14" w:type="dxa"/>
          <w:trHeight w:val="225"/>
        </w:trPr>
        <w:tc>
          <w:tcPr>
            <w:tcW w:w="1551" w:type="dxa"/>
          </w:tcPr>
          <w:p w:rsidR="002B5DAE" w:rsidRPr="00832F88" w:rsidRDefault="002B5DAE" w:rsidP="001352B1">
            <w:pPr>
              <w:pStyle w:val="TableParagraph"/>
              <w:spacing w:line="240" w:lineRule="auto"/>
            </w:pPr>
          </w:p>
        </w:tc>
        <w:tc>
          <w:tcPr>
            <w:tcW w:w="2109" w:type="dxa"/>
            <w:gridSpan w:val="3"/>
          </w:tcPr>
          <w:p w:rsidR="002B5DAE" w:rsidRPr="00832F88" w:rsidRDefault="002B5DAE" w:rsidP="001352B1">
            <w:pPr>
              <w:pStyle w:val="TableParagraph"/>
              <w:spacing w:line="240" w:lineRule="auto"/>
              <w:ind w:left="734"/>
            </w:pPr>
            <w:r w:rsidRPr="00832F88">
              <w:t>(6.984)***</w:t>
            </w:r>
          </w:p>
        </w:tc>
        <w:tc>
          <w:tcPr>
            <w:tcW w:w="1594" w:type="dxa"/>
            <w:gridSpan w:val="2"/>
          </w:tcPr>
          <w:p w:rsidR="002B5DAE" w:rsidRPr="00832F88" w:rsidRDefault="002B5DAE" w:rsidP="001352B1">
            <w:pPr>
              <w:pStyle w:val="TableParagraph"/>
              <w:spacing w:line="240" w:lineRule="auto"/>
              <w:ind w:left="245"/>
            </w:pPr>
            <w:r w:rsidRPr="00832F88">
              <w:t>(3.521)***</w:t>
            </w:r>
          </w:p>
        </w:tc>
        <w:tc>
          <w:tcPr>
            <w:tcW w:w="1711" w:type="dxa"/>
            <w:gridSpan w:val="2"/>
          </w:tcPr>
          <w:p w:rsidR="002B5DAE" w:rsidRPr="00832F88" w:rsidRDefault="002B5DAE" w:rsidP="001352B1">
            <w:pPr>
              <w:pStyle w:val="TableParagraph"/>
              <w:spacing w:line="240" w:lineRule="auto"/>
              <w:ind w:left="398"/>
            </w:pPr>
            <w:r w:rsidRPr="00832F88">
              <w:t>(7.298)***</w:t>
            </w:r>
          </w:p>
        </w:tc>
        <w:tc>
          <w:tcPr>
            <w:tcW w:w="2055" w:type="dxa"/>
          </w:tcPr>
          <w:p w:rsidR="002B5DAE" w:rsidRPr="00832F88" w:rsidRDefault="002B5DAE" w:rsidP="001352B1">
            <w:pPr>
              <w:pStyle w:val="TableParagraph"/>
              <w:spacing w:line="240" w:lineRule="auto"/>
              <w:ind w:left="361"/>
            </w:pPr>
            <w:r w:rsidRPr="00832F88">
              <w:t>(3.149)***</w:t>
            </w:r>
          </w:p>
        </w:tc>
      </w:tr>
      <w:tr w:rsidR="002B5DAE" w:rsidRPr="00832F88" w:rsidTr="001352B1">
        <w:trPr>
          <w:trHeight w:val="225"/>
        </w:trPr>
        <w:tc>
          <w:tcPr>
            <w:tcW w:w="1970" w:type="dxa"/>
            <w:gridSpan w:val="3"/>
          </w:tcPr>
          <w:p w:rsidR="002B5DAE" w:rsidRPr="00832F88" w:rsidRDefault="002B5DAE" w:rsidP="001352B1">
            <w:pPr>
              <w:pStyle w:val="TableParagraph"/>
              <w:spacing w:line="240" w:lineRule="auto"/>
            </w:pPr>
          </w:p>
        </w:tc>
        <w:tc>
          <w:tcPr>
            <w:tcW w:w="1514" w:type="dxa"/>
          </w:tcPr>
          <w:p w:rsidR="002B5DAE" w:rsidRPr="00832F88" w:rsidRDefault="002B5DAE" w:rsidP="001352B1">
            <w:pPr>
              <w:pStyle w:val="TableParagraph"/>
              <w:spacing w:line="240" w:lineRule="auto"/>
              <w:ind w:left="329"/>
            </w:pPr>
            <w:r w:rsidRPr="00832F88">
              <w:t>{0.000}</w:t>
            </w:r>
          </w:p>
        </w:tc>
        <w:tc>
          <w:tcPr>
            <w:tcW w:w="1684" w:type="dxa"/>
            <w:gridSpan w:val="2"/>
          </w:tcPr>
          <w:p w:rsidR="002B5DAE" w:rsidRPr="00832F88" w:rsidRDefault="002B5DAE" w:rsidP="001352B1">
            <w:pPr>
              <w:pStyle w:val="TableParagraph"/>
              <w:spacing w:line="240" w:lineRule="auto"/>
              <w:ind w:left="435"/>
            </w:pPr>
            <w:r w:rsidRPr="00832F88">
              <w:t>{0.001}</w:t>
            </w:r>
          </w:p>
        </w:tc>
        <w:tc>
          <w:tcPr>
            <w:tcW w:w="1760" w:type="dxa"/>
            <w:gridSpan w:val="2"/>
          </w:tcPr>
          <w:p w:rsidR="002B5DAE" w:rsidRPr="00832F88" w:rsidRDefault="002B5DAE" w:rsidP="001352B1">
            <w:pPr>
              <w:pStyle w:val="TableParagraph"/>
              <w:spacing w:line="240" w:lineRule="auto"/>
              <w:ind w:left="499"/>
            </w:pPr>
            <w:r w:rsidRPr="00832F88">
              <w:t>{0.000}</w:t>
            </w:r>
          </w:p>
        </w:tc>
        <w:tc>
          <w:tcPr>
            <w:tcW w:w="2105" w:type="dxa"/>
            <w:gridSpan w:val="2"/>
          </w:tcPr>
          <w:p w:rsidR="002B5DAE" w:rsidRPr="00832F88" w:rsidRDefault="002B5DAE" w:rsidP="001352B1">
            <w:pPr>
              <w:pStyle w:val="TableParagraph"/>
              <w:spacing w:line="240" w:lineRule="auto"/>
              <w:ind w:left="412"/>
            </w:pPr>
            <w:r w:rsidRPr="00832F88">
              <w:t>{0.002}</w:t>
            </w:r>
          </w:p>
        </w:tc>
      </w:tr>
      <w:tr w:rsidR="002B5DAE" w:rsidRPr="00832F88" w:rsidTr="001352B1">
        <w:trPr>
          <w:trHeight w:val="230"/>
        </w:trPr>
        <w:tc>
          <w:tcPr>
            <w:tcW w:w="1970" w:type="dxa"/>
            <w:gridSpan w:val="3"/>
          </w:tcPr>
          <w:p w:rsidR="002B5DAE" w:rsidRPr="00832F88" w:rsidRDefault="002B5DAE" w:rsidP="001352B1">
            <w:pPr>
              <w:pStyle w:val="TableParagraph"/>
              <w:spacing w:line="240" w:lineRule="auto"/>
              <w:ind w:left="122"/>
            </w:pPr>
            <w:r w:rsidRPr="00832F88">
              <w:t>FSZ</w:t>
            </w:r>
          </w:p>
        </w:tc>
        <w:tc>
          <w:tcPr>
            <w:tcW w:w="1514" w:type="dxa"/>
          </w:tcPr>
          <w:p w:rsidR="002B5DAE" w:rsidRPr="00832F88" w:rsidRDefault="002B5DAE" w:rsidP="001352B1">
            <w:pPr>
              <w:pStyle w:val="TableParagraph"/>
              <w:spacing w:line="240" w:lineRule="auto"/>
              <w:ind w:left="329"/>
            </w:pPr>
            <w:r w:rsidRPr="00832F88">
              <w:t>0.029</w:t>
            </w:r>
          </w:p>
        </w:tc>
        <w:tc>
          <w:tcPr>
            <w:tcW w:w="1684" w:type="dxa"/>
            <w:gridSpan w:val="2"/>
          </w:tcPr>
          <w:p w:rsidR="002B5DAE" w:rsidRPr="00832F88" w:rsidRDefault="002B5DAE" w:rsidP="001352B1">
            <w:pPr>
              <w:pStyle w:val="TableParagraph"/>
              <w:spacing w:line="240" w:lineRule="auto"/>
              <w:ind w:left="435"/>
            </w:pPr>
            <w:r w:rsidRPr="00832F88">
              <w:t>1.384</w:t>
            </w:r>
          </w:p>
        </w:tc>
        <w:tc>
          <w:tcPr>
            <w:tcW w:w="1760" w:type="dxa"/>
            <w:gridSpan w:val="2"/>
          </w:tcPr>
          <w:p w:rsidR="002B5DAE" w:rsidRPr="00832F88" w:rsidRDefault="002B5DAE" w:rsidP="001352B1">
            <w:pPr>
              <w:pStyle w:val="TableParagraph"/>
              <w:spacing w:line="240" w:lineRule="auto"/>
              <w:ind w:left="499"/>
            </w:pPr>
            <w:r w:rsidRPr="00832F88">
              <w:t>0.012</w:t>
            </w:r>
          </w:p>
        </w:tc>
        <w:tc>
          <w:tcPr>
            <w:tcW w:w="2105" w:type="dxa"/>
            <w:gridSpan w:val="2"/>
          </w:tcPr>
          <w:p w:rsidR="002B5DAE" w:rsidRPr="00832F88" w:rsidRDefault="002B5DAE" w:rsidP="001352B1">
            <w:pPr>
              <w:pStyle w:val="TableParagraph"/>
              <w:spacing w:line="240" w:lineRule="auto"/>
              <w:ind w:left="412"/>
            </w:pPr>
            <w:r w:rsidRPr="00832F88">
              <w:t>0.614</w:t>
            </w:r>
          </w:p>
        </w:tc>
      </w:tr>
      <w:tr w:rsidR="002B5DAE" w:rsidRPr="00832F88" w:rsidTr="001352B1">
        <w:trPr>
          <w:trHeight w:val="229"/>
        </w:trPr>
        <w:tc>
          <w:tcPr>
            <w:tcW w:w="1970" w:type="dxa"/>
            <w:gridSpan w:val="3"/>
          </w:tcPr>
          <w:p w:rsidR="002B5DAE" w:rsidRPr="00832F88" w:rsidRDefault="002B5DAE" w:rsidP="001352B1">
            <w:pPr>
              <w:pStyle w:val="TableParagraph"/>
              <w:spacing w:line="240" w:lineRule="auto"/>
            </w:pPr>
          </w:p>
        </w:tc>
        <w:tc>
          <w:tcPr>
            <w:tcW w:w="1514" w:type="dxa"/>
          </w:tcPr>
          <w:p w:rsidR="002B5DAE" w:rsidRPr="00832F88" w:rsidRDefault="002B5DAE" w:rsidP="001352B1">
            <w:pPr>
              <w:pStyle w:val="TableParagraph"/>
              <w:spacing w:line="240" w:lineRule="auto"/>
              <w:ind w:left="329"/>
            </w:pPr>
            <w:r w:rsidRPr="00832F88">
              <w:t>(1.438)</w:t>
            </w:r>
          </w:p>
        </w:tc>
        <w:tc>
          <w:tcPr>
            <w:tcW w:w="1684" w:type="dxa"/>
            <w:gridSpan w:val="2"/>
          </w:tcPr>
          <w:p w:rsidR="002B5DAE" w:rsidRPr="00832F88" w:rsidRDefault="002B5DAE" w:rsidP="001352B1">
            <w:pPr>
              <w:pStyle w:val="TableParagraph"/>
              <w:spacing w:line="240" w:lineRule="auto"/>
              <w:ind w:left="435"/>
            </w:pPr>
            <w:r w:rsidRPr="00832F88">
              <w:t>(0.949)</w:t>
            </w:r>
          </w:p>
        </w:tc>
        <w:tc>
          <w:tcPr>
            <w:tcW w:w="1760" w:type="dxa"/>
            <w:gridSpan w:val="2"/>
          </w:tcPr>
          <w:p w:rsidR="002B5DAE" w:rsidRPr="00832F88" w:rsidRDefault="002B5DAE" w:rsidP="001352B1">
            <w:pPr>
              <w:pStyle w:val="TableParagraph"/>
              <w:spacing w:line="240" w:lineRule="auto"/>
              <w:ind w:left="499"/>
            </w:pPr>
            <w:r w:rsidRPr="00832F88">
              <w:t>(1.508)</w:t>
            </w:r>
          </w:p>
        </w:tc>
        <w:tc>
          <w:tcPr>
            <w:tcW w:w="2105" w:type="dxa"/>
            <w:gridSpan w:val="2"/>
          </w:tcPr>
          <w:p w:rsidR="002B5DAE" w:rsidRPr="00832F88" w:rsidRDefault="002B5DAE" w:rsidP="001352B1">
            <w:pPr>
              <w:pStyle w:val="TableParagraph"/>
              <w:spacing w:line="240" w:lineRule="auto"/>
              <w:ind w:left="412"/>
            </w:pPr>
            <w:r w:rsidRPr="00832F88">
              <w:t>(1.219)</w:t>
            </w:r>
          </w:p>
        </w:tc>
      </w:tr>
      <w:tr w:rsidR="002B5DAE" w:rsidRPr="00832F88" w:rsidTr="001352B1">
        <w:trPr>
          <w:trHeight w:val="229"/>
        </w:trPr>
        <w:tc>
          <w:tcPr>
            <w:tcW w:w="1970" w:type="dxa"/>
            <w:gridSpan w:val="3"/>
          </w:tcPr>
          <w:p w:rsidR="002B5DAE" w:rsidRPr="00832F88" w:rsidRDefault="002B5DAE" w:rsidP="001352B1">
            <w:pPr>
              <w:pStyle w:val="TableParagraph"/>
              <w:spacing w:line="240" w:lineRule="auto"/>
            </w:pPr>
          </w:p>
        </w:tc>
        <w:tc>
          <w:tcPr>
            <w:tcW w:w="1514" w:type="dxa"/>
          </w:tcPr>
          <w:p w:rsidR="002B5DAE" w:rsidRPr="00832F88" w:rsidRDefault="002B5DAE" w:rsidP="001352B1">
            <w:pPr>
              <w:pStyle w:val="TableParagraph"/>
              <w:spacing w:line="240" w:lineRule="auto"/>
              <w:ind w:left="329"/>
            </w:pPr>
            <w:r w:rsidRPr="00832F88">
              <w:t>{0.154}</w:t>
            </w:r>
          </w:p>
        </w:tc>
        <w:tc>
          <w:tcPr>
            <w:tcW w:w="1684" w:type="dxa"/>
            <w:gridSpan w:val="2"/>
          </w:tcPr>
          <w:p w:rsidR="002B5DAE" w:rsidRPr="00832F88" w:rsidRDefault="002B5DAE" w:rsidP="001352B1">
            <w:pPr>
              <w:pStyle w:val="TableParagraph"/>
              <w:spacing w:line="240" w:lineRule="auto"/>
              <w:ind w:left="435"/>
            </w:pPr>
            <w:r w:rsidRPr="00832F88">
              <w:t>{0.345}</w:t>
            </w:r>
          </w:p>
        </w:tc>
        <w:tc>
          <w:tcPr>
            <w:tcW w:w="1760" w:type="dxa"/>
            <w:gridSpan w:val="2"/>
          </w:tcPr>
          <w:p w:rsidR="002B5DAE" w:rsidRPr="00832F88" w:rsidRDefault="002B5DAE" w:rsidP="001352B1">
            <w:pPr>
              <w:pStyle w:val="TableParagraph"/>
              <w:spacing w:line="240" w:lineRule="auto"/>
              <w:ind w:left="499"/>
            </w:pPr>
            <w:r w:rsidRPr="00832F88">
              <w:t>{0.134}</w:t>
            </w:r>
          </w:p>
        </w:tc>
        <w:tc>
          <w:tcPr>
            <w:tcW w:w="2105" w:type="dxa"/>
            <w:gridSpan w:val="2"/>
          </w:tcPr>
          <w:p w:rsidR="002B5DAE" w:rsidRPr="00832F88" w:rsidRDefault="002B5DAE" w:rsidP="001352B1">
            <w:pPr>
              <w:pStyle w:val="TableParagraph"/>
              <w:spacing w:line="240" w:lineRule="auto"/>
              <w:ind w:left="412"/>
            </w:pPr>
            <w:r w:rsidRPr="00832F88">
              <w:t>{0.225}</w:t>
            </w:r>
          </w:p>
        </w:tc>
      </w:tr>
      <w:tr w:rsidR="002B5DAE" w:rsidRPr="00832F88" w:rsidTr="001352B1">
        <w:trPr>
          <w:trHeight w:val="230"/>
        </w:trPr>
        <w:tc>
          <w:tcPr>
            <w:tcW w:w="1970" w:type="dxa"/>
            <w:gridSpan w:val="3"/>
          </w:tcPr>
          <w:p w:rsidR="002B5DAE" w:rsidRPr="00832F88" w:rsidRDefault="002B5DAE" w:rsidP="001352B1">
            <w:pPr>
              <w:pStyle w:val="TableParagraph"/>
              <w:spacing w:line="240" w:lineRule="auto"/>
              <w:ind w:left="122"/>
            </w:pPr>
            <w:r w:rsidRPr="00832F88">
              <w:t>LEV</w:t>
            </w:r>
          </w:p>
        </w:tc>
        <w:tc>
          <w:tcPr>
            <w:tcW w:w="1514" w:type="dxa"/>
          </w:tcPr>
          <w:p w:rsidR="002B5DAE" w:rsidRPr="00832F88" w:rsidRDefault="002B5DAE" w:rsidP="001352B1">
            <w:pPr>
              <w:pStyle w:val="TableParagraph"/>
              <w:spacing w:line="240" w:lineRule="auto"/>
              <w:ind w:left="329"/>
            </w:pPr>
            <w:r w:rsidRPr="00832F88">
              <w:t>0.059</w:t>
            </w:r>
          </w:p>
        </w:tc>
        <w:tc>
          <w:tcPr>
            <w:tcW w:w="1684" w:type="dxa"/>
            <w:gridSpan w:val="2"/>
          </w:tcPr>
          <w:p w:rsidR="002B5DAE" w:rsidRPr="00832F88" w:rsidRDefault="002B5DAE" w:rsidP="001352B1">
            <w:pPr>
              <w:pStyle w:val="TableParagraph"/>
              <w:spacing w:line="240" w:lineRule="auto"/>
              <w:ind w:left="435"/>
            </w:pPr>
            <w:r w:rsidRPr="00832F88">
              <w:t>5.560</w:t>
            </w:r>
          </w:p>
        </w:tc>
        <w:tc>
          <w:tcPr>
            <w:tcW w:w="1760" w:type="dxa"/>
            <w:gridSpan w:val="2"/>
          </w:tcPr>
          <w:p w:rsidR="002B5DAE" w:rsidRPr="00832F88" w:rsidRDefault="002B5DAE" w:rsidP="001352B1">
            <w:pPr>
              <w:pStyle w:val="TableParagraph"/>
              <w:spacing w:line="240" w:lineRule="auto"/>
              <w:ind w:left="499"/>
            </w:pPr>
            <w:r w:rsidRPr="00832F88">
              <w:t>0.078</w:t>
            </w:r>
          </w:p>
        </w:tc>
        <w:tc>
          <w:tcPr>
            <w:tcW w:w="2105" w:type="dxa"/>
            <w:gridSpan w:val="2"/>
          </w:tcPr>
          <w:p w:rsidR="002B5DAE" w:rsidRPr="00832F88" w:rsidRDefault="002B5DAE" w:rsidP="001352B1">
            <w:pPr>
              <w:pStyle w:val="TableParagraph"/>
              <w:spacing w:line="240" w:lineRule="auto"/>
              <w:ind w:left="412"/>
            </w:pPr>
            <w:r w:rsidRPr="00832F88">
              <w:t>5.020</w:t>
            </w:r>
          </w:p>
        </w:tc>
      </w:tr>
      <w:tr w:rsidR="002B5DAE" w:rsidRPr="00832F88" w:rsidTr="001352B1">
        <w:trPr>
          <w:trHeight w:val="230"/>
        </w:trPr>
        <w:tc>
          <w:tcPr>
            <w:tcW w:w="1970" w:type="dxa"/>
            <w:gridSpan w:val="3"/>
          </w:tcPr>
          <w:p w:rsidR="002B5DAE" w:rsidRPr="00832F88" w:rsidRDefault="002B5DAE" w:rsidP="001352B1">
            <w:pPr>
              <w:pStyle w:val="TableParagraph"/>
              <w:spacing w:line="240" w:lineRule="auto"/>
            </w:pPr>
          </w:p>
        </w:tc>
        <w:tc>
          <w:tcPr>
            <w:tcW w:w="1514" w:type="dxa"/>
          </w:tcPr>
          <w:p w:rsidR="002B5DAE" w:rsidRPr="00832F88" w:rsidRDefault="002B5DAE" w:rsidP="001352B1">
            <w:pPr>
              <w:pStyle w:val="TableParagraph"/>
              <w:spacing w:line="240" w:lineRule="auto"/>
              <w:ind w:left="329"/>
            </w:pPr>
            <w:r w:rsidRPr="00832F88">
              <w:t>(1.002)</w:t>
            </w:r>
          </w:p>
        </w:tc>
        <w:tc>
          <w:tcPr>
            <w:tcW w:w="1684" w:type="dxa"/>
            <w:gridSpan w:val="2"/>
          </w:tcPr>
          <w:p w:rsidR="002B5DAE" w:rsidRPr="00832F88" w:rsidRDefault="002B5DAE" w:rsidP="001352B1">
            <w:pPr>
              <w:pStyle w:val="TableParagraph"/>
              <w:spacing w:line="240" w:lineRule="auto"/>
              <w:ind w:left="435"/>
            </w:pPr>
            <w:r w:rsidRPr="00832F88">
              <w:t>(1.315)</w:t>
            </w:r>
          </w:p>
        </w:tc>
        <w:tc>
          <w:tcPr>
            <w:tcW w:w="1760" w:type="dxa"/>
            <w:gridSpan w:val="2"/>
          </w:tcPr>
          <w:p w:rsidR="002B5DAE" w:rsidRPr="00832F88" w:rsidRDefault="002B5DAE" w:rsidP="001352B1">
            <w:pPr>
              <w:pStyle w:val="TableParagraph"/>
              <w:spacing w:line="240" w:lineRule="auto"/>
              <w:ind w:left="499"/>
            </w:pPr>
            <w:r w:rsidRPr="00832F88">
              <w:t>(1.761)*</w:t>
            </w:r>
          </w:p>
        </w:tc>
        <w:tc>
          <w:tcPr>
            <w:tcW w:w="2105" w:type="dxa"/>
            <w:gridSpan w:val="2"/>
          </w:tcPr>
          <w:p w:rsidR="002B5DAE" w:rsidRPr="00832F88" w:rsidRDefault="002B5DAE" w:rsidP="001352B1">
            <w:pPr>
              <w:pStyle w:val="TableParagraph"/>
              <w:spacing w:line="240" w:lineRule="auto"/>
              <w:ind w:left="412"/>
            </w:pPr>
            <w:r w:rsidRPr="00832F88">
              <w:t>(1.633)</w:t>
            </w:r>
          </w:p>
        </w:tc>
      </w:tr>
      <w:tr w:rsidR="002B5DAE" w:rsidRPr="00832F88" w:rsidTr="001352B1">
        <w:trPr>
          <w:trHeight w:val="210"/>
        </w:trPr>
        <w:tc>
          <w:tcPr>
            <w:tcW w:w="1970" w:type="dxa"/>
            <w:gridSpan w:val="3"/>
          </w:tcPr>
          <w:p w:rsidR="002B5DAE" w:rsidRPr="00832F88" w:rsidRDefault="002B5DAE" w:rsidP="001352B1">
            <w:pPr>
              <w:pStyle w:val="TableParagraph"/>
              <w:spacing w:line="240" w:lineRule="auto"/>
            </w:pPr>
          </w:p>
        </w:tc>
        <w:tc>
          <w:tcPr>
            <w:tcW w:w="1514" w:type="dxa"/>
          </w:tcPr>
          <w:p w:rsidR="002B5DAE" w:rsidRPr="00832F88" w:rsidRDefault="002B5DAE" w:rsidP="001352B1">
            <w:pPr>
              <w:pStyle w:val="TableParagraph"/>
              <w:spacing w:line="240" w:lineRule="auto"/>
              <w:ind w:left="329"/>
            </w:pPr>
            <w:r w:rsidRPr="00832F88">
              <w:t>{0.319}</w:t>
            </w:r>
          </w:p>
        </w:tc>
        <w:tc>
          <w:tcPr>
            <w:tcW w:w="1684" w:type="dxa"/>
            <w:gridSpan w:val="2"/>
          </w:tcPr>
          <w:p w:rsidR="002B5DAE" w:rsidRPr="00832F88" w:rsidRDefault="002B5DAE" w:rsidP="001352B1">
            <w:pPr>
              <w:pStyle w:val="TableParagraph"/>
              <w:spacing w:line="240" w:lineRule="auto"/>
              <w:ind w:left="435"/>
            </w:pPr>
            <w:r w:rsidRPr="00832F88">
              <w:t>{0.192}</w:t>
            </w:r>
          </w:p>
        </w:tc>
        <w:tc>
          <w:tcPr>
            <w:tcW w:w="1760" w:type="dxa"/>
            <w:gridSpan w:val="2"/>
          </w:tcPr>
          <w:p w:rsidR="002B5DAE" w:rsidRPr="00832F88" w:rsidRDefault="002B5DAE" w:rsidP="001352B1">
            <w:pPr>
              <w:pStyle w:val="TableParagraph"/>
              <w:spacing w:line="240" w:lineRule="auto"/>
              <w:ind w:left="499"/>
            </w:pPr>
            <w:r w:rsidRPr="00832F88">
              <w:t>{0.081}</w:t>
            </w:r>
          </w:p>
        </w:tc>
        <w:tc>
          <w:tcPr>
            <w:tcW w:w="2105" w:type="dxa"/>
            <w:gridSpan w:val="2"/>
          </w:tcPr>
          <w:p w:rsidR="002B5DAE" w:rsidRPr="00832F88" w:rsidRDefault="002B5DAE" w:rsidP="001352B1">
            <w:pPr>
              <w:pStyle w:val="TableParagraph"/>
              <w:spacing w:line="240" w:lineRule="auto"/>
              <w:ind w:left="412"/>
            </w:pPr>
            <w:r w:rsidRPr="00832F88">
              <w:t>{0.105}</w:t>
            </w:r>
          </w:p>
        </w:tc>
      </w:tr>
      <w:tr w:rsidR="002B5DAE" w:rsidRPr="00832F88" w:rsidTr="001352B1">
        <w:trPr>
          <w:trHeight w:val="235"/>
        </w:trPr>
        <w:tc>
          <w:tcPr>
            <w:tcW w:w="1970" w:type="dxa"/>
            <w:gridSpan w:val="3"/>
          </w:tcPr>
          <w:p w:rsidR="002B5DAE" w:rsidRPr="00832F88" w:rsidRDefault="002B5DAE" w:rsidP="001352B1">
            <w:pPr>
              <w:pStyle w:val="TableParagraph"/>
              <w:spacing w:line="240" w:lineRule="auto"/>
              <w:ind w:left="122"/>
            </w:pPr>
            <w:r w:rsidRPr="00832F88">
              <w:rPr>
                <w:position w:val="-8"/>
              </w:rPr>
              <w:lastRenderedPageBreak/>
              <w:t>R</w:t>
            </w:r>
            <w:r w:rsidRPr="00832F88">
              <w:t>2</w:t>
            </w:r>
          </w:p>
        </w:tc>
        <w:tc>
          <w:tcPr>
            <w:tcW w:w="1514" w:type="dxa"/>
          </w:tcPr>
          <w:p w:rsidR="002B5DAE" w:rsidRPr="00832F88" w:rsidRDefault="002B5DAE" w:rsidP="001352B1">
            <w:pPr>
              <w:pStyle w:val="TableParagraph"/>
              <w:spacing w:line="240" w:lineRule="auto"/>
              <w:ind w:left="329"/>
            </w:pPr>
            <w:r w:rsidRPr="00832F88">
              <w:t>0.678</w:t>
            </w:r>
          </w:p>
        </w:tc>
        <w:tc>
          <w:tcPr>
            <w:tcW w:w="1684" w:type="dxa"/>
            <w:gridSpan w:val="2"/>
          </w:tcPr>
          <w:p w:rsidR="002B5DAE" w:rsidRPr="00832F88" w:rsidRDefault="002B5DAE" w:rsidP="001352B1">
            <w:pPr>
              <w:pStyle w:val="TableParagraph"/>
              <w:spacing w:line="240" w:lineRule="auto"/>
              <w:ind w:left="435"/>
            </w:pPr>
            <w:r w:rsidRPr="00832F88">
              <w:t>0.468</w:t>
            </w:r>
          </w:p>
        </w:tc>
        <w:tc>
          <w:tcPr>
            <w:tcW w:w="1760" w:type="dxa"/>
            <w:gridSpan w:val="2"/>
          </w:tcPr>
          <w:p w:rsidR="002B5DAE" w:rsidRPr="00832F88" w:rsidRDefault="002B5DAE" w:rsidP="001352B1">
            <w:pPr>
              <w:pStyle w:val="TableParagraph"/>
              <w:spacing w:line="240" w:lineRule="auto"/>
              <w:ind w:left="499"/>
            </w:pPr>
            <w:r w:rsidRPr="00832F88">
              <w:t>0.564</w:t>
            </w:r>
          </w:p>
        </w:tc>
        <w:tc>
          <w:tcPr>
            <w:tcW w:w="2105" w:type="dxa"/>
            <w:gridSpan w:val="2"/>
          </w:tcPr>
          <w:p w:rsidR="002B5DAE" w:rsidRPr="00832F88" w:rsidRDefault="002B5DAE" w:rsidP="001352B1">
            <w:pPr>
              <w:pStyle w:val="TableParagraph"/>
              <w:spacing w:line="240" w:lineRule="auto"/>
              <w:ind w:left="412"/>
            </w:pPr>
            <w:r w:rsidRPr="00832F88">
              <w:t>0.277</w:t>
            </w:r>
          </w:p>
        </w:tc>
      </w:tr>
      <w:tr w:rsidR="002B5DAE" w:rsidRPr="00832F88" w:rsidTr="001352B1">
        <w:trPr>
          <w:trHeight w:val="243"/>
        </w:trPr>
        <w:tc>
          <w:tcPr>
            <w:tcW w:w="1970" w:type="dxa"/>
            <w:gridSpan w:val="3"/>
          </w:tcPr>
          <w:p w:rsidR="002B5DAE" w:rsidRPr="00832F88" w:rsidRDefault="002B5DAE" w:rsidP="001352B1">
            <w:pPr>
              <w:pStyle w:val="TableParagraph"/>
              <w:spacing w:line="240" w:lineRule="auto"/>
              <w:ind w:left="122"/>
            </w:pPr>
            <w:r w:rsidRPr="00832F88">
              <w:t>Adjusted R</w:t>
            </w:r>
            <w:r w:rsidRPr="00832F88">
              <w:rPr>
                <w:vertAlign w:val="superscript"/>
              </w:rPr>
              <w:t>2</w:t>
            </w:r>
          </w:p>
        </w:tc>
        <w:tc>
          <w:tcPr>
            <w:tcW w:w="1514" w:type="dxa"/>
          </w:tcPr>
          <w:p w:rsidR="002B5DAE" w:rsidRPr="00832F88" w:rsidRDefault="002B5DAE" w:rsidP="001352B1">
            <w:pPr>
              <w:pStyle w:val="TableParagraph"/>
              <w:spacing w:line="240" w:lineRule="auto"/>
              <w:ind w:left="329"/>
            </w:pPr>
            <w:r w:rsidRPr="00832F88">
              <w:t>0.592</w:t>
            </w:r>
          </w:p>
        </w:tc>
        <w:tc>
          <w:tcPr>
            <w:tcW w:w="1684" w:type="dxa"/>
            <w:gridSpan w:val="2"/>
          </w:tcPr>
          <w:p w:rsidR="002B5DAE" w:rsidRPr="00832F88" w:rsidRDefault="002B5DAE" w:rsidP="001352B1">
            <w:pPr>
              <w:pStyle w:val="TableParagraph"/>
              <w:spacing w:line="240" w:lineRule="auto"/>
              <w:ind w:left="435"/>
            </w:pPr>
            <w:r w:rsidRPr="00832F88">
              <w:t>0.327</w:t>
            </w:r>
          </w:p>
        </w:tc>
        <w:tc>
          <w:tcPr>
            <w:tcW w:w="1760" w:type="dxa"/>
            <w:gridSpan w:val="2"/>
          </w:tcPr>
          <w:p w:rsidR="002B5DAE" w:rsidRPr="00832F88" w:rsidRDefault="002B5DAE" w:rsidP="001352B1">
            <w:pPr>
              <w:pStyle w:val="TableParagraph"/>
              <w:spacing w:line="240" w:lineRule="auto"/>
              <w:ind w:left="499"/>
            </w:pPr>
            <w:r w:rsidRPr="00832F88">
              <w:t>0.545</w:t>
            </w:r>
          </w:p>
        </w:tc>
        <w:tc>
          <w:tcPr>
            <w:tcW w:w="2105" w:type="dxa"/>
            <w:gridSpan w:val="2"/>
          </w:tcPr>
          <w:p w:rsidR="002B5DAE" w:rsidRPr="00832F88" w:rsidRDefault="002B5DAE" w:rsidP="001352B1">
            <w:pPr>
              <w:pStyle w:val="TableParagraph"/>
              <w:spacing w:line="240" w:lineRule="auto"/>
              <w:ind w:left="412"/>
            </w:pPr>
            <w:r w:rsidRPr="00832F88">
              <w:t>0.245</w:t>
            </w:r>
          </w:p>
        </w:tc>
      </w:tr>
      <w:tr w:rsidR="002B5DAE" w:rsidRPr="00832F88" w:rsidTr="001352B1">
        <w:trPr>
          <w:trHeight w:val="229"/>
        </w:trPr>
        <w:tc>
          <w:tcPr>
            <w:tcW w:w="1970" w:type="dxa"/>
            <w:gridSpan w:val="3"/>
          </w:tcPr>
          <w:p w:rsidR="002B5DAE" w:rsidRPr="00832F88" w:rsidRDefault="002B5DAE" w:rsidP="001352B1">
            <w:pPr>
              <w:pStyle w:val="TableParagraph"/>
              <w:spacing w:line="240" w:lineRule="auto"/>
              <w:ind w:left="122"/>
            </w:pPr>
            <w:r w:rsidRPr="00832F88">
              <w:t>Durbin-Watson</w:t>
            </w:r>
          </w:p>
        </w:tc>
        <w:tc>
          <w:tcPr>
            <w:tcW w:w="1514" w:type="dxa"/>
          </w:tcPr>
          <w:p w:rsidR="002B5DAE" w:rsidRPr="00832F88" w:rsidRDefault="002B5DAE" w:rsidP="001352B1">
            <w:pPr>
              <w:pStyle w:val="TableParagraph"/>
              <w:spacing w:line="240" w:lineRule="auto"/>
              <w:ind w:left="329"/>
            </w:pPr>
            <w:r w:rsidRPr="00832F88">
              <w:t>2.542</w:t>
            </w:r>
          </w:p>
        </w:tc>
        <w:tc>
          <w:tcPr>
            <w:tcW w:w="1684" w:type="dxa"/>
            <w:gridSpan w:val="2"/>
          </w:tcPr>
          <w:p w:rsidR="002B5DAE" w:rsidRPr="00832F88" w:rsidRDefault="002B5DAE" w:rsidP="001352B1">
            <w:pPr>
              <w:pStyle w:val="TableParagraph"/>
              <w:spacing w:line="240" w:lineRule="auto"/>
              <w:ind w:left="435"/>
            </w:pPr>
            <w:r w:rsidRPr="00832F88">
              <w:t>3.103</w:t>
            </w:r>
          </w:p>
        </w:tc>
        <w:tc>
          <w:tcPr>
            <w:tcW w:w="1760" w:type="dxa"/>
            <w:gridSpan w:val="2"/>
          </w:tcPr>
          <w:p w:rsidR="002B5DAE" w:rsidRPr="00832F88" w:rsidRDefault="002B5DAE" w:rsidP="001352B1">
            <w:pPr>
              <w:pStyle w:val="TableParagraph"/>
              <w:spacing w:line="240" w:lineRule="auto"/>
              <w:ind w:left="499"/>
            </w:pPr>
            <w:r w:rsidRPr="00832F88">
              <w:t>2.322</w:t>
            </w:r>
          </w:p>
        </w:tc>
        <w:tc>
          <w:tcPr>
            <w:tcW w:w="2105" w:type="dxa"/>
            <w:gridSpan w:val="2"/>
          </w:tcPr>
          <w:p w:rsidR="002B5DAE" w:rsidRPr="00832F88" w:rsidRDefault="002B5DAE" w:rsidP="001352B1">
            <w:pPr>
              <w:pStyle w:val="TableParagraph"/>
              <w:spacing w:line="240" w:lineRule="auto"/>
              <w:ind w:left="412"/>
            </w:pPr>
            <w:r w:rsidRPr="00832F88">
              <w:t>2.636</w:t>
            </w:r>
          </w:p>
        </w:tc>
      </w:tr>
      <w:tr w:rsidR="002B5DAE" w:rsidRPr="00832F88" w:rsidTr="001352B1">
        <w:trPr>
          <w:trHeight w:val="230"/>
        </w:trPr>
        <w:tc>
          <w:tcPr>
            <w:tcW w:w="1970" w:type="dxa"/>
            <w:gridSpan w:val="3"/>
          </w:tcPr>
          <w:p w:rsidR="002B5DAE" w:rsidRPr="00832F88" w:rsidRDefault="002B5DAE" w:rsidP="001352B1">
            <w:pPr>
              <w:pStyle w:val="TableParagraph"/>
              <w:spacing w:line="240" w:lineRule="auto"/>
              <w:ind w:left="122"/>
            </w:pPr>
            <w:r w:rsidRPr="00832F88">
              <w:t>F-stat</w:t>
            </w:r>
          </w:p>
        </w:tc>
        <w:tc>
          <w:tcPr>
            <w:tcW w:w="1514" w:type="dxa"/>
          </w:tcPr>
          <w:p w:rsidR="002B5DAE" w:rsidRPr="00832F88" w:rsidRDefault="002B5DAE" w:rsidP="001352B1">
            <w:pPr>
              <w:pStyle w:val="TableParagraph"/>
              <w:spacing w:line="240" w:lineRule="auto"/>
              <w:ind w:left="329"/>
            </w:pPr>
            <w:r w:rsidRPr="00832F88">
              <w:t>7.909***</w:t>
            </w:r>
          </w:p>
        </w:tc>
        <w:tc>
          <w:tcPr>
            <w:tcW w:w="1684" w:type="dxa"/>
            <w:gridSpan w:val="2"/>
          </w:tcPr>
          <w:p w:rsidR="002B5DAE" w:rsidRPr="00832F88" w:rsidRDefault="002B5DAE" w:rsidP="001352B1">
            <w:pPr>
              <w:pStyle w:val="TableParagraph"/>
              <w:spacing w:line="240" w:lineRule="auto"/>
              <w:ind w:left="435"/>
            </w:pPr>
            <w:r w:rsidRPr="00832F88">
              <w:t>3.308***</w:t>
            </w:r>
          </w:p>
        </w:tc>
        <w:tc>
          <w:tcPr>
            <w:tcW w:w="1760" w:type="dxa"/>
            <w:gridSpan w:val="2"/>
          </w:tcPr>
          <w:p w:rsidR="002B5DAE" w:rsidRPr="00832F88" w:rsidRDefault="002B5DAE" w:rsidP="001352B1">
            <w:pPr>
              <w:pStyle w:val="TableParagraph"/>
              <w:spacing w:line="240" w:lineRule="auto"/>
              <w:ind w:left="499"/>
            </w:pPr>
            <w:r w:rsidRPr="00832F88">
              <w:t>29.530***</w:t>
            </w:r>
          </w:p>
        </w:tc>
        <w:tc>
          <w:tcPr>
            <w:tcW w:w="2105" w:type="dxa"/>
            <w:gridSpan w:val="2"/>
          </w:tcPr>
          <w:p w:rsidR="002B5DAE" w:rsidRPr="00832F88" w:rsidRDefault="002B5DAE" w:rsidP="001352B1">
            <w:pPr>
              <w:pStyle w:val="TableParagraph"/>
              <w:spacing w:line="240" w:lineRule="auto"/>
              <w:ind w:left="412"/>
            </w:pPr>
            <w:r w:rsidRPr="00832F88">
              <w:t>8.732***</w:t>
            </w:r>
          </w:p>
        </w:tc>
      </w:tr>
      <w:tr w:rsidR="002B5DAE" w:rsidRPr="00832F88" w:rsidTr="001352B1">
        <w:trPr>
          <w:trHeight w:val="230"/>
        </w:trPr>
        <w:tc>
          <w:tcPr>
            <w:tcW w:w="1970" w:type="dxa"/>
            <w:gridSpan w:val="3"/>
          </w:tcPr>
          <w:p w:rsidR="002B5DAE" w:rsidRPr="00832F88" w:rsidRDefault="002B5DAE" w:rsidP="001352B1">
            <w:pPr>
              <w:pStyle w:val="TableParagraph"/>
              <w:spacing w:line="240" w:lineRule="auto"/>
            </w:pPr>
          </w:p>
        </w:tc>
        <w:tc>
          <w:tcPr>
            <w:tcW w:w="1514" w:type="dxa"/>
          </w:tcPr>
          <w:p w:rsidR="002B5DAE" w:rsidRPr="00832F88" w:rsidRDefault="002B5DAE" w:rsidP="001352B1">
            <w:pPr>
              <w:pStyle w:val="TableParagraph"/>
              <w:spacing w:line="240" w:lineRule="auto"/>
              <w:ind w:left="329"/>
            </w:pPr>
            <w:r w:rsidRPr="00832F88">
              <w:t>{0.000}</w:t>
            </w:r>
          </w:p>
        </w:tc>
        <w:tc>
          <w:tcPr>
            <w:tcW w:w="1684" w:type="dxa"/>
            <w:gridSpan w:val="2"/>
          </w:tcPr>
          <w:p w:rsidR="002B5DAE" w:rsidRPr="00832F88" w:rsidRDefault="002B5DAE" w:rsidP="001352B1">
            <w:pPr>
              <w:pStyle w:val="TableParagraph"/>
              <w:spacing w:line="240" w:lineRule="auto"/>
              <w:ind w:left="435"/>
            </w:pPr>
            <w:r w:rsidRPr="00832F88">
              <w:t>{0.000}</w:t>
            </w:r>
          </w:p>
        </w:tc>
        <w:tc>
          <w:tcPr>
            <w:tcW w:w="1760" w:type="dxa"/>
            <w:gridSpan w:val="2"/>
          </w:tcPr>
          <w:p w:rsidR="002B5DAE" w:rsidRPr="00832F88" w:rsidRDefault="002B5DAE" w:rsidP="001352B1">
            <w:pPr>
              <w:pStyle w:val="TableParagraph"/>
              <w:spacing w:line="240" w:lineRule="auto"/>
              <w:ind w:left="499"/>
            </w:pPr>
            <w:r w:rsidRPr="00832F88">
              <w:t>{0.000}</w:t>
            </w:r>
          </w:p>
        </w:tc>
        <w:tc>
          <w:tcPr>
            <w:tcW w:w="2105" w:type="dxa"/>
            <w:gridSpan w:val="2"/>
          </w:tcPr>
          <w:p w:rsidR="002B5DAE" w:rsidRPr="00832F88" w:rsidRDefault="002B5DAE" w:rsidP="001352B1">
            <w:pPr>
              <w:pStyle w:val="TableParagraph"/>
              <w:spacing w:line="240" w:lineRule="auto"/>
              <w:ind w:left="412"/>
            </w:pPr>
            <w:r w:rsidRPr="00832F88">
              <w:t>{0.000}</w:t>
            </w:r>
          </w:p>
        </w:tc>
      </w:tr>
      <w:tr w:rsidR="002B5DAE" w:rsidRPr="00832F88" w:rsidTr="001352B1">
        <w:trPr>
          <w:trHeight w:val="232"/>
        </w:trPr>
        <w:tc>
          <w:tcPr>
            <w:tcW w:w="1970" w:type="dxa"/>
            <w:gridSpan w:val="3"/>
            <w:tcBorders>
              <w:bottom w:val="single" w:sz="4" w:space="0" w:color="000000"/>
            </w:tcBorders>
          </w:tcPr>
          <w:p w:rsidR="002B5DAE" w:rsidRPr="00832F88" w:rsidRDefault="002B5DAE" w:rsidP="001352B1">
            <w:pPr>
              <w:pStyle w:val="TableParagraph"/>
              <w:spacing w:line="240" w:lineRule="auto"/>
              <w:ind w:left="122"/>
            </w:pPr>
            <w:r w:rsidRPr="00832F88">
              <w:t>No of observations</w:t>
            </w:r>
          </w:p>
        </w:tc>
        <w:tc>
          <w:tcPr>
            <w:tcW w:w="1514" w:type="dxa"/>
            <w:tcBorders>
              <w:bottom w:val="single" w:sz="4" w:space="0" w:color="000000"/>
            </w:tcBorders>
          </w:tcPr>
          <w:p w:rsidR="002B5DAE" w:rsidRPr="00832F88" w:rsidRDefault="002B5DAE" w:rsidP="001352B1">
            <w:pPr>
              <w:pStyle w:val="TableParagraph"/>
              <w:spacing w:line="240" w:lineRule="auto"/>
              <w:ind w:left="329"/>
            </w:pPr>
            <w:r w:rsidRPr="00832F88">
              <w:t>120</w:t>
            </w:r>
          </w:p>
        </w:tc>
        <w:tc>
          <w:tcPr>
            <w:tcW w:w="1684" w:type="dxa"/>
            <w:gridSpan w:val="2"/>
            <w:tcBorders>
              <w:bottom w:val="single" w:sz="4" w:space="0" w:color="000000"/>
            </w:tcBorders>
          </w:tcPr>
          <w:p w:rsidR="002B5DAE" w:rsidRPr="00832F88" w:rsidRDefault="002B5DAE" w:rsidP="001352B1">
            <w:pPr>
              <w:pStyle w:val="TableParagraph"/>
              <w:spacing w:line="240" w:lineRule="auto"/>
              <w:ind w:left="435"/>
            </w:pPr>
            <w:r w:rsidRPr="00832F88">
              <w:t>120</w:t>
            </w:r>
          </w:p>
        </w:tc>
        <w:tc>
          <w:tcPr>
            <w:tcW w:w="1760" w:type="dxa"/>
            <w:gridSpan w:val="2"/>
            <w:tcBorders>
              <w:bottom w:val="single" w:sz="4" w:space="0" w:color="000000"/>
            </w:tcBorders>
          </w:tcPr>
          <w:p w:rsidR="002B5DAE" w:rsidRPr="00832F88" w:rsidRDefault="002B5DAE" w:rsidP="001352B1">
            <w:pPr>
              <w:pStyle w:val="TableParagraph"/>
              <w:spacing w:line="240" w:lineRule="auto"/>
              <w:ind w:left="499"/>
            </w:pPr>
            <w:r w:rsidRPr="00832F88">
              <w:t>120</w:t>
            </w:r>
          </w:p>
        </w:tc>
        <w:tc>
          <w:tcPr>
            <w:tcW w:w="2105" w:type="dxa"/>
            <w:gridSpan w:val="2"/>
            <w:tcBorders>
              <w:bottom w:val="single" w:sz="4" w:space="0" w:color="000000"/>
            </w:tcBorders>
          </w:tcPr>
          <w:p w:rsidR="002B5DAE" w:rsidRPr="00832F88" w:rsidRDefault="002B5DAE" w:rsidP="001352B1">
            <w:pPr>
              <w:pStyle w:val="TableParagraph"/>
              <w:spacing w:line="240" w:lineRule="auto"/>
              <w:ind w:left="412"/>
            </w:pPr>
            <w:r w:rsidRPr="00832F88">
              <w:t>120</w:t>
            </w:r>
          </w:p>
        </w:tc>
      </w:tr>
    </w:tbl>
    <w:p w:rsidR="002B5DAE" w:rsidRPr="00832F88" w:rsidRDefault="002B5DAE" w:rsidP="002B5DAE">
      <w:pPr>
        <w:pStyle w:val="BodyText"/>
        <w:ind w:left="0"/>
        <w:jc w:val="left"/>
        <w:rPr>
          <w:b/>
          <w:sz w:val="22"/>
          <w:szCs w:val="22"/>
        </w:rPr>
      </w:pPr>
    </w:p>
    <w:p w:rsidR="002B5DAE" w:rsidRPr="00832F88" w:rsidRDefault="002B5DAE" w:rsidP="002B5DAE">
      <w:pPr>
        <w:pStyle w:val="BodyText"/>
        <w:jc w:val="left"/>
        <w:rPr>
          <w:sz w:val="22"/>
          <w:szCs w:val="22"/>
        </w:rPr>
      </w:pPr>
      <w:r w:rsidRPr="00832F88">
        <w:rPr>
          <w:sz w:val="22"/>
          <w:szCs w:val="22"/>
        </w:rPr>
        <w:t>*, **, *** indicate significant at 10%, 5%, 1% levels, respectively</w:t>
      </w:r>
    </w:p>
    <w:p w:rsidR="002B5DAE" w:rsidRPr="00832F88" w:rsidRDefault="002B5DAE" w:rsidP="002B5DAE">
      <w:pPr>
        <w:pStyle w:val="BodyText"/>
        <w:ind w:right="2490"/>
        <w:jc w:val="left"/>
        <w:rPr>
          <w:sz w:val="22"/>
          <w:szCs w:val="22"/>
        </w:rPr>
      </w:pPr>
      <w:r w:rsidRPr="00832F88">
        <w:rPr>
          <w:sz w:val="22"/>
          <w:szCs w:val="22"/>
        </w:rPr>
        <w:t>The prob values are in parentheses style {} while t-stat values are in parentheses style ( ). Source: Researchers’ computation (2018)</w:t>
      </w:r>
    </w:p>
    <w:p w:rsidR="002B5DAE" w:rsidRPr="00832F88" w:rsidRDefault="002B5DAE" w:rsidP="002B5DAE">
      <w:pPr>
        <w:pStyle w:val="BodyText"/>
        <w:ind w:left="0"/>
        <w:jc w:val="left"/>
        <w:rPr>
          <w:sz w:val="22"/>
          <w:szCs w:val="22"/>
        </w:rPr>
      </w:pPr>
    </w:p>
    <w:p w:rsidR="002B5DAE" w:rsidRPr="00832F88" w:rsidRDefault="002B5DAE" w:rsidP="002B5DAE">
      <w:pPr>
        <w:pStyle w:val="Heading1"/>
        <w:numPr>
          <w:ilvl w:val="1"/>
          <w:numId w:val="14"/>
        </w:numPr>
        <w:tabs>
          <w:tab w:val="left" w:pos="961"/>
        </w:tabs>
        <w:jc w:val="both"/>
        <w:rPr>
          <w:sz w:val="22"/>
          <w:szCs w:val="22"/>
        </w:rPr>
      </w:pPr>
      <w:r w:rsidRPr="00832F88">
        <w:rPr>
          <w:sz w:val="22"/>
          <w:szCs w:val="22"/>
        </w:rPr>
        <w:t>Hausman’s</w:t>
      </w:r>
      <w:r w:rsidRPr="00832F88">
        <w:rPr>
          <w:spacing w:val="-2"/>
          <w:sz w:val="22"/>
          <w:szCs w:val="22"/>
        </w:rPr>
        <w:t xml:space="preserve"> </w:t>
      </w:r>
      <w:r w:rsidRPr="00832F88">
        <w:rPr>
          <w:sz w:val="22"/>
          <w:szCs w:val="22"/>
        </w:rPr>
        <w:t>Specification</w:t>
      </w:r>
    </w:p>
    <w:p w:rsidR="002B5DAE" w:rsidRPr="00832F88" w:rsidRDefault="002B5DAE" w:rsidP="002B5DAE">
      <w:pPr>
        <w:pStyle w:val="BodyText"/>
        <w:ind w:right="614"/>
        <w:rPr>
          <w:sz w:val="22"/>
          <w:szCs w:val="22"/>
        </w:rPr>
      </w:pPr>
      <w:r w:rsidRPr="00832F88">
        <w:rPr>
          <w:sz w:val="22"/>
          <w:szCs w:val="22"/>
        </w:rPr>
        <w:t>In order to determine which of the results of the two regressions (Fixed effects and Random effects models) is appropriate for purpose of valid inference, the Hausman’s(1978) specification test was conducted. Table 6presents the result of Hausman’s specification test.</w:t>
      </w:r>
    </w:p>
    <w:p w:rsidR="002B5DAE" w:rsidRPr="00832F88" w:rsidRDefault="002B5DAE" w:rsidP="002B5DAE">
      <w:pPr>
        <w:pStyle w:val="Heading1"/>
        <w:ind w:left="240" w:firstLine="0"/>
        <w:jc w:val="both"/>
        <w:rPr>
          <w:sz w:val="22"/>
          <w:szCs w:val="22"/>
        </w:rPr>
      </w:pPr>
      <w:r w:rsidRPr="00832F88">
        <w:rPr>
          <w:sz w:val="22"/>
          <w:szCs w:val="22"/>
        </w:rPr>
        <w:t>Table 26:Hausman’s Specification Result</w:t>
      </w:r>
    </w:p>
    <w:p w:rsidR="002B5DAE" w:rsidRPr="00832F88" w:rsidRDefault="002B5DAE" w:rsidP="002B5DAE">
      <w:pPr>
        <w:pStyle w:val="BodyText"/>
        <w:ind w:left="0"/>
        <w:jc w:val="left"/>
        <w:rPr>
          <w:b/>
          <w:sz w:val="22"/>
          <w:szCs w:val="22"/>
        </w:rPr>
      </w:pPr>
    </w:p>
    <w:tbl>
      <w:tblPr>
        <w:tblW w:w="0" w:type="auto"/>
        <w:tblInd w:w="125" w:type="dxa"/>
        <w:tblLayout w:type="fixed"/>
        <w:tblCellMar>
          <w:left w:w="0" w:type="dxa"/>
          <w:right w:w="0" w:type="dxa"/>
        </w:tblCellMar>
        <w:tblLook w:val="01E0"/>
      </w:tblPr>
      <w:tblGrid>
        <w:gridCol w:w="1319"/>
        <w:gridCol w:w="2037"/>
        <w:gridCol w:w="1881"/>
        <w:gridCol w:w="2013"/>
        <w:gridCol w:w="2010"/>
      </w:tblGrid>
      <w:tr w:rsidR="002B5DAE" w:rsidRPr="00832F88" w:rsidTr="001352B1">
        <w:trPr>
          <w:trHeight w:val="578"/>
        </w:trPr>
        <w:tc>
          <w:tcPr>
            <w:tcW w:w="1319" w:type="dxa"/>
            <w:tcBorders>
              <w:top w:val="single" w:sz="4" w:space="0" w:color="000000"/>
              <w:bottom w:val="single" w:sz="4" w:space="0" w:color="000000"/>
            </w:tcBorders>
          </w:tcPr>
          <w:p w:rsidR="002B5DAE" w:rsidRPr="00832F88" w:rsidRDefault="002B5DAE" w:rsidP="001352B1">
            <w:pPr>
              <w:pStyle w:val="TableParagraph"/>
              <w:spacing w:line="240" w:lineRule="auto"/>
              <w:ind w:left="122"/>
              <w:rPr>
                <w:b/>
              </w:rPr>
            </w:pPr>
            <w:r w:rsidRPr="00832F88">
              <w:rPr>
                <w:b/>
              </w:rPr>
              <w:t>Model</w:t>
            </w:r>
          </w:p>
        </w:tc>
        <w:tc>
          <w:tcPr>
            <w:tcW w:w="2037" w:type="dxa"/>
            <w:tcBorders>
              <w:top w:val="single" w:sz="4" w:space="0" w:color="000000"/>
              <w:bottom w:val="single" w:sz="4" w:space="0" w:color="000000"/>
            </w:tcBorders>
          </w:tcPr>
          <w:p w:rsidR="002B5DAE" w:rsidRPr="00832F88" w:rsidRDefault="002B5DAE" w:rsidP="001352B1">
            <w:pPr>
              <w:pStyle w:val="TableParagraph"/>
              <w:spacing w:line="240" w:lineRule="auto"/>
              <w:ind w:left="651" w:right="443"/>
              <w:rPr>
                <w:b/>
              </w:rPr>
            </w:pPr>
            <w:r w:rsidRPr="00832F88">
              <w:rPr>
                <w:b/>
              </w:rPr>
              <w:t>Dependent</w:t>
            </w:r>
            <w:r w:rsidRPr="00832F88">
              <w:rPr>
                <w:b/>
                <w:w w:val="99"/>
              </w:rPr>
              <w:t xml:space="preserve"> </w:t>
            </w:r>
            <w:r w:rsidRPr="00832F88">
              <w:rPr>
                <w:b/>
              </w:rPr>
              <w:t>Variable</w:t>
            </w:r>
          </w:p>
        </w:tc>
        <w:tc>
          <w:tcPr>
            <w:tcW w:w="1881" w:type="dxa"/>
            <w:tcBorders>
              <w:top w:val="single" w:sz="4" w:space="0" w:color="000000"/>
              <w:bottom w:val="single" w:sz="4" w:space="0" w:color="000000"/>
            </w:tcBorders>
          </w:tcPr>
          <w:p w:rsidR="002B5DAE" w:rsidRPr="00832F88" w:rsidRDefault="002B5DAE" w:rsidP="001352B1">
            <w:pPr>
              <w:pStyle w:val="TableParagraph"/>
              <w:spacing w:line="240" w:lineRule="auto"/>
              <w:ind w:left="462"/>
              <w:rPr>
                <w:b/>
              </w:rPr>
            </w:pPr>
            <w:r w:rsidRPr="00832F88">
              <w:rPr>
                <w:b/>
                <w:w w:val="95"/>
              </w:rPr>
              <w:t xml:space="preserve">Chi-Square </w:t>
            </w:r>
            <w:r w:rsidRPr="00832F88">
              <w:rPr>
                <w:b/>
              </w:rPr>
              <w:t>Statistic</w:t>
            </w:r>
          </w:p>
        </w:tc>
        <w:tc>
          <w:tcPr>
            <w:tcW w:w="2013" w:type="dxa"/>
            <w:tcBorders>
              <w:top w:val="single" w:sz="4" w:space="0" w:color="000000"/>
              <w:bottom w:val="single" w:sz="4" w:space="0" w:color="000000"/>
            </w:tcBorders>
          </w:tcPr>
          <w:p w:rsidR="002B5DAE" w:rsidRPr="00832F88" w:rsidRDefault="002B5DAE" w:rsidP="001352B1">
            <w:pPr>
              <w:pStyle w:val="TableParagraph"/>
              <w:spacing w:line="240" w:lineRule="auto"/>
              <w:ind w:left="430"/>
              <w:rPr>
                <w:b/>
              </w:rPr>
            </w:pPr>
            <w:r w:rsidRPr="00832F88">
              <w:rPr>
                <w:b/>
              </w:rPr>
              <w:t>Chi-Square d. f</w:t>
            </w:r>
          </w:p>
        </w:tc>
        <w:tc>
          <w:tcPr>
            <w:tcW w:w="2010" w:type="dxa"/>
            <w:tcBorders>
              <w:top w:val="single" w:sz="4" w:space="0" w:color="000000"/>
              <w:bottom w:val="single" w:sz="4" w:space="0" w:color="000000"/>
            </w:tcBorders>
          </w:tcPr>
          <w:p w:rsidR="002B5DAE" w:rsidRPr="00832F88" w:rsidRDefault="002B5DAE" w:rsidP="001352B1">
            <w:pPr>
              <w:pStyle w:val="TableParagraph"/>
              <w:spacing w:line="240" w:lineRule="auto"/>
              <w:ind w:left="265"/>
              <w:rPr>
                <w:b/>
              </w:rPr>
            </w:pPr>
            <w:r w:rsidRPr="00832F88">
              <w:rPr>
                <w:b/>
              </w:rPr>
              <w:t>Probability</w:t>
            </w:r>
          </w:p>
        </w:tc>
      </w:tr>
      <w:tr w:rsidR="002B5DAE" w:rsidRPr="00832F88" w:rsidTr="001352B1">
        <w:trPr>
          <w:trHeight w:val="288"/>
        </w:trPr>
        <w:tc>
          <w:tcPr>
            <w:tcW w:w="1319" w:type="dxa"/>
            <w:tcBorders>
              <w:top w:val="single" w:sz="4" w:space="0" w:color="000000"/>
            </w:tcBorders>
          </w:tcPr>
          <w:p w:rsidR="002B5DAE" w:rsidRPr="00832F88" w:rsidRDefault="002B5DAE" w:rsidP="001352B1">
            <w:pPr>
              <w:pStyle w:val="TableParagraph"/>
              <w:spacing w:line="240" w:lineRule="auto"/>
              <w:ind w:left="122"/>
            </w:pPr>
            <w:r w:rsidRPr="00832F88">
              <w:rPr>
                <w:w w:val="99"/>
              </w:rPr>
              <w:t>1</w:t>
            </w:r>
          </w:p>
        </w:tc>
        <w:tc>
          <w:tcPr>
            <w:tcW w:w="2037" w:type="dxa"/>
            <w:tcBorders>
              <w:top w:val="single" w:sz="4" w:space="0" w:color="000000"/>
            </w:tcBorders>
          </w:tcPr>
          <w:p w:rsidR="002B5DAE" w:rsidRPr="00832F88" w:rsidRDefault="002B5DAE" w:rsidP="001352B1">
            <w:pPr>
              <w:pStyle w:val="TableParagraph"/>
              <w:spacing w:line="240" w:lineRule="auto"/>
              <w:ind w:left="651"/>
            </w:pPr>
            <w:r w:rsidRPr="00832F88">
              <w:t>ROA</w:t>
            </w:r>
          </w:p>
        </w:tc>
        <w:tc>
          <w:tcPr>
            <w:tcW w:w="1881" w:type="dxa"/>
            <w:tcBorders>
              <w:top w:val="single" w:sz="4" w:space="0" w:color="000000"/>
            </w:tcBorders>
          </w:tcPr>
          <w:p w:rsidR="002B5DAE" w:rsidRPr="00832F88" w:rsidRDefault="002B5DAE" w:rsidP="001352B1">
            <w:pPr>
              <w:pStyle w:val="TableParagraph"/>
              <w:spacing w:line="240" w:lineRule="auto"/>
              <w:ind w:left="462"/>
            </w:pPr>
            <w:r w:rsidRPr="00832F88">
              <w:t>5.193</w:t>
            </w:r>
          </w:p>
        </w:tc>
        <w:tc>
          <w:tcPr>
            <w:tcW w:w="2013" w:type="dxa"/>
            <w:tcBorders>
              <w:top w:val="single" w:sz="4" w:space="0" w:color="000000"/>
            </w:tcBorders>
          </w:tcPr>
          <w:p w:rsidR="002B5DAE" w:rsidRPr="00832F88" w:rsidRDefault="002B5DAE" w:rsidP="001352B1">
            <w:pPr>
              <w:pStyle w:val="TableParagraph"/>
              <w:spacing w:line="240" w:lineRule="auto"/>
              <w:ind w:left="430"/>
            </w:pPr>
            <w:r w:rsidRPr="00832F88">
              <w:rPr>
                <w:w w:val="99"/>
              </w:rPr>
              <w:t>5</w:t>
            </w:r>
          </w:p>
        </w:tc>
        <w:tc>
          <w:tcPr>
            <w:tcW w:w="2010" w:type="dxa"/>
            <w:tcBorders>
              <w:top w:val="single" w:sz="4" w:space="0" w:color="000000"/>
            </w:tcBorders>
          </w:tcPr>
          <w:p w:rsidR="002B5DAE" w:rsidRPr="00832F88" w:rsidRDefault="002B5DAE" w:rsidP="001352B1">
            <w:pPr>
              <w:pStyle w:val="TableParagraph"/>
              <w:spacing w:line="240" w:lineRule="auto"/>
              <w:ind w:left="265"/>
            </w:pPr>
            <w:r w:rsidRPr="00832F88">
              <w:t>0.393</w:t>
            </w:r>
          </w:p>
        </w:tc>
      </w:tr>
      <w:tr w:rsidR="002B5DAE" w:rsidRPr="00832F88" w:rsidTr="001352B1">
        <w:trPr>
          <w:trHeight w:val="411"/>
        </w:trPr>
        <w:tc>
          <w:tcPr>
            <w:tcW w:w="1319" w:type="dxa"/>
            <w:tcBorders>
              <w:bottom w:val="single" w:sz="4" w:space="0" w:color="000000"/>
            </w:tcBorders>
          </w:tcPr>
          <w:p w:rsidR="002B5DAE" w:rsidRPr="00832F88" w:rsidRDefault="002B5DAE" w:rsidP="001352B1">
            <w:pPr>
              <w:pStyle w:val="TableParagraph"/>
              <w:spacing w:line="240" w:lineRule="auto"/>
              <w:ind w:left="122"/>
            </w:pPr>
            <w:r w:rsidRPr="00832F88">
              <w:rPr>
                <w:w w:val="99"/>
              </w:rPr>
              <w:t>2</w:t>
            </w:r>
          </w:p>
        </w:tc>
        <w:tc>
          <w:tcPr>
            <w:tcW w:w="2037" w:type="dxa"/>
            <w:tcBorders>
              <w:bottom w:val="single" w:sz="4" w:space="0" w:color="000000"/>
            </w:tcBorders>
          </w:tcPr>
          <w:p w:rsidR="002B5DAE" w:rsidRPr="00832F88" w:rsidRDefault="002B5DAE" w:rsidP="001352B1">
            <w:pPr>
              <w:pStyle w:val="TableParagraph"/>
              <w:spacing w:line="240" w:lineRule="auto"/>
              <w:ind w:left="651"/>
            </w:pPr>
            <w:r w:rsidRPr="00832F88">
              <w:t>ROE</w:t>
            </w:r>
          </w:p>
        </w:tc>
        <w:tc>
          <w:tcPr>
            <w:tcW w:w="1881" w:type="dxa"/>
            <w:tcBorders>
              <w:bottom w:val="single" w:sz="4" w:space="0" w:color="000000"/>
            </w:tcBorders>
          </w:tcPr>
          <w:p w:rsidR="002B5DAE" w:rsidRPr="00832F88" w:rsidRDefault="002B5DAE" w:rsidP="001352B1">
            <w:pPr>
              <w:pStyle w:val="TableParagraph"/>
              <w:spacing w:line="240" w:lineRule="auto"/>
              <w:ind w:left="462"/>
            </w:pPr>
            <w:r w:rsidRPr="00832F88">
              <w:t>4.742</w:t>
            </w:r>
          </w:p>
        </w:tc>
        <w:tc>
          <w:tcPr>
            <w:tcW w:w="2013" w:type="dxa"/>
            <w:tcBorders>
              <w:bottom w:val="single" w:sz="4" w:space="0" w:color="000000"/>
            </w:tcBorders>
          </w:tcPr>
          <w:p w:rsidR="002B5DAE" w:rsidRPr="00832F88" w:rsidRDefault="002B5DAE" w:rsidP="001352B1">
            <w:pPr>
              <w:pStyle w:val="TableParagraph"/>
              <w:spacing w:line="240" w:lineRule="auto"/>
              <w:ind w:left="430"/>
            </w:pPr>
            <w:r w:rsidRPr="00832F88">
              <w:rPr>
                <w:w w:val="99"/>
              </w:rPr>
              <w:t>5</w:t>
            </w:r>
          </w:p>
        </w:tc>
        <w:tc>
          <w:tcPr>
            <w:tcW w:w="2010" w:type="dxa"/>
            <w:tcBorders>
              <w:bottom w:val="single" w:sz="4" w:space="0" w:color="000000"/>
            </w:tcBorders>
          </w:tcPr>
          <w:p w:rsidR="002B5DAE" w:rsidRPr="00832F88" w:rsidRDefault="002B5DAE" w:rsidP="001352B1">
            <w:pPr>
              <w:pStyle w:val="TableParagraph"/>
              <w:spacing w:line="240" w:lineRule="auto"/>
              <w:ind w:left="265"/>
            </w:pPr>
            <w:r w:rsidRPr="00832F88">
              <w:t>0.448</w:t>
            </w:r>
          </w:p>
        </w:tc>
      </w:tr>
    </w:tbl>
    <w:p w:rsidR="002B5DAE" w:rsidRPr="00832F88" w:rsidRDefault="002B5DAE" w:rsidP="002B5DAE">
      <w:pPr>
        <w:pStyle w:val="BodyText"/>
        <w:rPr>
          <w:sz w:val="22"/>
          <w:szCs w:val="22"/>
        </w:rPr>
      </w:pPr>
      <w:r w:rsidRPr="00832F88">
        <w:rPr>
          <w:sz w:val="22"/>
          <w:szCs w:val="22"/>
        </w:rPr>
        <w:t>Source: Authors’ computation (</w:t>
      </w:r>
      <w:r>
        <w:rPr>
          <w:sz w:val="22"/>
          <w:szCs w:val="22"/>
        </w:rPr>
        <w:t>2023</w:t>
      </w:r>
      <w:r w:rsidRPr="00832F88">
        <w:rPr>
          <w:sz w:val="22"/>
          <w:szCs w:val="22"/>
        </w:rPr>
        <w:t>)</w:t>
      </w:r>
    </w:p>
    <w:p w:rsidR="002B5DAE" w:rsidRPr="00832F88" w:rsidRDefault="002B5DAE" w:rsidP="002B5DAE">
      <w:pPr>
        <w:pStyle w:val="BodyText"/>
        <w:ind w:right="618"/>
        <w:rPr>
          <w:sz w:val="22"/>
          <w:szCs w:val="22"/>
        </w:rPr>
      </w:pPr>
      <w:r w:rsidRPr="00832F88">
        <w:rPr>
          <w:sz w:val="22"/>
          <w:szCs w:val="22"/>
        </w:rPr>
        <w:t>According to Gujarati and Porter (2009), when the p-value is significant at 5% level, the Fixed effects model is more appropriate for valid inferences to be made. However, if the p-value is not significant at 5%, then the Random effects model is suitable to be used for inference.</w:t>
      </w:r>
    </w:p>
    <w:p w:rsidR="002B5DAE" w:rsidRPr="00832F88" w:rsidRDefault="002B5DAE" w:rsidP="002B5DAE">
      <w:pPr>
        <w:pStyle w:val="BodyText"/>
        <w:ind w:right="617"/>
        <w:rPr>
          <w:sz w:val="22"/>
          <w:szCs w:val="22"/>
        </w:rPr>
      </w:pPr>
      <w:r w:rsidRPr="00832F88">
        <w:rPr>
          <w:sz w:val="22"/>
          <w:szCs w:val="22"/>
        </w:rPr>
        <w:t>The results of the p-values for the two models as shown in Table 6 are greater than 5%, hence the discussion of regression results was made using the outcome of the Random effects model</w:t>
      </w:r>
    </w:p>
    <w:p w:rsidR="002B5DAE" w:rsidRPr="00832F88" w:rsidRDefault="002B5DAE" w:rsidP="002B5DAE">
      <w:pPr>
        <w:pStyle w:val="Heading1"/>
        <w:numPr>
          <w:ilvl w:val="1"/>
          <w:numId w:val="14"/>
        </w:numPr>
        <w:tabs>
          <w:tab w:val="left" w:pos="961"/>
        </w:tabs>
        <w:jc w:val="both"/>
        <w:rPr>
          <w:sz w:val="22"/>
          <w:szCs w:val="22"/>
        </w:rPr>
      </w:pPr>
    </w:p>
    <w:p w:rsidR="002B5DAE" w:rsidRPr="00832F88" w:rsidRDefault="002B5DAE" w:rsidP="002B5DAE">
      <w:pPr>
        <w:pStyle w:val="Heading1"/>
        <w:numPr>
          <w:ilvl w:val="1"/>
          <w:numId w:val="14"/>
        </w:numPr>
        <w:tabs>
          <w:tab w:val="left" w:pos="961"/>
        </w:tabs>
        <w:jc w:val="both"/>
        <w:rPr>
          <w:sz w:val="22"/>
          <w:szCs w:val="22"/>
        </w:rPr>
      </w:pPr>
      <w:r w:rsidRPr="00832F88">
        <w:rPr>
          <w:sz w:val="22"/>
          <w:szCs w:val="22"/>
        </w:rPr>
        <w:t>Discussion of Regression</w:t>
      </w:r>
      <w:r w:rsidRPr="00832F88">
        <w:rPr>
          <w:spacing w:val="-1"/>
          <w:sz w:val="22"/>
          <w:szCs w:val="22"/>
        </w:rPr>
        <w:t xml:space="preserve"> </w:t>
      </w:r>
      <w:r w:rsidRPr="00832F88">
        <w:rPr>
          <w:sz w:val="22"/>
          <w:szCs w:val="22"/>
        </w:rPr>
        <w:t>Result</w:t>
      </w:r>
    </w:p>
    <w:p w:rsidR="002B5DAE" w:rsidRPr="00832F88" w:rsidRDefault="002B5DAE" w:rsidP="002B5DAE">
      <w:pPr>
        <w:pStyle w:val="BodyText"/>
        <w:rPr>
          <w:sz w:val="22"/>
          <w:szCs w:val="22"/>
        </w:rPr>
      </w:pPr>
      <w:r w:rsidRPr="00832F88">
        <w:rPr>
          <w:sz w:val="22"/>
          <w:szCs w:val="22"/>
        </w:rPr>
        <w:t>The result of the regression for Model 1 in Table 26 provides that the coefficient of determination (R-square) of</w:t>
      </w:r>
    </w:p>
    <w:p w:rsidR="002B5DAE" w:rsidRPr="00832F88" w:rsidRDefault="002B5DAE" w:rsidP="002B5DAE">
      <w:pPr>
        <w:pStyle w:val="BodyText"/>
        <w:ind w:right="616"/>
        <w:rPr>
          <w:sz w:val="22"/>
          <w:szCs w:val="22"/>
        </w:rPr>
      </w:pPr>
      <w:r w:rsidRPr="00832F88">
        <w:rPr>
          <w:sz w:val="22"/>
          <w:szCs w:val="22"/>
        </w:rPr>
        <w:t>0.564 (56.4%) and Adjusted R-square of 0.545 (54.5%) indicating that 56.4% variation in the dependent variable (ROA) is explained by the explanatory and control variables (NPLLR, NPLDR, CAR, FSZ and LEV). The Durbin-Watson value of 2.322 (which falls within the acceptable region) clearly shows the absence of auto- serial correlation in the successive values of the parameters.F-statistic is 29.530 and this is significant at 1% level (p = 0.000). This affirms that the model as a whole is jointly fit. Hence, the explanatory values are significantly linked with the dependent variable.</w:t>
      </w:r>
    </w:p>
    <w:p w:rsidR="002B5DAE" w:rsidRPr="00832F88" w:rsidRDefault="002B5DAE" w:rsidP="002B5DAE">
      <w:pPr>
        <w:pStyle w:val="BodyText"/>
        <w:ind w:right="615"/>
        <w:rPr>
          <w:sz w:val="22"/>
          <w:szCs w:val="22"/>
        </w:rPr>
      </w:pPr>
      <w:r w:rsidRPr="00832F88">
        <w:rPr>
          <w:sz w:val="22"/>
          <w:szCs w:val="22"/>
        </w:rPr>
        <w:t xml:space="preserve">From Table 6, the relationship between NPLLR and ROA is positive and significant at 1% level. It indicates that the higher the bad debts, the higher the profits of Nigerian banks. This finding to some extent is contrary to the theoretical expectation of negative relationship between the two variables. The possible reason for this result is the tendency of Nigerian banks to transfer costs associated with loan default to other customers. In some cases, Nigerian banks’ interest rate on loan is as high as 25% per annum (excluding other administrative charges). This high rate is used as a buffer to mitigate the huge non-performing loans from other customers in their books. The outcome of this study is consistent with the works of Boahene, Dasah and Agyei (2012), Afriyie and Akotey (2013), Idowu and Awoyemi (2014), Soyemi, Ogunleye and Ashogbon (2014), Kurawa and Garba (2014), Annor and Obeng (2017), Aigbomian and Akinlosotu(2017) and Okere, et al (2018) and provides evidence in support of Signaling Hypothesis. </w:t>
      </w:r>
    </w:p>
    <w:p w:rsidR="002B5DAE" w:rsidRPr="00832F88" w:rsidRDefault="002B5DAE" w:rsidP="002B5DAE">
      <w:pPr>
        <w:pStyle w:val="BodyText"/>
        <w:ind w:right="616"/>
        <w:rPr>
          <w:sz w:val="22"/>
          <w:szCs w:val="22"/>
        </w:rPr>
      </w:pPr>
      <w:r w:rsidRPr="00832F88">
        <w:rPr>
          <w:sz w:val="22"/>
          <w:szCs w:val="22"/>
        </w:rPr>
        <w:t>The CAR has a positive relationship with ROA and is significant at1% level. This confirms the theoretical expectation that says that banks with excellent capital adequacy tend to have excellent profitability because such banks will be strong enough to avert unforeseen bank run and huge loan default by customers. The outcome of the study is in line with the findings of Vong and Chan (2009), Roman and Danulletiu (2013), Obamuyi (2013), Ogboi and Unuafe (2013), Soyemi et al (2014),Mubbushar (2016), Annor and Obeng (2017),Mamoud-Abdul (2017), Lotto(2018) and Okere, et al (2018). It is however in contrast with the findings of Idowu and Awoyemi (2014), Kurawa and Garba (2014), Mendoza and Rivera (2017), who found a positive and insignificant relationship and that of Djan, Stephen, Bawuah, Halidu and Kuutol (2015), who found a negative and significant relationship, between the two variables in their studies. The null hypothesis 3 is rejected. Thus, there is a significant relationship between capital adequacy ratio (CAR) and performance (ROA).</w:t>
      </w:r>
    </w:p>
    <w:p w:rsidR="002B5DAE" w:rsidRPr="00832F88" w:rsidRDefault="002B5DAE" w:rsidP="002B5DAE">
      <w:pPr>
        <w:pStyle w:val="BodyText"/>
        <w:ind w:right="616"/>
        <w:rPr>
          <w:sz w:val="22"/>
          <w:szCs w:val="22"/>
        </w:rPr>
      </w:pPr>
      <w:r w:rsidRPr="00832F88">
        <w:rPr>
          <w:sz w:val="22"/>
          <w:szCs w:val="22"/>
        </w:rPr>
        <w:lastRenderedPageBreak/>
        <w:t>As for the control variables, firm size has a positive and insignificant relationship with ROA, Leverage, in support of the prediction of Static-trade off theory, has a positive and significant relationship at 10% level with ROA (Myers&amp;Majluf, 1984,Kyereboah-Coleman, 2007, Kajola, 2015 and Onaolapo, Kajola &amp; Nwidobie, 2015).</w:t>
      </w: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Default="002B5DAE" w:rsidP="002B5DAE">
      <w:pPr>
        <w:spacing w:after="0" w:line="240" w:lineRule="auto"/>
        <w:jc w:val="center"/>
        <w:rPr>
          <w:rFonts w:ascii="Times New Roman" w:hAnsi="Times New Roman"/>
          <w:b/>
          <w:color w:val="000000"/>
        </w:rPr>
      </w:pPr>
    </w:p>
    <w:p w:rsidR="002B5DAE" w:rsidRPr="00832F88" w:rsidRDefault="002B5DAE" w:rsidP="002B5DAE">
      <w:pPr>
        <w:spacing w:after="0" w:line="240" w:lineRule="auto"/>
        <w:jc w:val="center"/>
        <w:rPr>
          <w:rFonts w:ascii="Times New Roman" w:hAnsi="Times New Roman"/>
          <w:b/>
          <w:color w:val="000000"/>
        </w:rPr>
      </w:pPr>
      <w:r w:rsidRPr="00832F88">
        <w:rPr>
          <w:rFonts w:ascii="Times New Roman" w:hAnsi="Times New Roman"/>
          <w:b/>
          <w:color w:val="000000"/>
        </w:rPr>
        <w:lastRenderedPageBreak/>
        <w:t>CHAPTER FIVE</w:t>
      </w:r>
    </w:p>
    <w:p w:rsidR="002B5DAE" w:rsidRPr="00832F88" w:rsidRDefault="002B5DAE" w:rsidP="002B5DAE">
      <w:pPr>
        <w:spacing w:after="0" w:line="240" w:lineRule="auto"/>
        <w:jc w:val="center"/>
        <w:rPr>
          <w:rFonts w:ascii="Times New Roman" w:hAnsi="Times New Roman"/>
          <w:b/>
          <w:color w:val="000000"/>
        </w:rPr>
      </w:pPr>
      <w:r w:rsidRPr="00832F88">
        <w:rPr>
          <w:rFonts w:ascii="Times New Roman" w:hAnsi="Times New Roman"/>
          <w:b/>
          <w:color w:val="000000"/>
        </w:rPr>
        <w:t>SUMMARY, CONCLUSION AND RECOMMENDATIONS</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5.1</w:t>
      </w:r>
      <w:r w:rsidRPr="00832F88">
        <w:rPr>
          <w:rFonts w:ascii="Times New Roman" w:hAnsi="Times New Roman"/>
          <w:b/>
          <w:color w:val="000000"/>
        </w:rPr>
        <w:tab/>
        <w:t xml:space="preserve">SUMMARY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The study revealed that FBN sue client appraisal in credit management to a great extent. Further it established that client appraisal is available strategy for credit, customer’s capacity to repay results in loan defaults, client appraisal considers the character of the customers seeking credit facilities and that FBN have competent personnel for carrying out client appraisal. The study established that FBN use credit risk control in credit management to a great extent. The study further established that interest rates changed affects performance of loans in the FBN, credit committees involvement in making decisions regular basis enhances commitment to loan repayment, the use of customer, credit application forms improve monitoring and credit management, flexible repayment periods improve loan repayment and finally that the use of credit checks on regular basis enhances credit management.</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5.2</w:t>
      </w:r>
      <w:r w:rsidRPr="00832F88">
        <w:rPr>
          <w:rFonts w:ascii="Times New Roman" w:hAnsi="Times New Roman"/>
          <w:b/>
          <w:color w:val="000000"/>
        </w:rPr>
        <w:tab/>
        <w:t xml:space="preserve">CONCLUSION </w:t>
      </w:r>
    </w:p>
    <w:p w:rsidR="002B5DAE" w:rsidRPr="00004897"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r>
      <w:r w:rsidRPr="00004897">
        <w:rPr>
          <w:rFonts w:ascii="Times New Roman" w:hAnsi="Times New Roman"/>
          <w:color w:val="000000"/>
        </w:rPr>
        <w:t>In conclusion, this study has assessed the impact of bank credit on agricultural development in Nigeria, focusing on First Bank of Nigeria as a case study. The findings highlight the importance of bank credit in driving agricultural growth, improving productivity, and enhancing the financial performance of farmers and agribusinesses. Access to credit enables agricultural stakeholders to invest in modern technologies, increase yields, and improve efficiency.</w:t>
      </w:r>
    </w:p>
    <w:p w:rsidR="002B5DAE" w:rsidRPr="00004897" w:rsidRDefault="002B5DAE" w:rsidP="002B5DAE">
      <w:pPr>
        <w:spacing w:after="0" w:line="240" w:lineRule="auto"/>
        <w:jc w:val="both"/>
        <w:rPr>
          <w:rFonts w:ascii="Times New Roman" w:hAnsi="Times New Roman"/>
          <w:color w:val="000000"/>
        </w:rPr>
      </w:pPr>
    </w:p>
    <w:p w:rsidR="002B5DAE" w:rsidRPr="00004897" w:rsidRDefault="002B5DAE" w:rsidP="002B5DAE">
      <w:pPr>
        <w:spacing w:after="0" w:line="240" w:lineRule="auto"/>
        <w:jc w:val="both"/>
        <w:rPr>
          <w:rFonts w:ascii="Times New Roman" w:hAnsi="Times New Roman"/>
          <w:color w:val="000000"/>
        </w:rPr>
      </w:pPr>
      <w:r w:rsidRPr="00004897">
        <w:rPr>
          <w:rFonts w:ascii="Times New Roman" w:hAnsi="Times New Roman"/>
          <w:color w:val="000000"/>
        </w:rPr>
        <w:t>First Bank of Nigeria plays a significant role in providing agricultural credit facilities, but there are challenges that need to be addressed to enhance the effectiveness of their initiatives. These challenges include cumbersome loan application processes, high collateral requirements, and the need for increased financial literacy among farmers and agribusinesses.</w:t>
      </w:r>
    </w:p>
    <w:p w:rsidR="002B5DAE" w:rsidRPr="00004897" w:rsidRDefault="002B5DAE" w:rsidP="002B5DAE">
      <w:pPr>
        <w:spacing w:after="0" w:line="240" w:lineRule="auto"/>
        <w:jc w:val="both"/>
        <w:rPr>
          <w:rFonts w:ascii="Times New Roman" w:hAnsi="Times New Roman"/>
          <w:color w:val="000000"/>
        </w:rPr>
      </w:pPr>
    </w:p>
    <w:p w:rsidR="002B5DAE" w:rsidRPr="00004897" w:rsidRDefault="002B5DAE" w:rsidP="002B5DAE">
      <w:pPr>
        <w:spacing w:after="0" w:line="240" w:lineRule="auto"/>
        <w:jc w:val="both"/>
        <w:rPr>
          <w:rFonts w:ascii="Times New Roman" w:hAnsi="Times New Roman"/>
          <w:color w:val="000000"/>
        </w:rPr>
      </w:pPr>
      <w:r w:rsidRPr="00004897">
        <w:rPr>
          <w:rFonts w:ascii="Times New Roman" w:hAnsi="Times New Roman"/>
          <w:color w:val="000000"/>
        </w:rPr>
        <w:t>The study recommends several policy implications to improve the impact of bank credit on agricultural development in Nigeria. These recommendations include enhancing access to agricultural credit, promoting financial literacy and capacity building, developing risk mitigation and insurance mechanisms, supporting value chain development, strengthening agricultural data and information systems, and fostering public-private partnerships.</w:t>
      </w:r>
    </w:p>
    <w:p w:rsidR="002B5DAE" w:rsidRPr="00004897" w:rsidRDefault="002B5DAE" w:rsidP="002B5DAE">
      <w:pPr>
        <w:spacing w:after="0" w:line="240" w:lineRule="auto"/>
        <w:jc w:val="both"/>
        <w:rPr>
          <w:rFonts w:ascii="Times New Roman" w:hAnsi="Times New Roman"/>
          <w:color w:val="000000"/>
        </w:rPr>
      </w:pPr>
    </w:p>
    <w:p w:rsidR="002B5DAE" w:rsidRDefault="002B5DAE" w:rsidP="002B5DAE">
      <w:pPr>
        <w:spacing w:after="0" w:line="240" w:lineRule="auto"/>
        <w:jc w:val="both"/>
        <w:rPr>
          <w:rFonts w:ascii="Times New Roman" w:hAnsi="Times New Roman"/>
          <w:color w:val="000000"/>
        </w:rPr>
      </w:pPr>
      <w:r w:rsidRPr="00004897">
        <w:rPr>
          <w:rFonts w:ascii="Times New Roman" w:hAnsi="Times New Roman"/>
          <w:color w:val="000000"/>
        </w:rPr>
        <w:t>By implementing these recommendations, policymakers, financial institutions, and agricultural stakeholders can work together to create an enabling environment for agricultural development, promote sustainable growth, and ensure food security in Nigeria. Additionally, the findings of this study contribute to the existing knowledge by filling gaps in understanding the relationship between bank credit and agricultural development in Nigeria.</w:t>
      </w:r>
    </w:p>
    <w:p w:rsidR="002B5DAE" w:rsidRPr="00832F88" w:rsidRDefault="002B5DAE" w:rsidP="002B5DAE">
      <w:pPr>
        <w:spacing w:after="0" w:line="240" w:lineRule="auto"/>
        <w:ind w:firstLine="720"/>
        <w:jc w:val="both"/>
        <w:rPr>
          <w:rFonts w:ascii="Times New Roman" w:hAnsi="Times New Roman"/>
          <w:color w:val="000000"/>
        </w:rPr>
      </w:pPr>
      <w:r w:rsidRPr="00832F88">
        <w:rPr>
          <w:rFonts w:ascii="Times New Roman" w:hAnsi="Times New Roman"/>
          <w:color w:val="000000"/>
        </w:rPr>
        <w:t xml:space="preserve">From the findings, the study found that client appraisal, credit risk control and collection policy had effect on financial performance of FBN. The study established that there was strong relationship between financial performance of the FBN and client appraisal, Credit risk control and collection policy. </w:t>
      </w:r>
    </w:p>
    <w:p w:rsidR="002B5DAE" w:rsidRPr="00832F88" w:rsidRDefault="002B5DAE" w:rsidP="002B5DAE">
      <w:pPr>
        <w:spacing w:after="0" w:line="240" w:lineRule="auto"/>
        <w:jc w:val="both"/>
        <w:rPr>
          <w:rFonts w:ascii="Times New Roman" w:hAnsi="Times New Roman"/>
          <w:color w:val="000000"/>
        </w:rPr>
      </w:pPr>
      <w:r w:rsidRPr="00832F88">
        <w:rPr>
          <w:rFonts w:ascii="Times New Roman" w:hAnsi="Times New Roman"/>
          <w:color w:val="000000"/>
        </w:rPr>
        <w:tab/>
        <w:t xml:space="preserve">The study revealed that a unit increase in client appraisal would lead to increase in financial performance of FBN. This is an indication that there was positive association between the client appraisal and financial performance of FBN, an increase in credit risk control would lead to increase in financial performance of FBN in Nigeria, which shows that there was positive relationship between financial performance of FBN and credit risk control and a unit increased in collection policy would lead to increase in performance; this is an indication that there was a positive relationship between financial performance of FBN and collection policy. Client appraisal, credit risk control and collection policy significantly influence performance of FBN Nigeria. </w:t>
      </w:r>
    </w:p>
    <w:p w:rsidR="002B5DAE" w:rsidRPr="00832F88" w:rsidRDefault="002B5DAE" w:rsidP="002B5DAE">
      <w:pPr>
        <w:spacing w:after="0" w:line="240" w:lineRule="auto"/>
        <w:jc w:val="both"/>
        <w:rPr>
          <w:rFonts w:ascii="Times New Roman" w:hAnsi="Times New Roman"/>
          <w:b/>
          <w:color w:val="000000"/>
        </w:rPr>
      </w:pPr>
      <w:r w:rsidRPr="00832F88">
        <w:rPr>
          <w:rFonts w:ascii="Times New Roman" w:hAnsi="Times New Roman"/>
          <w:b/>
          <w:color w:val="000000"/>
        </w:rPr>
        <w:t>5.3</w:t>
      </w:r>
      <w:r w:rsidRPr="00832F88">
        <w:rPr>
          <w:rFonts w:ascii="Times New Roman" w:hAnsi="Times New Roman"/>
          <w:b/>
          <w:color w:val="000000"/>
        </w:rPr>
        <w:tab/>
        <w:t xml:space="preserve">RECOMMENDATIONS </w:t>
      </w:r>
    </w:p>
    <w:p w:rsidR="002B5DAE" w:rsidRDefault="002B5DAE" w:rsidP="002B5DAE">
      <w:pPr>
        <w:spacing w:after="0" w:line="240" w:lineRule="auto"/>
        <w:ind w:left="720" w:hanging="720"/>
        <w:jc w:val="both"/>
        <w:rPr>
          <w:rFonts w:ascii="Times New Roman" w:hAnsi="Times New Roman"/>
          <w:color w:val="000000"/>
        </w:rPr>
      </w:pPr>
      <w:r w:rsidRPr="00832F88">
        <w:rPr>
          <w:rFonts w:ascii="Times New Roman" w:hAnsi="Times New Roman"/>
          <w:color w:val="000000"/>
        </w:rPr>
        <w:t xml:space="preserve">The study recommends that </w:t>
      </w:r>
      <w:r>
        <w:rPr>
          <w:rFonts w:ascii="Times New Roman" w:hAnsi="Times New Roman"/>
          <w:color w:val="000000"/>
        </w:rPr>
        <w:t>the followings should be encouraged and done:</w:t>
      </w:r>
    </w:p>
    <w:p w:rsidR="002B5DAE" w:rsidRPr="00004897" w:rsidRDefault="002B5DAE" w:rsidP="002B5DAE">
      <w:pPr>
        <w:pStyle w:val="ListParagraph"/>
        <w:numPr>
          <w:ilvl w:val="0"/>
          <w:numId w:val="18"/>
        </w:numPr>
        <w:spacing w:after="0" w:line="240" w:lineRule="auto"/>
        <w:jc w:val="both"/>
        <w:rPr>
          <w:rFonts w:ascii="Times New Roman" w:hAnsi="Times New Roman"/>
          <w:color w:val="000000"/>
        </w:rPr>
      </w:pPr>
      <w:r w:rsidRPr="00004897">
        <w:rPr>
          <w:rFonts w:ascii="Times New Roman" w:hAnsi="Times New Roman"/>
          <w:color w:val="000000"/>
        </w:rPr>
        <w:t>Enhancing Access to Agricultural Credit:</w:t>
      </w:r>
    </w:p>
    <w:p w:rsidR="002B5DAE" w:rsidRDefault="002B5DAE" w:rsidP="002B5DAE">
      <w:pPr>
        <w:spacing w:after="0" w:line="240" w:lineRule="auto"/>
        <w:ind w:firstLine="360"/>
        <w:jc w:val="both"/>
        <w:rPr>
          <w:rFonts w:ascii="Times New Roman" w:hAnsi="Times New Roman"/>
          <w:color w:val="000000"/>
        </w:rPr>
      </w:pP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Encourage banks and financial institutions to allocate a significant portion of their loan portfolios to agricultural credit.</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Develop policies that streamline loan application processes, reduce bureaucracy, and ensure efficient disbursement of credit to farmers and agribusinesses.</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Facilitate the establishment of dedicated agricultural credit bureaus to assess creditworthiness and mitigate risks associated with lending to the agricultural sector.</w:t>
      </w:r>
    </w:p>
    <w:p w:rsidR="002B5DAE" w:rsidRDefault="002B5DAE" w:rsidP="002B5DAE">
      <w:pPr>
        <w:spacing w:after="0" w:line="240" w:lineRule="auto"/>
        <w:jc w:val="both"/>
        <w:rPr>
          <w:rFonts w:ascii="Times New Roman" w:hAnsi="Times New Roman"/>
          <w:color w:val="000000"/>
        </w:rPr>
      </w:pPr>
    </w:p>
    <w:p w:rsidR="002B5DAE" w:rsidRPr="00004897" w:rsidRDefault="002B5DAE" w:rsidP="002B5DAE">
      <w:pPr>
        <w:pStyle w:val="ListParagraph"/>
        <w:numPr>
          <w:ilvl w:val="0"/>
          <w:numId w:val="18"/>
        </w:numPr>
        <w:spacing w:after="0" w:line="240" w:lineRule="auto"/>
        <w:jc w:val="both"/>
        <w:rPr>
          <w:rFonts w:ascii="Times New Roman" w:hAnsi="Times New Roman"/>
          <w:color w:val="000000"/>
        </w:rPr>
      </w:pPr>
      <w:r w:rsidRPr="00004897">
        <w:rPr>
          <w:rFonts w:ascii="Times New Roman" w:hAnsi="Times New Roman"/>
          <w:color w:val="000000"/>
        </w:rPr>
        <w:t>Financial Literacy and Capacity Building:</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Promote financial literacy programs specifically tailored for farmers and agribusinesses to enhance their understanding of financial management, loan utilization, and repayment obligations.</w:t>
      </w:r>
    </w:p>
    <w:p w:rsidR="002B5DAE"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Collaborate with agricultural extension services to provide training and capacity building programs that address modern farming techniques, agribusiness management, and investment decision-making.</w:t>
      </w:r>
    </w:p>
    <w:p w:rsidR="002B5DAE" w:rsidRPr="00004897" w:rsidRDefault="002B5DAE" w:rsidP="002B5DAE">
      <w:pPr>
        <w:spacing w:after="0" w:line="240" w:lineRule="auto"/>
        <w:ind w:firstLine="360"/>
        <w:jc w:val="both"/>
        <w:rPr>
          <w:rFonts w:ascii="Times New Roman" w:hAnsi="Times New Roman"/>
          <w:color w:val="000000"/>
        </w:rPr>
      </w:pPr>
    </w:p>
    <w:p w:rsidR="002B5DAE" w:rsidRPr="00004897" w:rsidRDefault="002B5DAE" w:rsidP="002B5DAE">
      <w:pPr>
        <w:pStyle w:val="ListParagraph"/>
        <w:numPr>
          <w:ilvl w:val="0"/>
          <w:numId w:val="18"/>
        </w:numPr>
        <w:spacing w:after="0" w:line="240" w:lineRule="auto"/>
        <w:jc w:val="both"/>
        <w:rPr>
          <w:rFonts w:ascii="Times New Roman" w:hAnsi="Times New Roman"/>
          <w:color w:val="000000"/>
        </w:rPr>
      </w:pPr>
      <w:r w:rsidRPr="00004897">
        <w:rPr>
          <w:rFonts w:ascii="Times New Roman" w:hAnsi="Times New Roman"/>
          <w:color w:val="000000"/>
        </w:rPr>
        <w:t xml:space="preserve"> Risk Mitigation and Insurance:</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lastRenderedPageBreak/>
        <w:t>Encourage the development and implementation of agricultural insurance schemes to protect farmers and lenders against risks such as natural disasters, pest infestations, and crop failures.</w:t>
      </w:r>
    </w:p>
    <w:p w:rsidR="002B5DAE"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Provide incentives for financial institutions to offer insurance-linked credit products that provide loan repayment guarantees in the event of unforeseen circumstances.</w:t>
      </w:r>
    </w:p>
    <w:p w:rsidR="002B5DAE" w:rsidRDefault="002B5DAE" w:rsidP="002B5DAE">
      <w:pPr>
        <w:spacing w:after="0" w:line="240" w:lineRule="auto"/>
        <w:ind w:firstLine="360"/>
        <w:jc w:val="both"/>
        <w:rPr>
          <w:rFonts w:ascii="Times New Roman" w:hAnsi="Times New Roman"/>
          <w:color w:val="000000"/>
        </w:rPr>
      </w:pP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4</w:t>
      </w:r>
      <w:r>
        <w:rPr>
          <w:rFonts w:ascii="Times New Roman" w:hAnsi="Times New Roman"/>
          <w:color w:val="000000"/>
        </w:rPr>
        <w:t>.</w:t>
      </w:r>
      <w:r w:rsidRPr="00004897">
        <w:rPr>
          <w:rFonts w:ascii="Times New Roman" w:hAnsi="Times New Roman"/>
          <w:color w:val="000000"/>
        </w:rPr>
        <w:t xml:space="preserve"> Support for Value Chain Development:</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Foster collaborations between banks, agricultural input suppliers, processors, and marketing agencies to strengthen agricultural value chains.</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Facilitate the provision of credit along the entire agricultural value chain, including input financing, production credit, and marketing loans.</w:t>
      </w:r>
    </w:p>
    <w:p w:rsidR="002B5DAE" w:rsidRDefault="002B5DAE" w:rsidP="002B5DAE">
      <w:pPr>
        <w:spacing w:after="0" w:line="240" w:lineRule="auto"/>
        <w:ind w:firstLine="360"/>
        <w:jc w:val="both"/>
        <w:rPr>
          <w:rFonts w:ascii="Times New Roman" w:hAnsi="Times New Roman"/>
          <w:color w:val="000000"/>
        </w:rPr>
      </w:pP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5</w:t>
      </w:r>
      <w:r>
        <w:rPr>
          <w:rFonts w:ascii="Times New Roman" w:hAnsi="Times New Roman"/>
          <w:color w:val="000000"/>
        </w:rPr>
        <w:t>.</w:t>
      </w:r>
      <w:r w:rsidRPr="00004897">
        <w:rPr>
          <w:rFonts w:ascii="Times New Roman" w:hAnsi="Times New Roman"/>
          <w:color w:val="000000"/>
        </w:rPr>
        <w:t xml:space="preserve"> Strengthening Agricultural Data and Information Systems:</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Invest in the development of comprehensive agricultural data systems that provide accurate and up-to-date information on market trends, weather patterns, and crop yields to inform credit decision-making.</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Collaborate with relevant stakeholders to establish platforms for sharing agricultural data and promoting transparency in the sector.</w:t>
      </w: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6</w:t>
      </w:r>
      <w:r>
        <w:rPr>
          <w:rFonts w:ascii="Times New Roman" w:hAnsi="Times New Roman"/>
          <w:color w:val="000000"/>
        </w:rPr>
        <w:t>.</w:t>
      </w:r>
      <w:r w:rsidRPr="00004897">
        <w:rPr>
          <w:rFonts w:ascii="Times New Roman" w:hAnsi="Times New Roman"/>
          <w:color w:val="000000"/>
        </w:rPr>
        <w:t xml:space="preserve"> Public-Private Partnerships:</w:t>
      </w:r>
    </w:p>
    <w:p w:rsidR="002B5DAE" w:rsidRPr="00004897" w:rsidRDefault="002B5DAE" w:rsidP="002B5DAE">
      <w:pPr>
        <w:spacing w:after="0" w:line="240" w:lineRule="auto"/>
        <w:jc w:val="both"/>
        <w:rPr>
          <w:rFonts w:ascii="Times New Roman" w:hAnsi="Times New Roman"/>
          <w:color w:val="000000"/>
        </w:rPr>
      </w:pPr>
    </w:p>
    <w:p w:rsidR="002B5DAE" w:rsidRPr="00004897"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Foster partnerships between government agencies, financial institutions, and agricultural associations to leverage their collective resources and expertise in supporting agricultural development.</w:t>
      </w:r>
    </w:p>
    <w:p w:rsidR="002B5DAE" w:rsidRPr="00832F88" w:rsidRDefault="002B5DAE" w:rsidP="002B5DAE">
      <w:pPr>
        <w:spacing w:after="0" w:line="240" w:lineRule="auto"/>
        <w:ind w:firstLine="360"/>
        <w:jc w:val="both"/>
        <w:rPr>
          <w:rFonts w:ascii="Times New Roman" w:hAnsi="Times New Roman"/>
          <w:color w:val="000000"/>
        </w:rPr>
      </w:pPr>
      <w:r w:rsidRPr="00004897">
        <w:rPr>
          <w:rFonts w:ascii="Times New Roman" w:hAnsi="Times New Roman"/>
          <w:color w:val="000000"/>
        </w:rPr>
        <w:t>Encourage private sector investment in agriculture by creating an enabling environment, providing incentives, and ensuring policy stability.</w:t>
      </w:r>
    </w:p>
    <w:p w:rsidR="002B5DAE" w:rsidRPr="00832F88" w:rsidRDefault="002B5DAE" w:rsidP="002B5DAE">
      <w:pPr>
        <w:spacing w:after="0" w:line="240" w:lineRule="auto"/>
        <w:jc w:val="both"/>
        <w:rPr>
          <w:rFonts w:ascii="Times New Roman" w:hAnsi="Times New Roman"/>
          <w:color w:val="000000"/>
        </w:rPr>
      </w:pPr>
    </w:p>
    <w:p w:rsidR="002B5DAE" w:rsidRPr="00832F88" w:rsidRDefault="002B5DAE" w:rsidP="002B5DAE">
      <w:pPr>
        <w:spacing w:after="0" w:line="240" w:lineRule="auto"/>
        <w:jc w:val="center"/>
        <w:rPr>
          <w:rFonts w:ascii="Times New Roman" w:hAnsi="Times New Roman"/>
          <w:b/>
          <w:color w:val="000000"/>
        </w:rPr>
      </w:pPr>
      <w:r w:rsidRPr="00832F88">
        <w:rPr>
          <w:rFonts w:ascii="Times New Roman" w:hAnsi="Times New Roman"/>
          <w:b/>
          <w:color w:val="000000"/>
        </w:rPr>
        <w:br w:type="page"/>
      </w:r>
      <w:r w:rsidRPr="00832F88">
        <w:rPr>
          <w:rFonts w:ascii="Times New Roman" w:hAnsi="Times New Roman"/>
          <w:b/>
          <w:color w:val="000000"/>
        </w:rPr>
        <w:lastRenderedPageBreak/>
        <w:t>REFERENCES</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Adebayo, A. O. &amp; Oluwaremi, F. (2017). Relationship between credit risk management and the performance of money deposit banks in Nigeria. IOSRJournal of Economics and Finance, 8(2), 38-48.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Afriyie, H. O. &amp;Akotey, J. O. (2013).Credit risk management and profitability of rural banks in the BrongAhafo Region of Ghana.European Journal of Business and Management, 5(24), 24-33.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Aigbomian, E. &amp;Akinlosotu, N. T. (2017).Credit risk management and profitability of deposit money banks in Ekpoma, Edo State.Journal of Economics and Sustainable Development, 8(3), 1-5.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Alshatti, A. S. (2015). The effect of credit risk management on financial performance of Jordanian commercial banks. Investment Management and Financial Innovations, 12(1 &amp; 2), 338-345.</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Annor, E. S., &amp;Obeng, F. S. (2017). Impact of credit risk management on the profitability of selected commercial banks listed on the Ghana stock exchange. Journal of Economics, Management and Trade, 20(2), 1- 10.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Arthur J. Keonwn David Scotch (1992 and 1995) Basic Finance Management USA: John Hottan Press Inc.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Asfaw, A. H. &amp;Veni, P. (2015).Empirical study on credit risk management practice of Ethiopian commercial banks.Research Journal of Finance and Accounting, 6(3), 134-147.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Aykut, E. (2016). The effect of credit and market risk on bank performance: Evidence from Turkey. International Journal of Economics and Financial Issues, 6(2), 427-434.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Basel Committee on Banking Supervision (2001). Risk management practices and regulatory capital: Crosssectional comparison. Available on-line: www.bis.org.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Boahene, S. H., Dasah, J., &amp;Agyei, S. K. (2012).Credit risk and profitability of selected banks in Ghana. Research Journal of Finance and Accounting, 3(7), 6-14.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David Begg, Stanley Fisher (1984) Economic Second 2</w:t>
      </w:r>
      <w:r w:rsidRPr="00832F88">
        <w:rPr>
          <w:rFonts w:ascii="Times New Roman" w:hAnsi="Times New Roman"/>
          <w:vertAlign w:val="superscript"/>
        </w:rPr>
        <w:t>nd</w:t>
      </w:r>
      <w:r w:rsidRPr="00832F88">
        <w:rPr>
          <w:rFonts w:ascii="Times New Roman" w:hAnsi="Times New Roman"/>
        </w:rPr>
        <w:t xml:space="preserve"> Edition Britain, London: Pitman Publishing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Djan, G. O., Stephen, F., Bawuah, J., Halidu, O. B.&amp;Kuutol, P. K. (2015).Credit risk management and its impact on financial performance of listed banks in Ghana.International Journal of Financial Markets, 2(2), 24- 32.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Edwards, P.&amp; Turnbull, A. (1994). Finance for small and medium sized enterprises, information and the income gearing challenge. International Journal of Marketing, 12(6), 3-9.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Ejoh, N. O., Okpa, I. B. &amp;Egbe, A. A. (2014).The impact of credit and liquidity risk management on the profitability of deposit money banks in Nigeria.International Journal of Economics, Commerce and Management, 2(9), 1-15.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Femi Adekanye (1983) The element of banking in Nigeria Lagos: F and A Publisher Ltd.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Greuning, H. &amp;Bratanovic, S. B. (2003).Analysing and Managing Banking Risk: A Framework for Assessing Corporate Governance and Financial Risks. 2nd Edition, Washington, D. C: The World Bank.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Gujarati, D. N. (2003).Basic Econometrics, New York: McGraw-Hill/Irwin. [16]. Gujarati, D. N.&amp; Porter, D. C. (2009). Basic Econometrics, New York: McGraw-Hill/Irwin.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Harcourt, E. E. (2017). Credit risk management and performance of deposit money banks in Nigeria. International Journal of Managerial Studies and Research, 5(8), 47-57.</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Hausman, J. A. (1978). Specification tests in econometrics. Econometrics, 46(6), 1215-1271.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Idowu, A. &amp;Awoyemi, S. O. (2014).The impact of credit risk management on the commercial banks performance in Nigeria. International Journal of Management and Sustainability, 3(5), 295-306.s</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James C. Van Home (1993) Financial Management and Policy Publication Seventh Edition, London: McGraw Hill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Layi Afolabi (1991) Monetary Economic Lagos Inner way Publisher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Patrick R.A.K (2002): Modern Credit Management Lagos: RIO Publisher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 xml:space="preserve">Robert H.I (1994) and 1995) Consumer and Commercial Credit Management BPP Publishing Limited </w:t>
      </w:r>
    </w:p>
    <w:p w:rsidR="002B5DAE" w:rsidRPr="00832F88" w:rsidRDefault="002B5DAE" w:rsidP="002B5DAE">
      <w:pPr>
        <w:spacing w:after="0" w:line="240" w:lineRule="auto"/>
        <w:ind w:left="1440" w:hanging="1440"/>
        <w:jc w:val="both"/>
        <w:rPr>
          <w:rFonts w:ascii="Times New Roman" w:hAnsi="Times New Roman"/>
        </w:rPr>
      </w:pPr>
      <w:r w:rsidRPr="00832F88">
        <w:rPr>
          <w:rFonts w:ascii="Times New Roman" w:hAnsi="Times New Roman"/>
        </w:rPr>
        <w:t>Saidu. H (1994 and 1995) The Administration of Credit Consideration Handout on Practice of Banking, Lagos. Unpublished.</w:t>
      </w:r>
    </w:p>
    <w:p w:rsidR="002B5DAE" w:rsidRPr="00832F88" w:rsidRDefault="002B5DAE" w:rsidP="002B5DAE">
      <w:pPr>
        <w:spacing w:after="0" w:line="240" w:lineRule="auto"/>
        <w:ind w:left="1440" w:hanging="1440"/>
        <w:jc w:val="center"/>
        <w:rPr>
          <w:rFonts w:ascii="Times New Roman" w:hAnsi="Times New Roman"/>
          <w:b/>
        </w:rPr>
      </w:pPr>
      <w:r w:rsidRPr="00832F88">
        <w:rPr>
          <w:rFonts w:ascii="Times New Roman" w:hAnsi="Times New Roman"/>
        </w:rPr>
        <w:br w:type="page"/>
      </w:r>
      <w:r w:rsidRPr="00832F88">
        <w:rPr>
          <w:rFonts w:ascii="Times New Roman" w:hAnsi="Times New Roman"/>
          <w:b/>
        </w:rPr>
        <w:lastRenderedPageBreak/>
        <w:t>QUESTIONNAIRE</w:t>
      </w: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t>SECTION A</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Sex: Male (   ) Female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Age: 25 years and below (   ) 26-30 years (   ) 31-35 years (   ) 36-40 years (   ) 41 years and above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Educational Qualification: OND/NCE (   ) HND/B.Sc (   ) M.Sc/MED (   ) PHD (   )</w:t>
      </w:r>
    </w:p>
    <w:p w:rsidR="002B5DAE" w:rsidRPr="00832F88" w:rsidRDefault="002B5DAE" w:rsidP="002B5DAE">
      <w:pPr>
        <w:spacing w:after="0" w:line="240" w:lineRule="auto"/>
        <w:jc w:val="center"/>
        <w:rPr>
          <w:rFonts w:ascii="Times New Roman" w:hAnsi="Times New Roman"/>
          <w:b/>
          <w:bCs/>
        </w:rPr>
      </w:pPr>
      <w:r w:rsidRPr="00832F88">
        <w:rPr>
          <w:rFonts w:ascii="Times New Roman" w:hAnsi="Times New Roman"/>
          <w:b/>
          <w:bCs/>
        </w:rPr>
        <w:t>SECTION B</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Extent to which first bank of Nigeria Plc use client appraisal in credit management: Great Extent (   ) Moderate Extent (   ) Low Extent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Client Appraisal Is A Viable Strategy For Credit Management: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Client appraisal considers the characters of the customers seeking credit facilities: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Aspects of collateral are considered while appraising client: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First Bank Has Competent Personnel For Carrying Out Client Appraisal: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Extent Which First Bank Of Nigeria Plc Use Credit Risk In Credit Management: Great Extent (   ) Moderate Extent (   ) Low Extent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Imposing Loan Size Limits Is Viable Strategy In Credit Management: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The Use Of Credit Checks On Regular Basis Enhance Credit Management: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Flexible Repayment Periods Improve Loan Repayments: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Penalty For Late Payment Enhance Customers Commitment To Loan Repayment: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The Use Of Customer Credit Applications From Improves Monitoring And Credit Management: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Interest Rate Changed Affect Performance Of Loan In The Bank: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Extent Of Which First Bank Use Collective Policy In Credit Management: Great Extent (   ) Moderate Extent (   ) Low Extent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Available Collection Policies Have Assisted Towards Effective Credit Management: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Enforcement To Guarantee Policies Provides Chances For Loan Recovery In Case Of Loan Defaults: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A Stringent Policy Is More Effective In Debt Recovery Than A Limit Policy: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credit risk management has significant relationship with bank performance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appropriate credit policy enhance bank performance: strongly agree (   ) agree (   ) neutral (   ) disagree (   ) strongly disagree (   )</w:t>
      </w:r>
    </w:p>
    <w:p w:rsidR="002B5DAE" w:rsidRPr="00832F88" w:rsidRDefault="002B5DAE" w:rsidP="002B5DAE">
      <w:pPr>
        <w:numPr>
          <w:ilvl w:val="0"/>
          <w:numId w:val="13"/>
        </w:numPr>
        <w:spacing w:after="0" w:line="240" w:lineRule="auto"/>
        <w:ind w:left="360"/>
        <w:jc w:val="both"/>
        <w:rPr>
          <w:rFonts w:ascii="Times New Roman" w:hAnsi="Times New Roman"/>
          <w:bCs/>
        </w:rPr>
      </w:pPr>
      <w:r w:rsidRPr="00832F88">
        <w:rPr>
          <w:rFonts w:ascii="Times New Roman" w:hAnsi="Times New Roman"/>
          <w:bCs/>
        </w:rPr>
        <w:t xml:space="preserve">CBN should design appropriate penalty measure against defaulters: strongly agree (   ) agree (   ) neutral (   ) disagree (   ) strongly disagree ()  </w:t>
      </w:r>
    </w:p>
    <w:p w:rsidR="002B5DAE" w:rsidRPr="00832F88" w:rsidRDefault="002B5DAE" w:rsidP="002B5DAE">
      <w:pPr>
        <w:numPr>
          <w:ilvl w:val="0"/>
          <w:numId w:val="13"/>
        </w:numPr>
        <w:spacing w:after="0" w:line="240" w:lineRule="auto"/>
        <w:ind w:left="1440" w:hanging="1440"/>
        <w:jc w:val="center"/>
        <w:rPr>
          <w:rFonts w:ascii="Times New Roman" w:hAnsi="Times New Roman"/>
          <w:bCs/>
        </w:rPr>
      </w:pPr>
      <w:r w:rsidRPr="00832F88">
        <w:rPr>
          <w:rFonts w:ascii="Times New Roman" w:hAnsi="Times New Roman"/>
          <w:bCs/>
        </w:rPr>
        <w:t>heavy penalty should be imposed on defaulters: Strongly Agree (   ) Agree (   ) Neutral (   ) Disagree (   ) Strongly Disagree (   )</w:t>
      </w:r>
    </w:p>
    <w:p w:rsidR="002B5DAE" w:rsidRPr="00832F88" w:rsidRDefault="002B5DAE" w:rsidP="002B5DAE">
      <w:pPr>
        <w:numPr>
          <w:ilvl w:val="0"/>
          <w:numId w:val="13"/>
        </w:numPr>
        <w:spacing w:after="0" w:line="240" w:lineRule="auto"/>
        <w:ind w:left="1440" w:hanging="1440"/>
        <w:jc w:val="center"/>
        <w:rPr>
          <w:rFonts w:ascii="Times New Roman" w:hAnsi="Times New Roman"/>
          <w:bCs/>
        </w:rPr>
      </w:pPr>
      <w:r w:rsidRPr="00832F88">
        <w:rPr>
          <w:rFonts w:ascii="Times New Roman" w:hAnsi="Times New Roman"/>
          <w:bCs/>
        </w:rPr>
        <w:t>penalty for late payment should be heavy Strongly Agree (   ) Agree (   ) Neutral (   ) Disagree (   ) Strongly Disagree (   )</w:t>
      </w:r>
    </w:p>
    <w:p w:rsidR="002B5DAE" w:rsidRPr="00832F88" w:rsidRDefault="002B5DAE" w:rsidP="002B5DAE">
      <w:pPr>
        <w:spacing w:after="0" w:line="240" w:lineRule="auto"/>
        <w:rPr>
          <w:rFonts w:ascii="Times New Roman" w:hAnsi="Times New Roman"/>
        </w:rPr>
      </w:pPr>
    </w:p>
    <w:p w:rsidR="002B5DAE" w:rsidRPr="00832F88" w:rsidRDefault="002B5DAE" w:rsidP="002B5DAE">
      <w:pPr>
        <w:spacing w:after="0" w:line="240" w:lineRule="auto"/>
        <w:jc w:val="both"/>
        <w:rPr>
          <w:rFonts w:ascii="Times New Roman" w:hAnsi="Times New Roman"/>
        </w:rPr>
      </w:pPr>
    </w:p>
    <w:p w:rsidR="003543C3" w:rsidRDefault="002B5DAE"/>
    <w:sectPr w:rsidR="003543C3" w:rsidSect="00832F88">
      <w:footerReference w:type="default" r:id="rId5"/>
      <w:pgSz w:w="11909" w:h="16834" w:code="9"/>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170"/>
      <w:docPartObj>
        <w:docPartGallery w:val="Page Numbers (Bottom of Page)"/>
        <w:docPartUnique/>
      </w:docPartObj>
    </w:sdtPr>
    <w:sdtEndPr/>
    <w:sdtContent>
      <w:p w:rsidR="00004897" w:rsidRDefault="002B5DAE">
        <w:pPr>
          <w:pStyle w:val="Footer"/>
          <w:jc w:val="center"/>
        </w:pPr>
        <w:r>
          <w:fldChar w:fldCharType="begin"/>
        </w:r>
        <w:r>
          <w:instrText xml:space="preserve"> PAGE   \* MERGEFORMAT </w:instrText>
        </w:r>
        <w:r>
          <w:fldChar w:fldCharType="separate"/>
        </w:r>
        <w:r>
          <w:rPr>
            <w:noProof/>
          </w:rPr>
          <w:t>25</w:t>
        </w:r>
        <w:r>
          <w:fldChar w:fldCharType="end"/>
        </w:r>
      </w:p>
    </w:sdtContent>
  </w:sdt>
  <w:p w:rsidR="00004897" w:rsidRDefault="002B5D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25558E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10216C"/>
    <w:multiLevelType w:val="hybridMultilevel"/>
    <w:tmpl w:val="EDB628F8"/>
    <w:lvl w:ilvl="0" w:tplc="04090019">
      <w:start w:val="1"/>
      <w:numFmt w:val="lowerLetter"/>
      <w:lvlText w:val="%1."/>
      <w:lvlJc w:val="left"/>
      <w:pPr>
        <w:ind w:left="750" w:hanging="360"/>
      </w:pPr>
      <w:rPr>
        <w:b/>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D301C49"/>
    <w:multiLevelType w:val="hybridMultilevel"/>
    <w:tmpl w:val="0226D372"/>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nsid w:val="16777A88"/>
    <w:multiLevelType w:val="hybridMultilevel"/>
    <w:tmpl w:val="24C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A5309"/>
    <w:multiLevelType w:val="hybridMultilevel"/>
    <w:tmpl w:val="C046D836"/>
    <w:lvl w:ilvl="0" w:tplc="5A8E5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84E47"/>
    <w:multiLevelType w:val="hybridMultilevel"/>
    <w:tmpl w:val="F48C3ED2"/>
    <w:lvl w:ilvl="0" w:tplc="5BD8BF78">
      <w:start w:val="1"/>
      <w:numFmt w:val="lowerLetter"/>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2EBB76A9"/>
    <w:multiLevelType w:val="hybridMultilevel"/>
    <w:tmpl w:val="301E4318"/>
    <w:lvl w:ilvl="0" w:tplc="715C632E">
      <w:start w:val="4"/>
      <w:numFmt w:val="decimal"/>
      <w:lvlText w:val="%1"/>
      <w:lvlJc w:val="left"/>
      <w:pPr>
        <w:ind w:left="960" w:hanging="720"/>
      </w:pPr>
      <w:rPr>
        <w:rFonts w:hint="default"/>
        <w:lang w:val="en-US" w:eastAsia="en-US" w:bidi="ar-SA"/>
      </w:rPr>
    </w:lvl>
    <w:lvl w:ilvl="1" w:tplc="2FB6C4EE">
      <w:numFmt w:val="none"/>
      <w:lvlText w:val=""/>
      <w:lvlJc w:val="left"/>
      <w:pPr>
        <w:tabs>
          <w:tab w:val="num" w:pos="360"/>
        </w:tabs>
      </w:pPr>
    </w:lvl>
    <w:lvl w:ilvl="2" w:tplc="6C706E0C">
      <w:numFmt w:val="bullet"/>
      <w:lvlText w:val="•"/>
      <w:lvlJc w:val="left"/>
      <w:pPr>
        <w:ind w:left="2745" w:hanging="720"/>
      </w:pPr>
      <w:rPr>
        <w:rFonts w:hint="default"/>
        <w:lang w:val="en-US" w:eastAsia="en-US" w:bidi="ar-SA"/>
      </w:rPr>
    </w:lvl>
    <w:lvl w:ilvl="3" w:tplc="5F3620FA">
      <w:numFmt w:val="bullet"/>
      <w:lvlText w:val="•"/>
      <w:lvlJc w:val="left"/>
      <w:pPr>
        <w:ind w:left="3637" w:hanging="720"/>
      </w:pPr>
      <w:rPr>
        <w:rFonts w:hint="default"/>
        <w:lang w:val="en-US" w:eastAsia="en-US" w:bidi="ar-SA"/>
      </w:rPr>
    </w:lvl>
    <w:lvl w:ilvl="4" w:tplc="57D046EC">
      <w:numFmt w:val="bullet"/>
      <w:lvlText w:val="•"/>
      <w:lvlJc w:val="left"/>
      <w:pPr>
        <w:ind w:left="4530" w:hanging="720"/>
      </w:pPr>
      <w:rPr>
        <w:rFonts w:hint="default"/>
        <w:lang w:val="en-US" w:eastAsia="en-US" w:bidi="ar-SA"/>
      </w:rPr>
    </w:lvl>
    <w:lvl w:ilvl="5" w:tplc="174E918E">
      <w:numFmt w:val="bullet"/>
      <w:lvlText w:val="•"/>
      <w:lvlJc w:val="left"/>
      <w:pPr>
        <w:ind w:left="5423" w:hanging="720"/>
      </w:pPr>
      <w:rPr>
        <w:rFonts w:hint="default"/>
        <w:lang w:val="en-US" w:eastAsia="en-US" w:bidi="ar-SA"/>
      </w:rPr>
    </w:lvl>
    <w:lvl w:ilvl="6" w:tplc="6FC2F9B4">
      <w:numFmt w:val="bullet"/>
      <w:lvlText w:val="•"/>
      <w:lvlJc w:val="left"/>
      <w:pPr>
        <w:ind w:left="6315" w:hanging="720"/>
      </w:pPr>
      <w:rPr>
        <w:rFonts w:hint="default"/>
        <w:lang w:val="en-US" w:eastAsia="en-US" w:bidi="ar-SA"/>
      </w:rPr>
    </w:lvl>
    <w:lvl w:ilvl="7" w:tplc="3218299A">
      <w:numFmt w:val="bullet"/>
      <w:lvlText w:val="•"/>
      <w:lvlJc w:val="left"/>
      <w:pPr>
        <w:ind w:left="7208" w:hanging="720"/>
      </w:pPr>
      <w:rPr>
        <w:rFonts w:hint="default"/>
        <w:lang w:val="en-US" w:eastAsia="en-US" w:bidi="ar-SA"/>
      </w:rPr>
    </w:lvl>
    <w:lvl w:ilvl="8" w:tplc="538EFEF6">
      <w:numFmt w:val="bullet"/>
      <w:lvlText w:val="•"/>
      <w:lvlJc w:val="left"/>
      <w:pPr>
        <w:ind w:left="8101" w:hanging="720"/>
      </w:pPr>
      <w:rPr>
        <w:rFonts w:hint="default"/>
        <w:lang w:val="en-US" w:eastAsia="en-US" w:bidi="ar-SA"/>
      </w:rPr>
    </w:lvl>
  </w:abstractNum>
  <w:abstractNum w:abstractNumId="8">
    <w:nsid w:val="40F129EF"/>
    <w:multiLevelType w:val="hybridMultilevel"/>
    <w:tmpl w:val="BEB4B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20344"/>
    <w:multiLevelType w:val="hybridMultilevel"/>
    <w:tmpl w:val="DA4A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539D5"/>
    <w:multiLevelType w:val="hybridMultilevel"/>
    <w:tmpl w:val="4DAE8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E0782"/>
    <w:multiLevelType w:val="hybridMultilevel"/>
    <w:tmpl w:val="7A8C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9082F"/>
    <w:multiLevelType w:val="hybridMultilevel"/>
    <w:tmpl w:val="1AC8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A83DCC"/>
    <w:multiLevelType w:val="hybridMultilevel"/>
    <w:tmpl w:val="DD047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962375"/>
    <w:multiLevelType w:val="hybridMultilevel"/>
    <w:tmpl w:val="D16A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162CA"/>
    <w:multiLevelType w:val="hybridMultilevel"/>
    <w:tmpl w:val="FB241CF6"/>
    <w:lvl w:ilvl="0" w:tplc="47BC4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7A1CEA"/>
    <w:multiLevelType w:val="hybridMultilevel"/>
    <w:tmpl w:val="6A580EAC"/>
    <w:lvl w:ilvl="0" w:tplc="3208A72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7">
    <w:nsid w:val="7A4C7D7C"/>
    <w:multiLevelType w:val="hybridMultilevel"/>
    <w:tmpl w:val="7D34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3"/>
  </w:num>
  <w:num w:numId="4">
    <w:abstractNumId w:val="11"/>
  </w:num>
  <w:num w:numId="5">
    <w:abstractNumId w:val="6"/>
  </w:num>
  <w:num w:numId="6">
    <w:abstractNumId w:val="10"/>
  </w:num>
  <w:num w:numId="7">
    <w:abstractNumId w:val="13"/>
  </w:num>
  <w:num w:numId="8">
    <w:abstractNumId w:val="16"/>
  </w:num>
  <w:num w:numId="9">
    <w:abstractNumId w:val="9"/>
  </w:num>
  <w:num w:numId="10">
    <w:abstractNumId w:val="4"/>
  </w:num>
  <w:num w:numId="11">
    <w:abstractNumId w:val="2"/>
  </w:num>
  <w:num w:numId="12">
    <w:abstractNumId w:val="8"/>
  </w:num>
  <w:num w:numId="13">
    <w:abstractNumId w:val="14"/>
  </w:num>
  <w:num w:numId="14">
    <w:abstractNumId w:val="7"/>
  </w:num>
  <w:num w:numId="15">
    <w:abstractNumId w:val="0"/>
  </w:num>
  <w:num w:numId="16">
    <w:abstractNumId w:val="1"/>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5DAE"/>
    <w:rsid w:val="000024D4"/>
    <w:rsid w:val="001A0934"/>
    <w:rsid w:val="002B5DAE"/>
    <w:rsid w:val="00346353"/>
    <w:rsid w:val="00775515"/>
    <w:rsid w:val="009176EA"/>
    <w:rsid w:val="00A708B1"/>
    <w:rsid w:val="00AD7D6E"/>
    <w:rsid w:val="00D559E1"/>
    <w:rsid w:val="00E12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AE"/>
    <w:rPr>
      <w:rFonts w:ascii="Calibri" w:eastAsia="Calibri" w:hAnsi="Calibri" w:cs="Times New Roman"/>
    </w:rPr>
  </w:style>
  <w:style w:type="paragraph" w:styleId="Heading1">
    <w:name w:val="heading 1"/>
    <w:basedOn w:val="Normal"/>
    <w:link w:val="Heading1Char"/>
    <w:uiPriority w:val="1"/>
    <w:qFormat/>
    <w:rsid w:val="002B5DAE"/>
    <w:pPr>
      <w:widowControl w:val="0"/>
      <w:autoSpaceDE w:val="0"/>
      <w:autoSpaceDN w:val="0"/>
      <w:spacing w:after="0" w:line="240" w:lineRule="auto"/>
      <w:ind w:left="960" w:hanging="721"/>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5DA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B5D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B5DAE"/>
    <w:rPr>
      <w:b/>
      <w:bCs/>
    </w:rPr>
  </w:style>
  <w:style w:type="paragraph" w:styleId="Header">
    <w:name w:val="header"/>
    <w:basedOn w:val="Normal"/>
    <w:link w:val="HeaderChar"/>
    <w:uiPriority w:val="99"/>
    <w:semiHidden/>
    <w:unhideWhenUsed/>
    <w:rsid w:val="002B5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DAE"/>
    <w:rPr>
      <w:rFonts w:ascii="Calibri" w:eastAsia="Calibri" w:hAnsi="Calibri" w:cs="Times New Roman"/>
    </w:rPr>
  </w:style>
  <w:style w:type="paragraph" w:styleId="Footer">
    <w:name w:val="footer"/>
    <w:basedOn w:val="Normal"/>
    <w:link w:val="FooterChar"/>
    <w:uiPriority w:val="99"/>
    <w:unhideWhenUsed/>
    <w:rsid w:val="002B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DAE"/>
    <w:rPr>
      <w:rFonts w:ascii="Calibri" w:eastAsia="Calibri" w:hAnsi="Calibri" w:cs="Times New Roman"/>
    </w:rPr>
  </w:style>
  <w:style w:type="paragraph" w:styleId="ListParagraph">
    <w:name w:val="List Paragraph"/>
    <w:basedOn w:val="Normal"/>
    <w:uiPriority w:val="34"/>
    <w:qFormat/>
    <w:rsid w:val="002B5DAE"/>
    <w:pPr>
      <w:ind w:left="720"/>
      <w:contextualSpacing/>
    </w:pPr>
  </w:style>
  <w:style w:type="table" w:styleId="TableGrid">
    <w:name w:val="Table Grid"/>
    <w:basedOn w:val="TableNormal"/>
    <w:uiPriority w:val="59"/>
    <w:rsid w:val="002B5DAE"/>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5DAE"/>
    <w:rPr>
      <w:sz w:val="16"/>
      <w:szCs w:val="16"/>
    </w:rPr>
  </w:style>
  <w:style w:type="paragraph" w:styleId="CommentText">
    <w:name w:val="annotation text"/>
    <w:basedOn w:val="Normal"/>
    <w:link w:val="CommentTextChar"/>
    <w:uiPriority w:val="99"/>
    <w:semiHidden/>
    <w:unhideWhenUsed/>
    <w:rsid w:val="002B5DAE"/>
    <w:pPr>
      <w:spacing w:line="240" w:lineRule="auto"/>
    </w:pPr>
    <w:rPr>
      <w:sz w:val="20"/>
      <w:szCs w:val="20"/>
    </w:rPr>
  </w:style>
  <w:style w:type="character" w:customStyle="1" w:styleId="CommentTextChar">
    <w:name w:val="Comment Text Char"/>
    <w:basedOn w:val="DefaultParagraphFont"/>
    <w:link w:val="CommentText"/>
    <w:uiPriority w:val="99"/>
    <w:semiHidden/>
    <w:rsid w:val="002B5D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DAE"/>
    <w:rPr>
      <w:b/>
      <w:bCs/>
    </w:rPr>
  </w:style>
  <w:style w:type="character" w:customStyle="1" w:styleId="CommentSubjectChar">
    <w:name w:val="Comment Subject Char"/>
    <w:basedOn w:val="CommentTextChar"/>
    <w:link w:val="CommentSubject"/>
    <w:uiPriority w:val="99"/>
    <w:semiHidden/>
    <w:rsid w:val="002B5DAE"/>
    <w:rPr>
      <w:b/>
      <w:bCs/>
    </w:rPr>
  </w:style>
  <w:style w:type="paragraph" w:styleId="BalloonText">
    <w:name w:val="Balloon Text"/>
    <w:basedOn w:val="Normal"/>
    <w:link w:val="BalloonTextChar"/>
    <w:uiPriority w:val="99"/>
    <w:semiHidden/>
    <w:unhideWhenUsed/>
    <w:rsid w:val="002B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AE"/>
    <w:rPr>
      <w:rFonts w:ascii="Segoe UI" w:eastAsia="Calibri" w:hAnsi="Segoe UI" w:cs="Segoe UI"/>
      <w:sz w:val="18"/>
      <w:szCs w:val="18"/>
    </w:rPr>
  </w:style>
  <w:style w:type="paragraph" w:customStyle="1" w:styleId="Style1">
    <w:name w:val="Style1"/>
    <w:basedOn w:val="Normal"/>
    <w:uiPriority w:val="99"/>
    <w:rsid w:val="002B5DAE"/>
    <w:pPr>
      <w:widowControl w:val="0"/>
      <w:autoSpaceDE w:val="0"/>
      <w:autoSpaceDN w:val="0"/>
      <w:adjustRightInd w:val="0"/>
      <w:spacing w:after="0" w:line="254" w:lineRule="exact"/>
      <w:ind w:firstLine="710"/>
      <w:jc w:val="both"/>
    </w:pPr>
    <w:rPr>
      <w:rFonts w:ascii="Times New Roman" w:eastAsia="Times New Roman" w:hAnsi="Times New Roman"/>
      <w:sz w:val="24"/>
      <w:szCs w:val="24"/>
    </w:rPr>
  </w:style>
  <w:style w:type="character" w:customStyle="1" w:styleId="FontStyle11">
    <w:name w:val="Font Style11"/>
    <w:basedOn w:val="DefaultParagraphFont"/>
    <w:uiPriority w:val="99"/>
    <w:rsid w:val="002B5DAE"/>
    <w:rPr>
      <w:rFonts w:ascii="Times New Roman" w:hAnsi="Times New Roman" w:cs="Times New Roman"/>
      <w:b/>
      <w:bCs/>
      <w:sz w:val="20"/>
      <w:szCs w:val="20"/>
    </w:rPr>
  </w:style>
  <w:style w:type="character" w:customStyle="1" w:styleId="FontStyle13">
    <w:name w:val="Font Style13"/>
    <w:basedOn w:val="DefaultParagraphFont"/>
    <w:uiPriority w:val="99"/>
    <w:rsid w:val="002B5DAE"/>
    <w:rPr>
      <w:rFonts w:ascii="Times New Roman" w:hAnsi="Times New Roman" w:cs="Times New Roman"/>
      <w:sz w:val="20"/>
      <w:szCs w:val="20"/>
    </w:rPr>
  </w:style>
  <w:style w:type="paragraph" w:styleId="BodyText">
    <w:name w:val="Body Text"/>
    <w:basedOn w:val="Normal"/>
    <w:link w:val="BodyTextChar"/>
    <w:uiPriority w:val="1"/>
    <w:qFormat/>
    <w:rsid w:val="002B5DAE"/>
    <w:pPr>
      <w:widowControl w:val="0"/>
      <w:autoSpaceDE w:val="0"/>
      <w:autoSpaceDN w:val="0"/>
      <w:spacing w:after="0" w:line="240" w:lineRule="auto"/>
      <w:ind w:left="240"/>
      <w:jc w:val="both"/>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B5DA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B5DAE"/>
    <w:pPr>
      <w:widowControl w:val="0"/>
      <w:autoSpaceDE w:val="0"/>
      <w:autoSpaceDN w:val="0"/>
      <w:spacing w:after="0" w:line="210" w:lineRule="exact"/>
    </w:pPr>
    <w:rPr>
      <w:rFonts w:ascii="Times New Roman" w:eastAsia="Times New Roman" w:hAnsi="Times New Roman"/>
    </w:rPr>
  </w:style>
  <w:style w:type="paragraph" w:styleId="NoSpacing">
    <w:name w:val="No Spacing"/>
    <w:uiPriority w:val="1"/>
    <w:qFormat/>
    <w:rsid w:val="002B5DA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13933</Words>
  <Characters>79422</Characters>
  <Application>Microsoft Office Word</Application>
  <DocSecurity>0</DocSecurity>
  <Lines>661</Lines>
  <Paragraphs>186</Paragraphs>
  <ScaleCrop>false</ScaleCrop>
  <Company/>
  <LinksUpToDate>false</LinksUpToDate>
  <CharactersWithSpaces>93169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2025-04-29T10:02:00Z</dcterms:created>
  <dcterms:modified xsi:type="dcterms:W3CDTF">2025-04-29T10:02:00Z</dcterms:modified>
</cp:coreProperties>
</file>