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F6" w:rsidRDefault="006269F6" w:rsidP="00EF56BA">
      <w:pPr>
        <w:spacing w:line="480" w:lineRule="auto"/>
        <w:jc w:val="center"/>
      </w:pPr>
      <w:r w:rsidRPr="006269F6">
        <w:rPr>
          <w:rFonts w:ascii="Times New Roman" w:hAnsi="Times New Roman" w:cs="Times New Roman"/>
          <w:b/>
          <w:sz w:val="32"/>
          <w:szCs w:val="32"/>
        </w:rPr>
        <w:t>IMPACT  OF GREEN HUMAN RESOURCE MANAGEMENT PRACTICES ON ORGANIZATIONAL PERFORMANCE: AN INSIGHT FROM  GUARANTY TRUST BANK, ILORIN KWARA STATE</w:t>
      </w:r>
    </w:p>
    <w:p w:rsidR="00EF56BA" w:rsidRPr="00EF56BA" w:rsidRDefault="006269F6" w:rsidP="00EF56BA">
      <w:pPr>
        <w:spacing w:line="480" w:lineRule="auto"/>
        <w:jc w:val="center"/>
        <w:rPr>
          <w:rFonts w:ascii="Times New Roman" w:hAnsi="Times New Roman" w:cs="Times New Roman"/>
          <w:b/>
          <w:bCs/>
          <w:sz w:val="28"/>
          <w:szCs w:val="28"/>
        </w:rPr>
      </w:pPr>
      <w:r>
        <w:t xml:space="preserve"> </w:t>
      </w:r>
      <w:r w:rsidR="00EF56BA" w:rsidRPr="00EF56BA">
        <w:rPr>
          <w:rFonts w:ascii="Times New Roman" w:hAnsi="Times New Roman" w:cs="Times New Roman"/>
          <w:b/>
          <w:bCs/>
          <w:sz w:val="28"/>
          <w:szCs w:val="28"/>
        </w:rPr>
        <w:t>Abstract:</w:t>
      </w:r>
    </w:p>
    <w:p w:rsidR="006C5CD2" w:rsidRPr="006C5CD2" w:rsidRDefault="006C5CD2" w:rsidP="006C5CD2">
      <w:pPr>
        <w:spacing w:line="240" w:lineRule="auto"/>
        <w:rPr>
          <w:rFonts w:ascii="Times New Roman" w:hAnsi="Times New Roman" w:cs="Times New Roman"/>
          <w:bCs/>
          <w:i/>
          <w:sz w:val="28"/>
          <w:szCs w:val="28"/>
        </w:rPr>
      </w:pPr>
      <w:r w:rsidRPr="006C5CD2">
        <w:rPr>
          <w:rFonts w:ascii="Times New Roman" w:hAnsi="Times New Roman" w:cs="Times New Roman"/>
          <w:bCs/>
          <w:i/>
          <w:sz w:val="28"/>
          <w:szCs w:val="28"/>
        </w:rPr>
        <w:t>This study investigates the influence of green human resource management (GHRM) practices on organizational performance, specifically focusing on Guaranty Trust Bank in Ilorin, Kwara State. As organizations increasingly prioritize sustainability and environmental issues, integrating GHRM practices has become a strategic approach to improve performance while promoting environmental stewardship. Employing a mixed-methods approach, the research combines quantitative data analysis with qualitative interviews. The quantitative component involves surveying employees to assess their perceptions of GHRM practices and their effects on key performance indicators such as financial outcomes, customer satisfaction, and employee productivity. Meanwhile, qualitative interviews offer insights into the implementation of GHRM practices and the challenges encountered in adopting sustainable HR strategies.</w:t>
      </w:r>
      <w:r>
        <w:rPr>
          <w:rFonts w:ascii="Times New Roman" w:hAnsi="Times New Roman" w:cs="Times New Roman"/>
          <w:bCs/>
          <w:i/>
          <w:sz w:val="28"/>
          <w:szCs w:val="28"/>
        </w:rPr>
        <w:t xml:space="preserve"> </w:t>
      </w:r>
      <w:r w:rsidRPr="006C5CD2">
        <w:rPr>
          <w:rFonts w:ascii="Times New Roman" w:hAnsi="Times New Roman" w:cs="Times New Roman"/>
          <w:bCs/>
          <w:i/>
          <w:sz w:val="28"/>
          <w:szCs w:val="28"/>
        </w:rPr>
        <w:t>Preliminary findings indicate that GHRM practices significantly enhance organizational performance. For instance, green recruitment and selection processes attract environmentally-conscious candidates who align with the organization's sustainability objectives, leading to greater job satisfaction. Green training and development initiatives equip employees with the skills and knowledge to integrate sustainable practices into their daily tasks, improving operational efficiency and minimizing environmental impact. Additionally, the study shows that implementing green performance management systems—such as incorporating environmental performance metrics and recognizing sustainability achievements—boosts employee motivation, commitment, and overall performance. The findings also emphasize the importance of effective communication and employee engagement in nurturing a culture of environmental responsibility, further contributing to enhanced organizational performance.</w:t>
      </w:r>
    </w:p>
    <w:p w:rsidR="006C5CD2" w:rsidRDefault="006C5CD2" w:rsidP="006C5CD2">
      <w:pPr>
        <w:spacing w:line="480" w:lineRule="auto"/>
        <w:rPr>
          <w:rFonts w:ascii="Times New Roman" w:hAnsi="Times New Roman" w:cs="Times New Roman"/>
          <w:bCs/>
          <w:sz w:val="28"/>
          <w:szCs w:val="28"/>
        </w:rPr>
      </w:pPr>
    </w:p>
    <w:p w:rsidR="002E671C" w:rsidRDefault="006C5CD2" w:rsidP="006C5CD2">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5934" w:rsidRPr="00EF56BA">
        <w:rPr>
          <w:rFonts w:ascii="Times New Roman" w:hAnsi="Times New Roman" w:cs="Times New Roman"/>
          <w:sz w:val="24"/>
          <w:szCs w:val="24"/>
        </w:rPr>
        <w:t>C</w:t>
      </w:r>
      <w:r w:rsidR="002C5934">
        <w:rPr>
          <w:rFonts w:ascii="Times New Roman" w:hAnsi="Times New Roman" w:cs="Times New Roman"/>
          <w:b/>
          <w:sz w:val="24"/>
          <w:szCs w:val="24"/>
        </w:rPr>
        <w:t>HAPTER ONE</w:t>
      </w: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6C5CD2" w:rsidRPr="006C5CD2" w:rsidRDefault="006C5CD2" w:rsidP="006C5CD2">
      <w:pPr>
        <w:spacing w:line="480" w:lineRule="auto"/>
        <w:jc w:val="both"/>
        <w:rPr>
          <w:rFonts w:ascii="Times New Roman" w:hAnsi="Times New Roman" w:cs="Times New Roman"/>
          <w:sz w:val="24"/>
          <w:szCs w:val="24"/>
        </w:rPr>
      </w:pPr>
      <w:r w:rsidRPr="006C5CD2">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rsidR="006C5CD2" w:rsidRPr="006C5CD2" w:rsidRDefault="006C5CD2" w:rsidP="006C5CD2">
      <w:pPr>
        <w:spacing w:line="480" w:lineRule="auto"/>
        <w:jc w:val="both"/>
        <w:rPr>
          <w:rFonts w:ascii="Times New Roman" w:hAnsi="Times New Roman" w:cs="Times New Roman"/>
          <w:sz w:val="24"/>
          <w:szCs w:val="24"/>
        </w:rPr>
      </w:pPr>
      <w:r w:rsidRPr="006C5CD2">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rsidR="006C5CD2" w:rsidRPr="006C5CD2" w:rsidRDefault="006C5CD2" w:rsidP="006C5CD2">
      <w:pPr>
        <w:spacing w:line="480" w:lineRule="auto"/>
        <w:jc w:val="both"/>
        <w:rPr>
          <w:rFonts w:ascii="Times New Roman" w:hAnsi="Times New Roman" w:cs="Times New Roman"/>
          <w:sz w:val="24"/>
          <w:szCs w:val="24"/>
        </w:rPr>
      </w:pPr>
      <w:r w:rsidRPr="006C5CD2">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rsidR="006C5CD2" w:rsidRPr="006C5CD2" w:rsidRDefault="006C5CD2" w:rsidP="006C5CD2">
      <w:pPr>
        <w:spacing w:line="480" w:lineRule="auto"/>
        <w:jc w:val="both"/>
        <w:rPr>
          <w:rFonts w:ascii="Times New Roman" w:hAnsi="Times New Roman" w:cs="Times New Roman"/>
          <w:sz w:val="24"/>
          <w:szCs w:val="24"/>
        </w:rPr>
      </w:pPr>
      <w:r w:rsidRPr="006C5CD2">
        <w:rPr>
          <w:rFonts w:ascii="Times New Roman" w:hAnsi="Times New Roman" w:cs="Times New Roman"/>
          <w:sz w:val="24"/>
          <w:szCs w:val="24"/>
        </w:rPr>
        <w:t xml:space="preserve">Following the introduction, the paper outlines the review methodology and presents a comprehensive literature review of G-HRM practices. Effective HRM is crucial for organizations </w:t>
      </w:r>
      <w:r w:rsidRPr="006C5CD2">
        <w:rPr>
          <w:rFonts w:ascii="Times New Roman" w:hAnsi="Times New Roman" w:cs="Times New Roman"/>
          <w:sz w:val="24"/>
          <w:szCs w:val="24"/>
        </w:rPr>
        <w:lastRenderedPageBreak/>
        <w:t>seeking a competitive edge and high performance (Schuler &amp; Jackson, 2023; Wei &amp; Lau, 2023). As the most valuable asset of a firm, its people are central to HRM, which increasingly incorporates sustainability principles. Green HRM is recognized as a vital element of sustainability, aligning HR practices with environmental objectives (Gerhart, 2023; Huselid &amp; Becker, 2023).</w:t>
      </w:r>
    </w:p>
    <w:p w:rsidR="00AA2000" w:rsidRDefault="006C5CD2" w:rsidP="006C5CD2">
      <w:pPr>
        <w:spacing w:line="480" w:lineRule="auto"/>
        <w:jc w:val="both"/>
        <w:rPr>
          <w:rFonts w:ascii="Times New Roman" w:hAnsi="Times New Roman" w:cs="Times New Roman"/>
          <w:sz w:val="24"/>
          <w:szCs w:val="24"/>
        </w:rPr>
      </w:pPr>
      <w:r w:rsidRPr="006C5CD2">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rsidR="002E671C" w:rsidRDefault="002C5934" w:rsidP="006C5CD2">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Research Problem</w:t>
      </w:r>
    </w:p>
    <w:p w:rsidR="009E4992" w:rsidRPr="009E4992" w:rsidRDefault="009E4992" w:rsidP="009E4992">
      <w:pPr>
        <w:spacing w:line="480" w:lineRule="auto"/>
        <w:jc w:val="both"/>
        <w:rPr>
          <w:rFonts w:ascii="Times New Roman" w:hAnsi="Times New Roman" w:cs="Times New Roman"/>
          <w:sz w:val="24"/>
          <w:szCs w:val="24"/>
          <w:lang w:val="en-GB"/>
        </w:rPr>
      </w:pPr>
      <w:r w:rsidRPr="009E4992">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rsidR="009E4992" w:rsidRPr="009E4992" w:rsidRDefault="009E4992" w:rsidP="009E4992">
      <w:pPr>
        <w:spacing w:line="480" w:lineRule="auto"/>
        <w:jc w:val="both"/>
        <w:rPr>
          <w:rFonts w:ascii="Times New Roman" w:hAnsi="Times New Roman" w:cs="Times New Roman"/>
          <w:sz w:val="24"/>
          <w:szCs w:val="24"/>
          <w:lang w:val="en-GB"/>
        </w:rPr>
      </w:pPr>
    </w:p>
    <w:p w:rsidR="009E4992" w:rsidRPr="009E4992" w:rsidRDefault="009E4992" w:rsidP="009E4992">
      <w:pPr>
        <w:spacing w:line="480" w:lineRule="auto"/>
        <w:jc w:val="both"/>
        <w:rPr>
          <w:rFonts w:ascii="Times New Roman" w:hAnsi="Times New Roman" w:cs="Times New Roman"/>
          <w:sz w:val="24"/>
          <w:szCs w:val="24"/>
          <w:lang w:val="en-GB"/>
        </w:rPr>
      </w:pPr>
      <w:r w:rsidRPr="009E4992">
        <w:rPr>
          <w:rFonts w:ascii="Times New Roman" w:hAnsi="Times New Roman" w:cs="Times New Roman"/>
          <w:sz w:val="24"/>
          <w:szCs w:val="24"/>
          <w:lang w:val="en-GB"/>
        </w:rPr>
        <w:lastRenderedPageBreak/>
        <w:t>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products and raise awareness among employees and the public about the importance of c</w:t>
      </w:r>
      <w:r>
        <w:rPr>
          <w:rFonts w:ascii="Times New Roman" w:hAnsi="Times New Roman" w:cs="Times New Roman"/>
          <w:sz w:val="24"/>
          <w:szCs w:val="24"/>
          <w:lang w:val="en-GB"/>
        </w:rPr>
        <w:t>onserving natural resources.</w:t>
      </w:r>
    </w:p>
    <w:p w:rsidR="00856048" w:rsidRDefault="009E4992" w:rsidP="009E4992">
      <w:pPr>
        <w:spacing w:line="480" w:lineRule="auto"/>
        <w:jc w:val="both"/>
        <w:rPr>
          <w:rFonts w:ascii="Times New Roman" w:hAnsi="Times New Roman" w:cs="Times New Roman"/>
          <w:sz w:val="24"/>
          <w:szCs w:val="24"/>
          <w:lang w:val="en-GB"/>
        </w:rPr>
      </w:pPr>
      <w:r w:rsidRPr="009E4992">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stringent environmental standards [3]. Therefore, this study aims to investigate the impact of GHRM practices on employee performance, specifically within GTB Ilorin.</w:t>
      </w:r>
    </w:p>
    <w:p w:rsidR="009E4992" w:rsidRPr="00856048" w:rsidRDefault="002C5934" w:rsidP="009E4992">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856048" w:rsidRDefault="009E4992" w:rsidP="008560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9E4992">
        <w:rPr>
          <w:rFonts w:ascii="Times New Roman" w:hAnsi="Times New Roman" w:cs="Times New Roman"/>
          <w:bCs/>
          <w:sz w:val="24"/>
          <w:szCs w:val="24"/>
        </w:rPr>
        <w:t>To what extent do</w:t>
      </w:r>
      <w:r>
        <w:rPr>
          <w:rFonts w:ascii="Times New Roman" w:hAnsi="Times New Roman" w:cs="Times New Roman"/>
          <w:bCs/>
          <w:sz w:val="24"/>
          <w:szCs w:val="24"/>
        </w:rPr>
        <w:t>es</w:t>
      </w:r>
      <w:r w:rsidRPr="009E4992">
        <w:rPr>
          <w:rFonts w:ascii="Times New Roman" w:hAnsi="Times New Roman" w:cs="Times New Roman"/>
          <w:bCs/>
          <w:sz w:val="24"/>
          <w:szCs w:val="24"/>
        </w:rPr>
        <w:t xml:space="preserve"> GHRM practices at GTB influence organizational effectiveness?</w:t>
      </w:r>
    </w:p>
    <w:p w:rsidR="00856048" w:rsidRPr="00856048" w:rsidRDefault="00856048" w:rsidP="008560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856048">
        <w:rPr>
          <w:rFonts w:ascii="Times New Roman" w:hAnsi="Times New Roman" w:cs="Times New Roman"/>
          <w:bCs/>
          <w:sz w:val="24"/>
          <w:szCs w:val="24"/>
        </w:rPr>
        <w:t>How do GHRM Practices Relate to Organizational Competitiveness?</w:t>
      </w:r>
    </w:p>
    <w:p w:rsidR="00856048" w:rsidRPr="00856048" w:rsidRDefault="00856048" w:rsidP="00856048">
      <w:pPr>
        <w:spacing w:line="480" w:lineRule="auto"/>
        <w:ind w:left="720" w:hanging="720"/>
        <w:jc w:val="both"/>
        <w:rPr>
          <w:rFonts w:ascii="Times New Roman" w:hAnsi="Times New Roman" w:cs="Times New Roman"/>
          <w:bCs/>
          <w:sz w:val="24"/>
          <w:szCs w:val="24"/>
        </w:rPr>
      </w:pPr>
      <w:r w:rsidRPr="00856048">
        <w:rPr>
          <w:rFonts w:ascii="Times New Roman" w:hAnsi="Times New Roman" w:cs="Times New Roman"/>
          <w:bCs/>
          <w:sz w:val="24"/>
          <w:szCs w:val="24"/>
        </w:rPr>
        <w:t>Share</w:t>
      </w:r>
    </w:p>
    <w:p w:rsidR="00856048" w:rsidRPr="00856048" w:rsidRDefault="00856048" w:rsidP="00856048">
      <w:pPr>
        <w:spacing w:line="480" w:lineRule="auto"/>
        <w:ind w:left="720" w:hanging="720"/>
        <w:jc w:val="both"/>
        <w:rPr>
          <w:rFonts w:ascii="Times New Roman" w:hAnsi="Times New Roman" w:cs="Times New Roman"/>
          <w:bCs/>
          <w:sz w:val="24"/>
          <w:szCs w:val="24"/>
        </w:rPr>
      </w:pPr>
    </w:p>
    <w:p w:rsidR="00856048" w:rsidRPr="00856048" w:rsidRDefault="00856048" w:rsidP="00856048">
      <w:pPr>
        <w:spacing w:line="480" w:lineRule="auto"/>
        <w:ind w:left="720" w:hanging="720"/>
        <w:jc w:val="both"/>
        <w:rPr>
          <w:rFonts w:ascii="Times New Roman" w:hAnsi="Times New Roman" w:cs="Times New Roman"/>
          <w:bCs/>
          <w:sz w:val="24"/>
          <w:szCs w:val="24"/>
        </w:rPr>
      </w:pPr>
    </w:p>
    <w:p w:rsidR="00856048" w:rsidRPr="00856048" w:rsidRDefault="00856048" w:rsidP="009E4992">
      <w:pPr>
        <w:spacing w:line="480" w:lineRule="auto"/>
        <w:ind w:left="720" w:hanging="720"/>
        <w:jc w:val="both"/>
        <w:rPr>
          <w:rFonts w:ascii="Times New Roman" w:hAnsi="Times New Roman" w:cs="Times New Roman"/>
          <w:b/>
          <w:bCs/>
          <w:sz w:val="24"/>
          <w:szCs w:val="24"/>
        </w:rPr>
      </w:pPr>
      <w:r>
        <w:rPr>
          <w:rFonts w:ascii="Times New Roman" w:hAnsi="Times New Roman" w:cs="Times New Roman"/>
          <w:bCs/>
          <w:sz w:val="24"/>
          <w:szCs w:val="24"/>
        </w:rPr>
        <w:t xml:space="preserve">iii. </w:t>
      </w:r>
      <w:r w:rsidRPr="00856048">
        <w:rPr>
          <w:rFonts w:ascii="Times New Roman" w:hAnsi="Times New Roman" w:cs="Times New Roman"/>
          <w:bCs/>
          <w:sz w:val="24"/>
          <w:szCs w:val="24"/>
        </w:rPr>
        <w:t>What Role Do</w:t>
      </w:r>
      <w:r>
        <w:rPr>
          <w:rFonts w:ascii="Times New Roman" w:hAnsi="Times New Roman" w:cs="Times New Roman"/>
          <w:bCs/>
          <w:sz w:val="24"/>
          <w:szCs w:val="24"/>
        </w:rPr>
        <w:t>es</w:t>
      </w:r>
      <w:r w:rsidRPr="00856048">
        <w:rPr>
          <w:rFonts w:ascii="Times New Roman" w:hAnsi="Times New Roman" w:cs="Times New Roman"/>
          <w:bCs/>
          <w:sz w:val="24"/>
          <w:szCs w:val="24"/>
        </w:rPr>
        <w:t xml:space="preserve"> GHRM Practices Play in Enhancing Organizational Resilience at GTB?</w:t>
      </w:r>
    </w:p>
    <w:p w:rsidR="009E4992" w:rsidRPr="00856048" w:rsidRDefault="009E4992" w:rsidP="009E4992">
      <w:pPr>
        <w:spacing w:line="480" w:lineRule="auto"/>
        <w:ind w:left="720" w:hanging="720"/>
        <w:jc w:val="both"/>
        <w:rPr>
          <w:rFonts w:ascii="Times New Roman" w:hAnsi="Times New Roman" w:cs="Times New Roman"/>
          <w:b/>
          <w:bCs/>
          <w:sz w:val="24"/>
          <w:szCs w:val="24"/>
        </w:rPr>
      </w:pPr>
      <w:r w:rsidRPr="00856048">
        <w:rPr>
          <w:rFonts w:ascii="Times New Roman" w:hAnsi="Times New Roman" w:cs="Times New Roman"/>
          <w:b/>
          <w:bCs/>
          <w:sz w:val="24"/>
          <w:szCs w:val="24"/>
        </w:rPr>
        <w:t>Research Objectives</w:t>
      </w:r>
    </w:p>
    <w:p w:rsidR="009E4992" w:rsidRPr="00856048" w:rsidRDefault="009E4992" w:rsidP="00856048">
      <w:pPr>
        <w:pStyle w:val="ListParagraph"/>
        <w:numPr>
          <w:ilvl w:val="0"/>
          <w:numId w:val="9"/>
        </w:numPr>
        <w:spacing w:line="480" w:lineRule="auto"/>
        <w:jc w:val="both"/>
        <w:rPr>
          <w:rFonts w:ascii="Times New Roman" w:hAnsi="Times New Roman" w:cs="Times New Roman"/>
          <w:bCs/>
          <w:sz w:val="24"/>
          <w:szCs w:val="24"/>
        </w:rPr>
      </w:pPr>
      <w:r w:rsidRPr="00856048">
        <w:rPr>
          <w:rFonts w:ascii="Times New Roman" w:hAnsi="Times New Roman" w:cs="Times New Roman"/>
          <w:bCs/>
          <w:sz w:val="24"/>
          <w:szCs w:val="24"/>
        </w:rPr>
        <w:t>To examine the impact of GHRM practices on the organizational effectiveness of GTB.</w:t>
      </w:r>
    </w:p>
    <w:p w:rsidR="009E4992" w:rsidRPr="00856048" w:rsidRDefault="009E4992" w:rsidP="00856048">
      <w:pPr>
        <w:pStyle w:val="ListParagraph"/>
        <w:numPr>
          <w:ilvl w:val="0"/>
          <w:numId w:val="9"/>
        </w:numPr>
        <w:spacing w:line="480" w:lineRule="auto"/>
        <w:jc w:val="both"/>
        <w:rPr>
          <w:rFonts w:ascii="Times New Roman" w:hAnsi="Times New Roman" w:cs="Times New Roman"/>
          <w:bCs/>
          <w:sz w:val="24"/>
          <w:szCs w:val="24"/>
        </w:rPr>
      </w:pPr>
      <w:r w:rsidRPr="00856048">
        <w:rPr>
          <w:rFonts w:ascii="Times New Roman" w:hAnsi="Times New Roman" w:cs="Times New Roman"/>
          <w:bCs/>
          <w:sz w:val="24"/>
          <w:szCs w:val="24"/>
        </w:rPr>
        <w:t>To assess the relationship between GHRM practices and organizational competitiveness.</w:t>
      </w:r>
    </w:p>
    <w:p w:rsidR="009E4992" w:rsidRPr="00856048" w:rsidRDefault="009E4992" w:rsidP="00856048">
      <w:pPr>
        <w:pStyle w:val="ListParagraph"/>
        <w:numPr>
          <w:ilvl w:val="0"/>
          <w:numId w:val="9"/>
        </w:numPr>
        <w:spacing w:line="480" w:lineRule="auto"/>
        <w:jc w:val="both"/>
        <w:rPr>
          <w:rFonts w:ascii="Times New Roman" w:hAnsi="Times New Roman" w:cs="Times New Roman"/>
          <w:bCs/>
          <w:sz w:val="24"/>
          <w:szCs w:val="24"/>
        </w:rPr>
      </w:pPr>
      <w:r w:rsidRPr="00856048">
        <w:rPr>
          <w:rFonts w:ascii="Times New Roman" w:hAnsi="Times New Roman" w:cs="Times New Roman"/>
          <w:bCs/>
          <w:sz w:val="24"/>
          <w:szCs w:val="24"/>
        </w:rPr>
        <w:t>To evaluate the role of GHRM practices in enhancing organizational resilience at GTB.</w:t>
      </w:r>
    </w:p>
    <w:p w:rsidR="009E4992" w:rsidRPr="00856048" w:rsidRDefault="009E4992" w:rsidP="009E4992">
      <w:pPr>
        <w:spacing w:line="480" w:lineRule="auto"/>
        <w:ind w:left="720" w:hanging="720"/>
        <w:jc w:val="both"/>
        <w:rPr>
          <w:rFonts w:ascii="Times New Roman" w:hAnsi="Times New Roman" w:cs="Times New Roman"/>
          <w:b/>
          <w:bCs/>
          <w:sz w:val="24"/>
          <w:szCs w:val="24"/>
        </w:rPr>
      </w:pPr>
      <w:r w:rsidRPr="00856048">
        <w:rPr>
          <w:rFonts w:ascii="Times New Roman" w:hAnsi="Times New Roman" w:cs="Times New Roman"/>
          <w:b/>
          <w:bCs/>
          <w:sz w:val="24"/>
          <w:szCs w:val="24"/>
        </w:rPr>
        <w:t>Research Hypotheses</w:t>
      </w:r>
    </w:p>
    <w:p w:rsidR="009E4992" w:rsidRPr="009E4992" w:rsidRDefault="009E4992" w:rsidP="009E4992">
      <w:pPr>
        <w:spacing w:line="480" w:lineRule="auto"/>
        <w:ind w:left="720" w:hanging="720"/>
        <w:jc w:val="both"/>
        <w:rPr>
          <w:rFonts w:ascii="Times New Roman" w:hAnsi="Times New Roman" w:cs="Times New Roman"/>
          <w:bCs/>
          <w:sz w:val="24"/>
          <w:szCs w:val="24"/>
        </w:rPr>
      </w:pPr>
      <w:r w:rsidRPr="009E4992">
        <w:rPr>
          <w:rFonts w:ascii="Times New Roman" w:hAnsi="Times New Roman" w:cs="Times New Roman"/>
          <w:bCs/>
          <w:sz w:val="24"/>
          <w:szCs w:val="24"/>
        </w:rPr>
        <w:t xml:space="preserve">The following hypotheses have been formulated based on </w:t>
      </w:r>
      <w:r w:rsidR="00856048">
        <w:rPr>
          <w:rFonts w:ascii="Times New Roman" w:hAnsi="Times New Roman" w:cs="Times New Roman"/>
          <w:bCs/>
          <w:sz w:val="24"/>
          <w:szCs w:val="24"/>
        </w:rPr>
        <w:t>the stated research objectives:</w:t>
      </w:r>
    </w:p>
    <w:p w:rsidR="00856048" w:rsidRDefault="009E4992" w:rsidP="00856048">
      <w:pPr>
        <w:pStyle w:val="ListParagraph"/>
        <w:numPr>
          <w:ilvl w:val="0"/>
          <w:numId w:val="10"/>
        </w:numPr>
        <w:spacing w:line="480" w:lineRule="auto"/>
        <w:jc w:val="both"/>
        <w:rPr>
          <w:rFonts w:ascii="Times New Roman" w:hAnsi="Times New Roman" w:cs="Times New Roman"/>
          <w:bCs/>
          <w:sz w:val="24"/>
          <w:szCs w:val="24"/>
        </w:rPr>
      </w:pPr>
      <w:r w:rsidRPr="00856048">
        <w:rPr>
          <w:rFonts w:ascii="Times New Roman" w:hAnsi="Times New Roman" w:cs="Times New Roman"/>
          <w:bCs/>
          <w:sz w:val="24"/>
          <w:szCs w:val="24"/>
        </w:rPr>
        <w:t>H₀: GHRM practices do not influence the organizational effectiveness of GTB.</w:t>
      </w:r>
      <w:r w:rsidR="00856048">
        <w:rPr>
          <w:rFonts w:ascii="Times New Roman" w:hAnsi="Times New Roman" w:cs="Times New Roman"/>
          <w:bCs/>
          <w:sz w:val="24"/>
          <w:szCs w:val="24"/>
        </w:rPr>
        <w:t>.</w:t>
      </w:r>
    </w:p>
    <w:p w:rsidR="00856048" w:rsidRDefault="009E4992" w:rsidP="00856048">
      <w:pPr>
        <w:pStyle w:val="ListParagraph"/>
        <w:numPr>
          <w:ilvl w:val="0"/>
          <w:numId w:val="10"/>
        </w:numPr>
        <w:spacing w:line="480" w:lineRule="auto"/>
        <w:jc w:val="both"/>
        <w:rPr>
          <w:rFonts w:ascii="Times New Roman" w:hAnsi="Times New Roman" w:cs="Times New Roman"/>
          <w:bCs/>
          <w:sz w:val="24"/>
          <w:szCs w:val="24"/>
        </w:rPr>
      </w:pPr>
      <w:r w:rsidRPr="00856048">
        <w:rPr>
          <w:rFonts w:ascii="Times New Roman" w:hAnsi="Times New Roman" w:cs="Times New Roman"/>
          <w:bCs/>
          <w:sz w:val="24"/>
          <w:szCs w:val="24"/>
        </w:rPr>
        <w:t>H₀: There is no relationship between GHRM practices and organizational competitiveness.</w:t>
      </w:r>
    </w:p>
    <w:p w:rsidR="009E4992" w:rsidRPr="00856048" w:rsidRDefault="009E4992" w:rsidP="00856048">
      <w:pPr>
        <w:pStyle w:val="ListParagraph"/>
        <w:numPr>
          <w:ilvl w:val="0"/>
          <w:numId w:val="10"/>
        </w:numPr>
        <w:spacing w:line="480" w:lineRule="auto"/>
        <w:jc w:val="both"/>
        <w:rPr>
          <w:rFonts w:ascii="Times New Roman" w:hAnsi="Times New Roman" w:cs="Times New Roman"/>
          <w:bCs/>
          <w:sz w:val="24"/>
          <w:szCs w:val="24"/>
        </w:rPr>
      </w:pPr>
      <w:r w:rsidRPr="00856048">
        <w:rPr>
          <w:rFonts w:ascii="Times New Roman" w:hAnsi="Times New Roman" w:cs="Times New Roman"/>
          <w:bCs/>
          <w:sz w:val="24"/>
          <w:szCs w:val="24"/>
        </w:rPr>
        <w:t>H₀: GHRM practices do not play a role in organizational resilience at GTB.</w:t>
      </w:r>
    </w:p>
    <w:p w:rsidR="002E671C" w:rsidRPr="00B00A9F" w:rsidRDefault="002C5934" w:rsidP="009E4992">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 xml:space="preserve">Significance of the Study </w:t>
      </w:r>
    </w:p>
    <w:p w:rsidR="00856048" w:rsidRPr="00856048" w:rsidRDefault="00856048" w:rsidP="00856048">
      <w:pPr>
        <w:spacing w:line="480" w:lineRule="auto"/>
        <w:jc w:val="both"/>
        <w:rPr>
          <w:rFonts w:ascii="Times New Roman" w:hAnsi="Times New Roman" w:cs="Times New Roman"/>
          <w:sz w:val="24"/>
          <w:szCs w:val="24"/>
        </w:rPr>
      </w:pPr>
      <w:r w:rsidRPr="00856048">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rsidR="00856048" w:rsidRPr="00856048" w:rsidRDefault="00856048" w:rsidP="00856048">
      <w:pPr>
        <w:spacing w:line="480" w:lineRule="auto"/>
        <w:jc w:val="both"/>
        <w:rPr>
          <w:rFonts w:ascii="Times New Roman" w:hAnsi="Times New Roman" w:cs="Times New Roman"/>
          <w:sz w:val="24"/>
          <w:szCs w:val="24"/>
        </w:rPr>
      </w:pPr>
    </w:p>
    <w:p w:rsidR="00856048" w:rsidRDefault="00856048" w:rsidP="00856048">
      <w:pPr>
        <w:spacing w:line="480" w:lineRule="auto"/>
        <w:jc w:val="both"/>
        <w:rPr>
          <w:rFonts w:ascii="Times New Roman" w:hAnsi="Times New Roman" w:cs="Times New Roman"/>
          <w:sz w:val="24"/>
          <w:szCs w:val="24"/>
        </w:rPr>
      </w:pPr>
      <w:r w:rsidRPr="00856048">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rsidR="002E671C" w:rsidRDefault="002C5934" w:rsidP="00856048">
      <w:pPr>
        <w:spacing w:line="48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856048" w:rsidRDefault="00856048">
      <w:pPr>
        <w:pStyle w:val="Default"/>
        <w:spacing w:line="480" w:lineRule="auto"/>
        <w:jc w:val="both"/>
        <w:rPr>
          <w:color w:val="auto"/>
        </w:rPr>
      </w:pPr>
      <w:r w:rsidRPr="00856048">
        <w:rPr>
          <w:color w:val="auto"/>
        </w:rPr>
        <w:t>The study's findings will equip line managers and human resource managers at Guaranty Trust Bank with essential insights on enhancing employee performance levels within the organization.</w:t>
      </w:r>
    </w:p>
    <w:p w:rsidR="002E671C" w:rsidRDefault="00B33E36">
      <w:pPr>
        <w:pStyle w:val="Default"/>
        <w:spacing w:line="480" w:lineRule="auto"/>
        <w:jc w:val="both"/>
      </w:pPr>
      <w:r w:rsidRPr="00B33E36">
        <w:rPr>
          <w:color w:val="auto"/>
        </w:rPr>
        <w:t>1.8</w:t>
      </w:r>
      <w:r w:rsidR="002C5934">
        <w:rPr>
          <w:b/>
          <w:bCs/>
        </w:rPr>
        <w:tab/>
        <w:t xml:space="preserve">Definition of Terms </w:t>
      </w:r>
    </w:p>
    <w:p w:rsidR="00856048" w:rsidRDefault="002C5934">
      <w:pPr>
        <w:pStyle w:val="Default"/>
        <w:spacing w:line="480" w:lineRule="auto"/>
        <w:jc w:val="both"/>
        <w:rPr>
          <w:b/>
          <w:bCs/>
        </w:rPr>
      </w:pPr>
      <w:r>
        <w:rPr>
          <w:b/>
          <w:bCs/>
        </w:rPr>
        <w:t>1.8.1</w:t>
      </w:r>
      <w:r>
        <w:rPr>
          <w:b/>
          <w:bCs/>
        </w:rPr>
        <w:tab/>
      </w:r>
    </w:p>
    <w:p w:rsidR="00B33E36" w:rsidRPr="00856048" w:rsidRDefault="002C5934" w:rsidP="00856048">
      <w:pPr>
        <w:pStyle w:val="Default"/>
        <w:spacing w:line="480" w:lineRule="auto"/>
        <w:jc w:val="both"/>
        <w:rPr>
          <w:b/>
          <w:bCs/>
        </w:rPr>
      </w:pPr>
      <w:r>
        <w:rPr>
          <w:b/>
          <w:bCs/>
        </w:rPr>
        <w:t>Human Resource Management</w:t>
      </w:r>
      <w:r w:rsidR="00856048">
        <w:rPr>
          <w:b/>
          <w:bCs/>
        </w:rPr>
        <w:t xml:space="preserve">. </w:t>
      </w:r>
      <w:r>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w:t>
      </w:r>
      <w:r w:rsidR="00B33E36">
        <w:t>al component of sustainability.</w:t>
      </w:r>
    </w:p>
    <w:p w:rsidR="002E671C" w:rsidRPr="00856048" w:rsidRDefault="002C5934" w:rsidP="008560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Green Human Resource Management (G-HRM)</w:t>
      </w:r>
      <w:r w:rsidR="00856048">
        <w:rPr>
          <w:rFonts w:ascii="Times New Roman" w:hAnsi="Times New Roman" w:cs="Times New Roman"/>
          <w:sz w:val="24"/>
          <w:szCs w:val="24"/>
        </w:rPr>
        <w:t xml:space="preserve">. </w:t>
      </w:r>
      <w:r w:rsidR="00B33E36" w:rsidRPr="00B33E36">
        <w:rPr>
          <w:rFonts w:ascii="Times New Roman" w:hAnsi="Times New Roman" w:cs="Times New Roman"/>
          <w:sz w:val="24"/>
          <w:szCs w:val="24"/>
        </w:rPr>
        <w:t>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climate change may pose to their firm. Corporate environmental management's integration with human resource management is known as (G-HRM).</w:t>
      </w:r>
    </w:p>
    <w:p w:rsidR="002E671C" w:rsidRPr="00856048" w:rsidRDefault="002C5934" w:rsidP="00B33E3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Organizational Effectiveness</w:t>
      </w:r>
      <w:r w:rsidR="00856048">
        <w:rPr>
          <w:rFonts w:ascii="Times New Roman" w:hAnsi="Times New Roman" w:cs="Times New Roman"/>
          <w:b/>
          <w:sz w:val="24"/>
          <w:szCs w:val="24"/>
        </w:rPr>
        <w:t xml:space="preserve">. </w:t>
      </w:r>
      <w:r w:rsidR="00B33E36" w:rsidRPr="00B33E36">
        <w:rPr>
          <w:rFonts w:ascii="Times New Roman" w:hAnsi="Times New Roman" w:cs="Times New Roman"/>
          <w:sz w:val="24"/>
          <w:szCs w:val="24"/>
        </w:rPr>
        <w:t>The idea of organizational effectiveness refers to how successfully an organization achieves the results it intends to accomplish. An organization's ability to achieve its objectives is referred to as organizational effectiveness.</w:t>
      </w:r>
      <w:r>
        <w:rPr>
          <w:rFonts w:ascii="Times New Roman" w:hAnsi="Times New Roman" w:cs="Times New Roman"/>
          <w:sz w:val="24"/>
          <w:szCs w:val="24"/>
        </w:rPr>
        <w:t xml:space="preserve"> </w:t>
      </w:r>
    </w:p>
    <w:p w:rsidR="002E671C" w:rsidRDefault="002C5934">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2E671C" w:rsidRDefault="002C5934">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2E671C" w:rsidRDefault="002E671C">
      <w:pPr>
        <w:autoSpaceDE w:val="0"/>
        <w:autoSpaceDN w:val="0"/>
        <w:adjustRightInd w:val="0"/>
        <w:spacing w:after="0" w:line="480" w:lineRule="auto"/>
        <w:jc w:val="both"/>
        <w:rPr>
          <w:rFonts w:ascii="Times New Roman" w:hAnsi="Times New Roman" w:cs="Times New Roman"/>
          <w:b/>
          <w:bCs/>
          <w:sz w:val="24"/>
          <w:szCs w:val="24"/>
        </w:rPr>
      </w:pP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Introduction </w:t>
      </w:r>
    </w:p>
    <w:p w:rsidR="00B33E36" w:rsidRDefault="00856048">
      <w:pPr>
        <w:tabs>
          <w:tab w:val="left" w:pos="3555"/>
        </w:tabs>
        <w:spacing w:line="480" w:lineRule="auto"/>
        <w:jc w:val="both"/>
        <w:rPr>
          <w:rFonts w:ascii="Times New Roman" w:hAnsi="Times New Roman" w:cs="Times New Roman"/>
          <w:sz w:val="24"/>
          <w:szCs w:val="24"/>
        </w:rPr>
      </w:pPr>
      <w:r w:rsidRPr="00856048">
        <w:rPr>
          <w:rFonts w:ascii="Times New Roman" w:hAnsi="Times New Roman" w:cs="Times New Roman"/>
          <w:sz w:val="24"/>
          <w:szCs w:val="24"/>
        </w:rPr>
        <w:t>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follows.</w:t>
      </w:r>
      <w:r w:rsidR="00B33E36" w:rsidRPr="00B33E36">
        <w:rPr>
          <w:rFonts w:ascii="Times New Roman" w:hAnsi="Times New Roman" w:cs="Times New Roman"/>
          <w:sz w:val="24"/>
          <w:szCs w:val="24"/>
        </w:rPr>
        <w:t>.</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2.2     Conceptual Review</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     Concept of Green Human Resource Management (G-HRM)</w:t>
      </w:r>
    </w:p>
    <w:p w:rsidR="00266629"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t>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Gao,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Albertini, 2021; Martín-de-Castro et al., 2023).</w:t>
      </w:r>
    </w:p>
    <w:p w:rsidR="00541105" w:rsidRPr="00541105"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lastRenderedPageBreak/>
        <w:t>The progressive degradation of the natural environment due to human exploitation has necessitated the introduction of sustainable development. This paradigm not only promotes a new quality of management (Skowroński, 2022) but also demands the pursuit of novel sources of competitive advantage to align corporate economic goals with broader social and environmental interests (Hart &amp; Milstein, 2021; Abidin &amp; Pasquire, 2022; Joonhyun &amp; Jinsoo, 2023; Jabłoński, 2023). Despite being explored for over a decade, the connections between sustainable development and human resources in organizations have only recently gained recognition. The human factor is crucial in driving practices that enhance organizations' environmental effectiveness. Eco-oriented management relies on individuals who possess a positive environmental attitude, ecological competence, and a sense of responsibility for the environmental consequences of their actions (Bombiak &amp; Marciniuk-Kluska, 2023; Smaliukienė &amp; Monn, 2022). Green Human Resource Management (GHRM) plays a vital role in fostering environmentally friendly practices within organizations.</w:t>
      </w:r>
    </w:p>
    <w:p w:rsidR="00541105" w:rsidRPr="00541105"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rsidR="00541105" w:rsidRPr="00541105" w:rsidRDefault="00541105" w:rsidP="00541105">
      <w:pPr>
        <w:spacing w:line="480" w:lineRule="auto"/>
        <w:jc w:val="both"/>
        <w:rPr>
          <w:rFonts w:ascii="Times New Roman" w:hAnsi="Times New Roman" w:cs="Times New Roman"/>
          <w:sz w:val="24"/>
          <w:szCs w:val="24"/>
        </w:rPr>
      </w:pPr>
    </w:p>
    <w:p w:rsidR="00541105" w:rsidRPr="00541105"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t xml:space="preserve">According to Renwick (2023), GHRM is defined as the extent to which human resource management practices are "greened." Jabbour (2022) describes GHRM practices as the actual HR programs, processes, and techniques implemented in organizations. GHRM represents a blend of HRM and environmental stewardship, as noted by Renwick (2023). The HRM aspect of </w:t>
      </w:r>
      <w:r w:rsidRPr="00541105">
        <w:rPr>
          <w:rFonts w:ascii="Times New Roman" w:hAnsi="Times New Roman" w:cs="Times New Roman"/>
          <w:sz w:val="24"/>
          <w:szCs w:val="24"/>
        </w:rPr>
        <w:lastRenderedPageBreak/>
        <w:t>corporate environmental responsibility is termed GHRM (Mandip, 2022). A critical factor influencing job seekers' perceptions of organizations is their commitment to sustainability (Behrend, 2022; Williamson, 2021). The reputation of a company is significantly shaped by its environmental actions (Lii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rsidR="00541105" w:rsidRPr="00541105"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t>Jabbour, Santos, and Naganos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environmental goals of the company. This entails engaging each employee in sustainable practices and enhancing their commitment to sustainability challenges.</w:t>
      </w:r>
    </w:p>
    <w:p w:rsidR="00541105" w:rsidRPr="00541105"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t>Anjana Nath describes green HR initiatives as those that improve productivity, reduce costs, and boost employee engagement. Mandip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rsidR="00541105" w:rsidRPr="00541105" w:rsidRDefault="00541105" w:rsidP="00541105">
      <w:pPr>
        <w:spacing w:line="480" w:lineRule="auto"/>
        <w:jc w:val="both"/>
        <w:rPr>
          <w:rFonts w:ascii="Times New Roman" w:hAnsi="Times New Roman" w:cs="Times New Roman"/>
          <w:sz w:val="24"/>
          <w:szCs w:val="24"/>
        </w:rPr>
      </w:pPr>
      <w:r w:rsidRPr="00541105">
        <w:rPr>
          <w:rFonts w:ascii="Times New Roman" w:hAnsi="Times New Roman" w:cs="Times New Roman"/>
          <w:sz w:val="24"/>
          <w:szCs w:val="24"/>
        </w:rPr>
        <w:t xml:space="preserve">The primary objective of this article is to explore the reciprocal relationships between human resource management (HRM) and environmental management (EM) through a literature review. </w:t>
      </w:r>
      <w:r w:rsidRPr="00541105">
        <w:rPr>
          <w:rFonts w:ascii="Times New Roman" w:hAnsi="Times New Roman" w:cs="Times New Roman"/>
          <w:sz w:val="24"/>
          <w:szCs w:val="24"/>
        </w:rPr>
        <w:lastRenderedPageBreak/>
        <w:t>A key aspect of this paper is the examination of the emerging topic that integrates HRM and EM: green human resource management (GHRM) (Amrutha &amp; Geetha, 2023). In this context, we differentiate between studies that utilize general HRM variables and those that focus specifically on GHRM variables.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2.3.2     Green Human Resource Management (G-HRM) Processes </w:t>
      </w:r>
    </w:p>
    <w:p w:rsidR="00266629" w:rsidRDefault="00266629">
      <w:pPr>
        <w:autoSpaceDE w:val="0"/>
        <w:autoSpaceDN w:val="0"/>
        <w:adjustRightInd w:val="0"/>
        <w:spacing w:after="0" w:line="480" w:lineRule="auto"/>
        <w:jc w:val="both"/>
      </w:pPr>
      <w:r>
        <w:t>Mandip emphasizes that green HR practices should be integrated into various HR procedures, including recruitment and selection, training and development, compensation and rewards administration, as well as performance management.</w:t>
      </w:r>
    </w:p>
    <w:p w:rsidR="002E671C" w:rsidRDefault="002C5934">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Green Recruitment and Selection</w:t>
      </w:r>
    </w:p>
    <w:p w:rsidR="002E671C" w:rsidRDefault="005F592B">
      <w:pPr>
        <w:autoSpaceDE w:val="0"/>
        <w:autoSpaceDN w:val="0"/>
        <w:adjustRightInd w:val="0"/>
        <w:spacing w:after="0" w:line="480" w:lineRule="auto"/>
        <w:jc w:val="both"/>
        <w:rPr>
          <w:rFonts w:ascii="Times New Roman" w:hAnsi="Times New Roman" w:cs="Times New Roman"/>
          <w:sz w:val="24"/>
          <w:szCs w:val="24"/>
        </w:rPr>
      </w:pPr>
      <w:r w:rsidRPr="005F592B">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(Holtom, 2008). It focuses on identifying high performing employees and the potential areas of strength for them.</w:t>
      </w:r>
      <w:r>
        <w:rPr>
          <w:rFonts w:ascii="Times New Roman" w:hAnsi="Times New Roman" w:cs="Times New Roman"/>
          <w:sz w:val="24"/>
          <w:szCs w:val="24"/>
        </w:rPr>
        <w:t xml:space="preserve"> </w:t>
      </w:r>
      <w:r w:rsidRPr="005F592B">
        <w:rPr>
          <w:rFonts w:ascii="Times New Roman" w:hAnsi="Times New Roman" w:cs="Times New Roman"/>
          <w:sz w:val="24"/>
          <w:szCs w:val="24"/>
        </w:rPr>
        <w:t>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Wehrmeyer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rsidR="005F592B" w:rsidRDefault="005F592B">
      <w:pPr>
        <w:autoSpaceDE w:val="0"/>
        <w:autoSpaceDN w:val="0"/>
        <w:adjustRightInd w:val="0"/>
        <w:spacing w:after="0" w:line="480" w:lineRule="auto"/>
        <w:jc w:val="both"/>
        <w:rPr>
          <w:rFonts w:ascii="Times New Roman" w:hAnsi="Times New Roman" w:cs="Times New Roman"/>
          <w:sz w:val="24"/>
          <w:szCs w:val="24"/>
        </w:rPr>
      </w:pPr>
    </w:p>
    <w:p w:rsidR="002E671C" w:rsidRDefault="002C5934">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Green Training </w:t>
      </w:r>
    </w:p>
    <w:p w:rsidR="00266629" w:rsidRDefault="00266629">
      <w:pPr>
        <w:autoSpaceDE w:val="0"/>
        <w:autoSpaceDN w:val="0"/>
        <w:adjustRightInd w:val="0"/>
        <w:spacing w:after="0" w:line="480" w:lineRule="auto"/>
        <w:jc w:val="both"/>
        <w:rPr>
          <w:rFonts w:ascii="Times New Roman" w:hAnsi="Times New Roman" w:cs="Times New Roman"/>
          <w:sz w:val="24"/>
          <w:szCs w:val="24"/>
        </w:rPr>
      </w:pPr>
      <w:r w:rsidRPr="00266629">
        <w:rPr>
          <w:rFonts w:ascii="Times New Roman" w:hAnsi="Times New Roman" w:cs="Times New Roman"/>
          <w:sz w:val="24"/>
          <w:szCs w:val="24"/>
        </w:rPr>
        <w:t>Training and development involve enhancing employees' attitudes, behaviors, knowledge, and skills, particularly in relation to environmental competencies (Smith &amp; Jones, 2023). Training is 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rsidR="002E671C" w:rsidRDefault="002C5934">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Green Learning and Development</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(Wehrmeyer &amp; Vickerstaff, 1996). For example, research studies related to the training readiness revealed that learning opportunities exposure is more effective in case of highly </w:t>
      </w:r>
      <w:r>
        <w:rPr>
          <w:rFonts w:ascii="Times New Roman" w:hAnsi="Times New Roman" w:cs="Times New Roman"/>
          <w:sz w:val="24"/>
          <w:szCs w:val="24"/>
        </w:rPr>
        <w:lastRenderedPageBreak/>
        <w:t>motivated employees who are psychologically ready for learning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Green Compensation and Reward Management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Green</w:t>
      </w:r>
      <w:r>
        <w:rPr>
          <w:rFonts w:ascii="Times New Roman" w:hAnsi="Times New Roman" w:cs="Times New Roman"/>
          <w:b/>
          <w:bCs/>
          <w:sz w:val="24"/>
          <w:szCs w:val="24"/>
        </w:rPr>
        <w:t xml:space="preserve"> Performance Management</w:t>
      </w:r>
    </w:p>
    <w:p w:rsidR="00B22816" w:rsidRDefault="00B22816">
      <w:pPr>
        <w:autoSpaceDE w:val="0"/>
        <w:autoSpaceDN w:val="0"/>
        <w:adjustRightInd w:val="0"/>
        <w:spacing w:after="0" w:line="480" w:lineRule="auto"/>
        <w:jc w:val="both"/>
        <w:rPr>
          <w:rFonts w:ascii="Times New Roman" w:hAnsi="Times New Roman" w:cs="Times New Roman"/>
          <w:sz w:val="24"/>
          <w:szCs w:val="24"/>
        </w:rPr>
      </w:pPr>
      <w:r w:rsidRPr="00B22816">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(Ployhart, 2012). Environmental performance can be defined as a measure of an organization's level of effectiveness in implementing environmental initiatives to minimize the harmful effects of its industrial processes and waste on the environment (Wong, 2013).</w:t>
      </w:r>
    </w:p>
    <w:p w:rsidR="00B22816" w:rsidRDefault="00B22816">
      <w:pPr>
        <w:tabs>
          <w:tab w:val="left" w:pos="3555"/>
        </w:tabs>
        <w:spacing w:line="480" w:lineRule="auto"/>
        <w:jc w:val="both"/>
        <w:rPr>
          <w:rFonts w:ascii="Times New Roman" w:hAnsi="Times New Roman" w:cs="Times New Roman"/>
          <w:sz w:val="24"/>
          <w:szCs w:val="24"/>
        </w:rPr>
      </w:pPr>
      <w:r w:rsidRPr="00B22816">
        <w:rPr>
          <w:rFonts w:ascii="Times New Roman" w:hAnsi="Times New Roman" w:cs="Times New Roman"/>
          <w:sz w:val="24"/>
          <w:szCs w:val="24"/>
        </w:rPr>
        <w:t>HRM practices are sometimes referred to as the specific human resource processes, initiatives, and systems that are actually put into place in commercial firms or organizations (Gerhart, 2000; Huselid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Enhancing the organization's performance in terms of sustainability and the environment is the ultimate goal of green HRM practices.</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2.3.3     Green Human Resource Management (G-HRM) Practices</w:t>
      </w:r>
    </w:p>
    <w:p w:rsidR="00B22816" w:rsidRDefault="00B22816">
      <w:pPr>
        <w:spacing w:line="480" w:lineRule="auto"/>
        <w:jc w:val="both"/>
        <w:rPr>
          <w:rFonts w:ascii="Times New Roman" w:hAnsi="Times New Roman" w:cs="Times New Roman"/>
          <w:sz w:val="24"/>
          <w:szCs w:val="24"/>
        </w:rPr>
      </w:pPr>
      <w:r w:rsidRPr="00B22816">
        <w:rPr>
          <w:rFonts w:ascii="Times New Roman" w:hAnsi="Times New Roman" w:cs="Times New Roman"/>
          <w:sz w:val="24"/>
          <w:szCs w:val="24"/>
        </w:rPr>
        <w:lastRenderedPageBreak/>
        <w:t>Researchers Cohen and Taylor (2010), Ehner (2009), Behrend (2009), and Philips (2007) advocate the following Green HRM best practices: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Encouraging employees, through training and compensation is to find ways to reduce the use of environmentally damaging chemicals in their products.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Assisting employees in identifying ways to recycle products that can be used for playgrounds for children who don’t have access to healthy places to play.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Designing a company’s HRM system is to reflect equity, development, and well­being, thus contributing to the long-term health and sustainability of both internal (employees) and external communities.</w:t>
      </w:r>
    </w:p>
    <w:p w:rsidR="002E671C" w:rsidRDefault="00B2281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2C5934">
        <w:rPr>
          <w:rFonts w:ascii="Times New Roman" w:hAnsi="Times New Roman" w:cs="Times New Roman"/>
          <w:sz w:val="24"/>
          <w:szCs w:val="24"/>
        </w:rPr>
        <w:t xml:space="preserve"> Emphasizing long-term employment security is to avoid disruption for employees, their families, and communities.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Use of job portals of companies for recruitment and custom of telephone, internet and video interviews which can lessen the travel requirements of the candidate and affecting the reduction in paperwork.</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Talented, skilled and experienced employees are environmentally conscious now and they always look for self-actualization to be committed to their work. Green HR can create this commitment by following green values and practices.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Green actions can occur with minimum use of paper and printed materials in recruitment, training and development, and performance appraisal.</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A company can create a green business environment by reducing the use of printed materials, increased ‘recycling, using eco-friendly grocery and lunch bags and’ prohibiting the use of bottled water, plastic in the workplace.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Luminous light bulbs and other energy-saving green devices can be used in the workplace.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Companies can inspire their employees to change their travel and transportation ways through reducing official car trips, using public transport for business travel, carpooling, providing interest-free loans to purchase hybrid cars, and cycling or walking to work.</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Conduct business meetings and conferences through the internet, telephone, and video conferencing wherever possible to reduce business travel.</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Provide flexible work opportunities to employees in telework or work from home by using emails and company portals through intranet and internet.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Encourage the employee to turn off lights; computers and printers after work hours and on weekends for further energy reductions.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Inspire employees to place computers and printers in energy-saving settings when they will be away for a while.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Turn off office lights while attending meetings and at night and over the weekend. Turn lights off in restrooms, conference rooms, libraries, and so forth when the room is not in use.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Work with IT to switch to laptops over desktop computers because Laptops consume up to 90% less power.</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Arrange an air conditioning system with discretion.</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Purchase large or refillable containers of creamer, sugar, salt, pepper, and butter instead of individual containers.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Arrange green-themed games to promote environmentally friendly behavior and staff togetherness.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Provide green promotion which includes loan discounts on fuel-efficient cars and energy-saving home improvements, discounts at local green merchants.</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2.3.4     How to Implement Green Human Resource Management (G-HRM)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Jabbour and Santos (2008), consider HRM may contribute to environmental management in companies if they: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22816">
        <w:rPr>
          <w:rFonts w:ascii="Times New Roman" w:hAnsi="Times New Roman" w:cs="Times New Roman"/>
          <w:sz w:val="24"/>
          <w:szCs w:val="24"/>
        </w:rPr>
        <w:t xml:space="preserve"> </w:t>
      </w:r>
      <w:r>
        <w:rPr>
          <w:rFonts w:ascii="Times New Roman" w:hAnsi="Times New Roman" w:cs="Times New Roman"/>
          <w:sz w:val="24"/>
          <w:szCs w:val="24"/>
        </w:rPr>
        <w:t>Recruit and select people committed to the environment;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b. Train and evaluate employees’ performance based on environmental criteria;</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c. Implement ways of rewarding individual and collective environmental performance is remunerated and non-remunerated ways;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  Stimulate continuous education in environmental management;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e. Treat environmental aspects as values of corporate culture and</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f. Promote interaction between teams to deal with environmental problems and strive for continuous improvement of environmental management activities.</w:t>
      </w:r>
    </w:p>
    <w:p w:rsidR="00B63660" w:rsidRDefault="00B22816">
      <w:pPr>
        <w:spacing w:line="480" w:lineRule="auto"/>
        <w:jc w:val="both"/>
        <w:rPr>
          <w:rFonts w:ascii="Times New Roman" w:hAnsi="Times New Roman" w:cs="Times New Roman"/>
          <w:sz w:val="24"/>
          <w:szCs w:val="24"/>
        </w:rPr>
      </w:pPr>
      <w:r w:rsidRPr="00B22816">
        <w:rPr>
          <w:rFonts w:ascii="Times New Roman" w:hAnsi="Times New Roman" w:cs="Times New Roman"/>
          <w:sz w:val="24"/>
          <w:szCs w:val="24"/>
        </w:rPr>
        <w:t>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w:t>
      </w:r>
      <w:r w:rsidR="00B63660">
        <w:rPr>
          <w:rFonts w:ascii="Times New Roman" w:hAnsi="Times New Roman" w:cs="Times New Roman"/>
          <w:sz w:val="24"/>
          <w:szCs w:val="24"/>
        </w:rPr>
        <w:t xml:space="preserve"> </w:t>
      </w:r>
    </w:p>
    <w:p w:rsidR="00B63660" w:rsidRDefault="00B63660">
      <w:pPr>
        <w:tabs>
          <w:tab w:val="left" w:pos="3555"/>
        </w:tabs>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Employers who care about the environment can leverage their green commitments to draw in talent that supports and helps them reach their environmental objectives.</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2.3.5     Strategic Aspect of Green Human Resource Management (G-HRM)</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lastRenderedPageBreak/>
        <w:t>The following are five key areas where sustainability principles can be used to transform an organization into a fully sustainable enterprise, according to Zoogah (2010):</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sz w:val="24"/>
          <w:szCs w:val="24"/>
        </w:rPr>
        <w:t>. “The Green products/services Portfolio”</w:t>
      </w:r>
      <w:r>
        <w:rPr>
          <w:rFonts w:ascii="Times New Roman" w:hAnsi="Times New Roman" w:cs="Times New Roman"/>
          <w:sz w:val="24"/>
          <w:szCs w:val="24"/>
        </w:rPr>
        <w:t xml:space="preserve"> including waste and pollution management, resource replacement, sustainable design, and adaptive reuse.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sz w:val="24"/>
          <w:szCs w:val="24"/>
        </w:rPr>
        <w:t>“The Green Workforce”</w:t>
      </w:r>
      <w:r>
        <w:rPr>
          <w:rFonts w:ascii="Times New Roman" w:hAnsi="Times New Roman" w:cs="Times New Roman"/>
          <w:sz w:val="24"/>
          <w:szCs w:val="24"/>
        </w:rPr>
        <w:t xml:space="preserve"> including Human Resource strategies, culture, recruiting and retention, training, career path development, and diversity.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sz w:val="24"/>
          <w:szCs w:val="24"/>
        </w:rPr>
        <w:t>“The Green Workplace”</w:t>
      </w:r>
      <w:r>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b/>
          <w:sz w:val="24"/>
          <w:szCs w:val="24"/>
        </w:rPr>
        <w:t>. “The Green Function/Process Model”</w:t>
      </w:r>
      <w:r>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b/>
          <w:sz w:val="24"/>
          <w:szCs w:val="24"/>
        </w:rPr>
        <w:t>. “The Green Management and Governance Principles”</w:t>
      </w:r>
      <w:r>
        <w:rPr>
          <w:rFonts w:ascii="Times New Roman" w:hAnsi="Times New Roman" w:cs="Times New Roman"/>
          <w:sz w:val="24"/>
          <w:szCs w:val="24"/>
        </w:rPr>
        <w:t xml:space="preserve"> including board and management accountability, sustainability test, compliance, incentives, ethics, reporting, and assurance.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2.3.6  </w:t>
      </w:r>
      <w:r w:rsidR="00B63660">
        <w:rPr>
          <w:rFonts w:ascii="Times New Roman" w:hAnsi="Times New Roman" w:cs="Times New Roman"/>
          <w:b/>
          <w:sz w:val="24"/>
          <w:szCs w:val="24"/>
        </w:rPr>
        <w:t xml:space="preserve">  Benefits accrues to</w:t>
      </w:r>
      <w:r>
        <w:rPr>
          <w:rFonts w:ascii="Times New Roman" w:hAnsi="Times New Roman" w:cs="Times New Roman"/>
          <w:b/>
          <w:sz w:val="24"/>
          <w:szCs w:val="24"/>
        </w:rPr>
        <w:t xml:space="preserve"> Green Human Resource Management (G-HRM)</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 xml:space="preserve">Green HRM entails implementing eco-friendly HR initiatives that increase productivity, decrease costs, and improve employee engagement and retention. These initiatives include electronic </w:t>
      </w:r>
      <w:r w:rsidRPr="00B63660">
        <w:rPr>
          <w:rFonts w:ascii="Times New Roman" w:hAnsi="Times New Roman" w:cs="Times New Roman"/>
          <w:sz w:val="24"/>
          <w:szCs w:val="24"/>
        </w:rPr>
        <w:lastRenderedPageBreak/>
        <w:t>filing, car and job sharing, teleconferencing and virtual interviews, recycling, telecommuting, online hiring and training, energy-efficient office design, and others.</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The industry relies heavily on green human resource management to advance environmental concerns. Organizations must create HR policies and procedures, educate employees about the environment, and put environmental protection regulations into effect.</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Experts have identified the benefits/advantages of G-HRM, which are mentioned below:</w:t>
      </w:r>
    </w:p>
    <w:p w:rsidR="00B63660" w:rsidRPr="00B63660" w:rsidRDefault="002C5934" w:rsidP="00B63660">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B63660" w:rsidRPr="00B63660">
        <w:t xml:space="preserve"> </w:t>
      </w:r>
      <w:r w:rsidR="00B63660" w:rsidRPr="00B63660">
        <w:rPr>
          <w:rFonts w:ascii="Times New Roman" w:hAnsi="Times New Roman" w:cs="Times New Roman"/>
          <w:sz w:val="24"/>
          <w:szCs w:val="24"/>
        </w:rPr>
        <w:t>assisting businesses in cutting costs without sacrificing talent.</w:t>
      </w:r>
    </w:p>
    <w:p w:rsidR="00B63660" w:rsidRPr="00B63660"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2. By going green and creating a fresh, welcoming environment, businesses have immense development potential and can make significant operational savings by lowering their carbon footprint.</w:t>
      </w:r>
    </w:p>
    <w:p w:rsidR="00B63660" w:rsidRPr="00B63660"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3. It facilitates a rise in staff dedication and job satisfaction, which boosts output and sustainability.</w:t>
      </w:r>
    </w:p>
    <w:p w:rsidR="00B63660" w:rsidRPr="00B63660"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4. Foster a culture of caring about the safety and health of coworkers.</w:t>
      </w:r>
    </w:p>
    <w:p w:rsidR="002E671C"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5. An increase in the employee retention rate.</w:t>
      </w:r>
    </w:p>
    <w:p w:rsidR="002E671C" w:rsidRDefault="002C5934" w:rsidP="00B636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 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12. Rebates and Tax Benefits. Going green is easier with the assistance of governments, local municipalities, Water supply authority, and electric companies that offer tax incentives and rebates.</w:t>
      </w:r>
    </w:p>
    <w:p w:rsidR="00B63660" w:rsidRPr="00B63660" w:rsidRDefault="002C5934" w:rsidP="00B63660">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sidR="00B63660" w:rsidRPr="00B63660">
        <w:t xml:space="preserve"> </w:t>
      </w:r>
      <w:r w:rsidR="00B63660" w:rsidRPr="00B63660">
        <w:rPr>
          <w:rFonts w:ascii="Times New Roman" w:hAnsi="Times New Roman" w:cs="Times New Roman"/>
          <w:sz w:val="24"/>
          <w:szCs w:val="24"/>
        </w:rPr>
        <w:t>increased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2E671C"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14. Lessening of environmental harm. encouraging workers to develop ways to use less resources that are harmful to the environment through training and compensation.</w:t>
      </w:r>
      <w:r w:rsidR="002C5934">
        <w:rPr>
          <w:rFonts w:ascii="Times New Roman" w:hAnsi="Times New Roman" w:cs="Times New Roman"/>
          <w:sz w:val="24"/>
          <w:szCs w:val="24"/>
        </w:rPr>
        <w:t>Today,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B63660">
        <w:rPr>
          <w:rFonts w:ascii="Times New Roman" w:hAnsi="Times New Roman" w:cs="Times New Roman"/>
          <w:b/>
          <w:sz w:val="24"/>
          <w:szCs w:val="24"/>
        </w:rPr>
        <w:t xml:space="preserve">.3.7     Dysfunctional </w:t>
      </w:r>
      <w:r>
        <w:rPr>
          <w:rFonts w:ascii="Times New Roman" w:hAnsi="Times New Roman" w:cs="Times New Roman"/>
          <w:b/>
          <w:sz w:val="24"/>
          <w:szCs w:val="24"/>
        </w:rPr>
        <w:t xml:space="preserve"> of Green Human Resource Management (G-HRM)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Initial costs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Perhaps the greatest disadvantage of going green is that it often requires a large initial cost.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Inadequate savings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Increased capital outlays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Uneven competition</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Pr>
          <w:rFonts w:ascii="Times New Roman" w:hAnsi="Times New Roman" w:cs="Times New Roman"/>
          <w:b/>
          <w:sz w:val="24"/>
          <w:szCs w:val="24"/>
        </w:rPr>
        <w:t xml:space="preserve"> </w:t>
      </w:r>
      <w:r>
        <w:rPr>
          <w:rFonts w:ascii="Times New Roman" w:hAnsi="Times New Roman" w:cs="Times New Roman"/>
          <w:sz w:val="24"/>
          <w:szCs w:val="24"/>
        </w:rPr>
        <w:t xml:space="preserve">For instance, if one company decides to adhere to strict, self-imposed pollution standards which require the installation of new technology and workers, while another </w:t>
      </w:r>
      <w:r>
        <w:rPr>
          <w:rFonts w:ascii="Times New Roman" w:hAnsi="Times New Roman" w:cs="Times New Roman"/>
          <w:sz w:val="24"/>
          <w:szCs w:val="24"/>
        </w:rPr>
        <w:lastRenderedPageBreak/>
        <w:t>sets loose standards, the second company will be at an advantage since they will have lower production costs.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Marginal impact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rsidR="002E671C" w:rsidRDefault="002E671C">
      <w:pPr>
        <w:spacing w:line="480" w:lineRule="auto"/>
        <w:jc w:val="both"/>
        <w:rPr>
          <w:rFonts w:ascii="Times New Roman" w:hAnsi="Times New Roman" w:cs="Times New Roman"/>
          <w:sz w:val="24"/>
          <w:szCs w:val="24"/>
        </w:rPr>
      </w:pPr>
    </w:p>
    <w:p w:rsidR="002E671C" w:rsidRDefault="002E671C">
      <w:pPr>
        <w:spacing w:line="480" w:lineRule="auto"/>
        <w:jc w:val="both"/>
        <w:rPr>
          <w:rFonts w:ascii="Times New Roman" w:hAnsi="Times New Roman" w:cs="Times New Roman"/>
          <w:sz w:val="24"/>
          <w:szCs w:val="24"/>
        </w:rPr>
      </w:pPr>
    </w:p>
    <w:p w:rsidR="002E671C" w:rsidRDefault="002E671C">
      <w:pPr>
        <w:spacing w:line="480" w:lineRule="auto"/>
        <w:jc w:val="both"/>
        <w:rPr>
          <w:rFonts w:ascii="Times New Roman" w:hAnsi="Times New Roman" w:cs="Times New Roman"/>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Employee apathy and reluctance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2.4     Concept of Organizational Effectiveness</w:t>
      </w:r>
    </w:p>
    <w:p w:rsidR="006356DD" w:rsidRDefault="006356DD">
      <w:pPr>
        <w:pStyle w:val="Default"/>
        <w:spacing w:line="480" w:lineRule="auto"/>
        <w:jc w:val="both"/>
        <w:rPr>
          <w:color w:val="auto"/>
        </w:rPr>
      </w:pPr>
      <w:r w:rsidRPr="006356DD">
        <w:rPr>
          <w:color w:val="auto"/>
        </w:rPr>
        <w:t>The degree to which an organization accomplishes its intended goals using the available resources and tools without putting an unnecessary burden on its members is referred to as organizational effectiveness.</w:t>
      </w:r>
    </w:p>
    <w:p w:rsidR="00F07985" w:rsidRDefault="00F07985">
      <w:pPr>
        <w:spacing w:line="480" w:lineRule="auto"/>
        <w:jc w:val="both"/>
        <w:rPr>
          <w:rFonts w:ascii="Times New Roman" w:hAnsi="Times New Roman" w:cs="Times New Roman"/>
          <w:sz w:val="24"/>
          <w:szCs w:val="24"/>
        </w:rPr>
      </w:pPr>
      <w:r w:rsidRPr="00F07985">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w:t>
      </w:r>
      <w:r w:rsidRPr="00F07985">
        <w:rPr>
          <w:rFonts w:ascii="Times New Roman" w:hAnsi="Times New Roman" w:cs="Times New Roman"/>
          <w:color w:val="000000"/>
          <w:sz w:val="24"/>
          <w:szCs w:val="24"/>
        </w:rPr>
        <w:lastRenderedPageBreak/>
        <w:t>organizational effectiveness.</w:t>
      </w:r>
      <w:r>
        <w:rPr>
          <w:rFonts w:ascii="Times New Roman" w:hAnsi="Times New Roman" w:cs="Times New Roman"/>
          <w:color w:val="000000"/>
          <w:sz w:val="24"/>
          <w:szCs w:val="24"/>
        </w:rPr>
        <w:t xml:space="preserve"> </w:t>
      </w:r>
      <w:r w:rsidR="002C5934">
        <w:rPr>
          <w:rFonts w:ascii="Times New Roman" w:hAnsi="Times New Roman" w:cs="Times New Roman"/>
          <w:sz w:val="24"/>
          <w:szCs w:val="24"/>
        </w:rPr>
        <w:t xml:space="preserve">Sometimes efficiency and effectiveness are used as synonyms. </w:t>
      </w:r>
      <w:r w:rsidRPr="00F07985">
        <w:rPr>
          <w:rFonts w:ascii="Times New Roman" w:hAnsi="Times New Roman" w:cs="Times New Roman"/>
          <w:sz w:val="24"/>
          <w:szCs w:val="24"/>
        </w:rPr>
        <w:t>There is, however, a distinction between the two ideas. To understand why organizations may be effective but not efficient or efficient but not effective, it is crucial to clarify the differences between the ideas of effectiveness and efficiency.</w:t>
      </w:r>
      <w:r>
        <w:rPr>
          <w:rFonts w:ascii="Times New Roman" w:hAnsi="Times New Roman" w:cs="Times New Roman"/>
          <w:sz w:val="24"/>
          <w:szCs w:val="24"/>
        </w:rPr>
        <w:t xml:space="preserve"> </w:t>
      </w:r>
      <w:r w:rsidRPr="00F07985">
        <w:rPr>
          <w:rFonts w:ascii="Times New Roman" w:hAnsi="Times New Roman" w:cs="Times New Roman"/>
          <w:sz w:val="24"/>
          <w:szCs w:val="24"/>
        </w:rPr>
        <w:t>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F07985" w:rsidRDefault="00F07985">
      <w:pPr>
        <w:spacing w:line="480" w:lineRule="auto"/>
        <w:jc w:val="both"/>
        <w:rPr>
          <w:rFonts w:ascii="Times New Roman" w:hAnsi="Times New Roman" w:cs="Times New Roman"/>
          <w:b/>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2.4.1</w:t>
      </w:r>
      <w:r>
        <w:rPr>
          <w:rFonts w:ascii="Times New Roman" w:hAnsi="Times New Roman" w:cs="Times New Roman"/>
          <w:b/>
          <w:sz w:val="24"/>
          <w:szCs w:val="24"/>
        </w:rPr>
        <w:tab/>
        <w:t>Approaches to Organizational Effectiveness</w:t>
      </w:r>
    </w:p>
    <w:p w:rsidR="00F07985" w:rsidRDefault="00F07985">
      <w:pPr>
        <w:spacing w:line="480" w:lineRule="auto"/>
        <w:jc w:val="both"/>
        <w:rPr>
          <w:rFonts w:ascii="Times New Roman" w:hAnsi="Times New Roman" w:cs="Times New Roman"/>
          <w:sz w:val="24"/>
          <w:szCs w:val="24"/>
        </w:rPr>
      </w:pPr>
      <w:r w:rsidRPr="00F07985">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Goal Approach</w:t>
      </w:r>
    </w:p>
    <w:p w:rsidR="00F07985" w:rsidRDefault="00F07985">
      <w:pPr>
        <w:spacing w:line="480" w:lineRule="auto"/>
        <w:jc w:val="both"/>
        <w:rPr>
          <w:rFonts w:ascii="Times New Roman" w:hAnsi="Times New Roman" w:cs="Times New Roman"/>
          <w:sz w:val="24"/>
          <w:szCs w:val="24"/>
        </w:rPr>
      </w:pPr>
      <w:r w:rsidRPr="00F07985">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Functional Approach</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System Resource Approach</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w:t>
      </w:r>
      <w:r>
        <w:rPr>
          <w:rFonts w:ascii="Times New Roman" w:hAnsi="Times New Roman" w:cs="Times New Roman"/>
          <w:sz w:val="24"/>
          <w:szCs w:val="24"/>
        </w:rPr>
        <w:lastRenderedPageBreak/>
        <w:t>organizational effectiveness. It has been defined in terms of organizational goal-achieving behavior, i.e., the manager’s own behavior contributes to achievement of organizational goals.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2.4.2</w:t>
      </w:r>
      <w:r>
        <w:rPr>
          <w:rFonts w:ascii="Times New Roman" w:hAnsi="Times New Roman" w:cs="Times New Roman"/>
          <w:b/>
          <w:sz w:val="24"/>
          <w:szCs w:val="24"/>
        </w:rPr>
        <w:tab/>
        <w:t>Factors Affecting Organizational Effectiveness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Likert has classified the factors affecting organizational effectiveness into following three variables: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Causal Variables:</w:t>
      </w:r>
      <w:r>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Intervening Variables:</w:t>
      </w:r>
      <w:r>
        <w:rPr>
          <w:rFonts w:ascii="Times New Roman" w:hAnsi="Times New Roman" w:cs="Times New Roman"/>
          <w:sz w:val="24"/>
          <w:szCs w:val="24"/>
        </w:rPr>
        <w:t xml:space="preserve"> Intervening variables according to Likert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End-Result Variables:</w:t>
      </w:r>
      <w:r>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Inter-Relationship of Variables</w:t>
      </w:r>
    </w:p>
    <w:p w:rsidR="00F07985" w:rsidRDefault="002C5934" w:rsidP="00F079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three variables such as causal, intervening and end-result are interrelated. The inter-relationship may be visualized as psychological process where stimuli or causal variables acting upon the organism or intervening variables and creating certain responses or end-result variables. The causal, intervening and end-result variables comprise a complex network with many </w:t>
      </w:r>
      <w:r>
        <w:rPr>
          <w:rFonts w:ascii="Times New Roman" w:hAnsi="Times New Roman" w:cs="Times New Roman"/>
          <w:sz w:val="24"/>
          <w:szCs w:val="24"/>
        </w:rPr>
        <w:lastRenderedPageBreak/>
        <w:t>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rsidR="00FB14DF"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Theoretical Review</w:t>
      </w:r>
    </w:p>
    <w:p w:rsidR="00EE6BB2" w:rsidRDefault="00F07985">
      <w:pPr>
        <w:spacing w:line="480" w:lineRule="auto"/>
        <w:jc w:val="both"/>
        <w:rPr>
          <w:rFonts w:ascii="Times New Roman" w:hAnsi="Times New Roman" w:cs="Times New Roman"/>
          <w:bCs/>
          <w:sz w:val="24"/>
          <w:szCs w:val="24"/>
        </w:rPr>
      </w:pPr>
      <w:r w:rsidRPr="00F07985">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2E671C" w:rsidRDefault="002C593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(Bertalanffy, 1950), institutional theory (DiMaggio &amp; Powell, 1983; Scott, 1987 ),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 They identify three characteristics of this analytical approach to HRM.</w:t>
      </w:r>
    </w:p>
    <w:p w:rsidR="002E671C" w:rsidRDefault="002C593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First is concerned with the </w:t>
      </w:r>
      <w:r>
        <w:rPr>
          <w:rFonts w:ascii="Times New Roman" w:hAnsi="Times New Roman" w:cs="Times New Roman"/>
          <w:bCs/>
          <w:iCs/>
          <w:sz w:val="24"/>
          <w:szCs w:val="24"/>
        </w:rPr>
        <w:t xml:space="preserve">‘what and why' of HRM (‘what and why' of green HRM); </w:t>
      </w:r>
      <w:r>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EE6BB2">
        <w:rPr>
          <w:rFonts w:ascii="Times New Roman" w:hAnsi="Times New Roman" w:cs="Times New Roman"/>
          <w:b/>
          <w:bCs/>
          <w:sz w:val="24"/>
          <w:szCs w:val="24"/>
        </w:rPr>
        <w:t xml:space="preserve"> theory, resource-based theory,</w:t>
      </w:r>
      <w:r>
        <w:rPr>
          <w:rFonts w:ascii="Times New Roman" w:hAnsi="Times New Roman" w:cs="Times New Roman"/>
          <w:bCs/>
          <w:sz w:val="24"/>
          <w:szCs w:val="24"/>
        </w:rPr>
        <w:t xml:space="preserve"> and system theory.</w:t>
      </w:r>
    </w:p>
    <w:p w:rsidR="002E671C" w:rsidRDefault="002C593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Second is concerned with the </w:t>
      </w:r>
      <w:r>
        <w:rPr>
          <w:rFonts w:ascii="Times New Roman" w:hAnsi="Times New Roman" w:cs="Times New Roman"/>
          <w:bCs/>
          <w:iCs/>
          <w:sz w:val="24"/>
          <w:szCs w:val="24"/>
        </w:rPr>
        <w:t xml:space="preserve">'how' of HRM (‘how’ of green HRM)', </w:t>
      </w:r>
      <w:r>
        <w:rPr>
          <w:rFonts w:ascii="Times New Roman" w:hAnsi="Times New Roman" w:cs="Times New Roman"/>
          <w:bCs/>
          <w:sz w:val="24"/>
          <w:szCs w:val="24"/>
        </w:rPr>
        <w:t>it is about the processes through which it is carried out. For this purpose, this effort attempts to apply process theory, system theory.</w:t>
      </w:r>
    </w:p>
    <w:p w:rsidR="002E671C" w:rsidRDefault="002C5934" w:rsidP="00EE6BB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Third is concerned with questions of ‘</w:t>
      </w:r>
      <w:r>
        <w:rPr>
          <w:rFonts w:ascii="Times New Roman" w:hAnsi="Times New Roman" w:cs="Times New Roman"/>
          <w:bCs/>
          <w:iCs/>
          <w:sz w:val="24"/>
          <w:szCs w:val="24"/>
        </w:rPr>
        <w:t xml:space="preserve">for whom and how well'; </w:t>
      </w:r>
      <w:r>
        <w:rPr>
          <w:rFonts w:ascii="Times New Roman" w:hAnsi="Times New Roman" w:cs="Times New Roman"/>
          <w:bCs/>
          <w:sz w:val="24"/>
          <w:szCs w:val="24"/>
        </w:rPr>
        <w:t>with assessing the outcomes of HRM, taking account of both employee and managerial interests, and laying a basis for theories of wider social conseq</w:t>
      </w:r>
      <w:r w:rsidR="002448D1">
        <w:rPr>
          <w:rFonts w:ascii="Times New Roman" w:hAnsi="Times New Roman" w:cs="Times New Roman"/>
          <w:bCs/>
          <w:sz w:val="24"/>
          <w:szCs w:val="24"/>
        </w:rPr>
        <w:t>uence.</w:t>
      </w:r>
    </w:p>
    <w:p w:rsidR="00FB14DF" w:rsidRPr="00FB14DF" w:rsidRDefault="00C42C7D" w:rsidP="00FB14D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For this purpose, this study applies stakeholder theory and ability-moti</w:t>
      </w:r>
      <w:r w:rsidR="00FB14DF">
        <w:rPr>
          <w:rFonts w:ascii="Times New Roman" w:hAnsi="Times New Roman" w:cs="Times New Roman"/>
          <w:bCs/>
          <w:sz w:val="24"/>
          <w:szCs w:val="24"/>
        </w:rPr>
        <w:t>vation-opportunity (AMO) th</w:t>
      </w:r>
    </w:p>
    <w:p w:rsidR="00FB14DF" w:rsidRDefault="00467FC5" w:rsidP="00FB14DF">
      <w:pPr>
        <w:spacing w:line="480" w:lineRule="auto"/>
        <w:jc w:val="both"/>
        <w:rPr>
          <w:rFonts w:ascii="Times New Roman" w:hAnsi="Times New Roman" w:cs="Times New Roman"/>
          <w:b/>
          <w:sz w:val="24"/>
          <w:szCs w:val="24"/>
        </w:rPr>
      </w:pPr>
      <w:r w:rsidRPr="00467FC5">
        <w:rPr>
          <w:rFonts w:ascii="Times New Roman" w:hAnsi="Times New Roman" w:cs="Times New Roman"/>
          <w:bCs/>
          <w:sz w:val="24"/>
          <w:szCs w:val="24"/>
        </w:rPr>
        <w:t xml:space="preserve">From the current body of literature, we have clarified what </w:t>
      </w:r>
      <w:r w:rsidR="00FB14DF">
        <w:rPr>
          <w:rFonts w:ascii="Times New Roman" w:hAnsi="Times New Roman" w:cs="Times New Roman"/>
          <w:bCs/>
          <w:sz w:val="24"/>
          <w:szCs w:val="24"/>
        </w:rPr>
        <w:t>Green Human Resource Management</w:t>
      </w:r>
      <w:r w:rsidRPr="00467FC5">
        <w:rPr>
          <w:rFonts w:ascii="Times New Roman" w:hAnsi="Times New Roman" w:cs="Times New Roman"/>
          <w:bCs/>
          <w:sz w:val="24"/>
          <w:szCs w:val="24"/>
        </w:rPr>
        <w:t>(GHRM) is and why organizations require it. However, it is crucial to emphasize that the analytical framework of HRM applies to our solutions. The expanding literature on the meaning, demands, and outcomes of GHRM aligns with the analytical HRM framework defined by Boxall (2007). This indicates that the insights gained about the meaning, needs, and consequences of GHRM are underpinned by a robust analytical framework.</w:t>
      </w:r>
    </w:p>
    <w:p w:rsidR="00FB14DF" w:rsidRDefault="00467FC5" w:rsidP="00FB14DF">
      <w:pPr>
        <w:spacing w:line="480" w:lineRule="auto"/>
        <w:jc w:val="both"/>
        <w:rPr>
          <w:rFonts w:ascii="Times New Roman" w:hAnsi="Times New Roman" w:cs="Times New Roman"/>
          <w:b/>
          <w:sz w:val="24"/>
          <w:szCs w:val="24"/>
        </w:rPr>
      </w:pPr>
      <w:r w:rsidRPr="00467FC5">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w:t>
      </w:r>
      <w:r w:rsidR="00FB14DF">
        <w:rPr>
          <w:rFonts w:ascii="Times New Roman" w:hAnsi="Times New Roman" w:cs="Times New Roman"/>
          <w:bCs/>
          <w:sz w:val="24"/>
          <w:szCs w:val="24"/>
        </w:rPr>
        <w:t xml:space="preserve">llowing discussion will provide </w:t>
      </w:r>
      <w:r w:rsidRPr="00467FC5">
        <w:rPr>
          <w:rFonts w:ascii="Times New Roman" w:hAnsi="Times New Roman" w:cs="Times New Roman"/>
          <w:bCs/>
          <w:sz w:val="24"/>
          <w:szCs w:val="24"/>
        </w:rPr>
        <w:t>comprehensive explanations from the perspectives of these theories.</w:t>
      </w:r>
    </w:p>
    <w:p w:rsidR="00FB14DF" w:rsidRDefault="00467FC5" w:rsidP="00FB14DF">
      <w:pPr>
        <w:spacing w:line="480" w:lineRule="auto"/>
        <w:jc w:val="both"/>
        <w:rPr>
          <w:rFonts w:ascii="Times New Roman" w:hAnsi="Times New Roman" w:cs="Times New Roman"/>
          <w:b/>
          <w:sz w:val="24"/>
          <w:szCs w:val="24"/>
        </w:rPr>
      </w:pPr>
      <w:r w:rsidRPr="00FB14DF">
        <w:rPr>
          <w:rFonts w:ascii="Times New Roman" w:hAnsi="Times New Roman" w:cs="Times New Roman"/>
          <w:b/>
          <w:bCs/>
          <w:sz w:val="24"/>
          <w:szCs w:val="24"/>
        </w:rPr>
        <w:lastRenderedPageBreak/>
        <w:t>Institutional Theory</w:t>
      </w:r>
      <w:r w:rsidR="00FB14DF">
        <w:rPr>
          <w:rFonts w:ascii="Times New Roman" w:hAnsi="Times New Roman" w:cs="Times New Roman"/>
          <w:b/>
          <w:bCs/>
          <w:sz w:val="24"/>
          <w:szCs w:val="24"/>
        </w:rPr>
        <w:t>:</w:t>
      </w:r>
      <w:r w:rsidRPr="00467FC5">
        <w:rPr>
          <w:rFonts w:ascii="Times New Roman" w:hAnsi="Times New Roman" w:cs="Times New Roman"/>
          <w:bCs/>
          <w:sz w:val="24"/>
          <w:szCs w:val="24"/>
        </w:rPr>
        <w:t xml:space="preserve"> </w:t>
      </w:r>
      <w:r w:rsidR="00FB14DF" w:rsidRPr="00467FC5">
        <w:rPr>
          <w:rFonts w:ascii="Times New Roman" w:hAnsi="Times New Roman" w:cs="Times New Roman"/>
          <w:bCs/>
          <w:sz w:val="24"/>
          <w:szCs w:val="24"/>
        </w:rPr>
        <w:t xml:space="preserve">Posits </w:t>
      </w:r>
      <w:r w:rsidRPr="00467FC5">
        <w:rPr>
          <w:rFonts w:ascii="Times New Roman" w:hAnsi="Times New Roman" w:cs="Times New Roman"/>
          <w:bCs/>
          <w:sz w:val="24"/>
          <w:szCs w:val="24"/>
        </w:rPr>
        <w:t>that external pressures shape organizational actions. In the context of environmental concerns, many studies emphasize the impact of regulatory and social pressures, which often lead to homogeneous outcomes (e.g., Ubeda-Garcia et al., 2021). Critics argue that institutional theory tends to portray organizations as passive actors responding to institutional expectations (Oliver, 1997). Nonetheless, this theory lays the groundwork for understanding the importance of GHRM in contemporary organizations.</w:t>
      </w:r>
    </w:p>
    <w:p w:rsidR="00FB14DF" w:rsidRDefault="00467FC5" w:rsidP="00FB14DF">
      <w:pPr>
        <w:spacing w:line="480" w:lineRule="auto"/>
        <w:jc w:val="both"/>
        <w:rPr>
          <w:rFonts w:ascii="Times New Roman" w:hAnsi="Times New Roman" w:cs="Times New Roman"/>
          <w:b/>
          <w:sz w:val="24"/>
          <w:szCs w:val="24"/>
        </w:rPr>
      </w:pPr>
      <w:r w:rsidRPr="00467FC5">
        <w:rPr>
          <w:rFonts w:ascii="Times New Roman" w:hAnsi="Times New Roman" w:cs="Times New Roman"/>
          <w:bCs/>
          <w:sz w:val="24"/>
          <w:szCs w:val="24"/>
        </w:rPr>
        <w:t>Institutionalization aligns well with the ecosystem perspective, emphasizing the significance of perceptions within controlled environments. This alignment introduces the concept of goodness-of-fit, which refers to the compatibility between individuals' needs and their environment (Germain &amp; Gitterman,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rsidR="00FB14DF" w:rsidRDefault="00467FC5" w:rsidP="00FB14DF">
      <w:pPr>
        <w:spacing w:line="480" w:lineRule="auto"/>
        <w:jc w:val="both"/>
        <w:rPr>
          <w:rFonts w:ascii="Times New Roman" w:hAnsi="Times New Roman" w:cs="Times New Roman"/>
          <w:b/>
          <w:sz w:val="24"/>
          <w:szCs w:val="24"/>
        </w:rPr>
      </w:pPr>
      <w:r w:rsidRPr="00FB14DF">
        <w:rPr>
          <w:rFonts w:ascii="Times New Roman" w:hAnsi="Times New Roman" w:cs="Times New Roman"/>
          <w:b/>
          <w:bCs/>
          <w:sz w:val="24"/>
          <w:szCs w:val="24"/>
        </w:rPr>
        <w:t xml:space="preserve"> Resource-Based Theory </w:t>
      </w:r>
      <w:r w:rsidRPr="00467FC5">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(Christmann, 2000). This review emphasizes the outcomes of GHRM at the employee level (e.g., employee green attitudes and behaviors) to enhance overall organizational performance.</w:t>
      </w:r>
    </w:p>
    <w:p w:rsidR="00FB14DF" w:rsidRDefault="00467FC5" w:rsidP="00FB14DF">
      <w:pPr>
        <w:spacing w:line="480" w:lineRule="auto"/>
        <w:jc w:val="both"/>
        <w:rPr>
          <w:rFonts w:ascii="Times New Roman" w:hAnsi="Times New Roman" w:cs="Times New Roman"/>
          <w:bCs/>
          <w:sz w:val="24"/>
          <w:szCs w:val="24"/>
        </w:rPr>
      </w:pPr>
      <w:r w:rsidRPr="00467FC5">
        <w:rPr>
          <w:rFonts w:ascii="Times New Roman" w:hAnsi="Times New Roman" w:cs="Times New Roman"/>
          <w:bCs/>
          <w:sz w:val="24"/>
          <w:szCs w:val="24"/>
        </w:rPr>
        <w:t xml:space="preserve">The RBV highlights that valuable, rare, inimitable, and imperfectly substitutable resources are pivotal for competitive advantage (Barney, 1991; Lockett et al., 2009). While previous authors </w:t>
      </w:r>
      <w:r w:rsidRPr="00467FC5">
        <w:rPr>
          <w:rFonts w:ascii="Times New Roman" w:hAnsi="Times New Roman" w:cs="Times New Roman"/>
          <w:bCs/>
          <w:sz w:val="24"/>
          <w:szCs w:val="24"/>
        </w:rPr>
        <w:lastRenderedPageBreak/>
        <w:t>have explored the RBV in strategic HRM, its application to GHRM remains less developed. We argue that employee green attitudes, knowledge, skills, and behaviors are core resources contributing to organizational environmental performance.</w:t>
      </w:r>
    </w:p>
    <w:p w:rsidR="00927619" w:rsidRPr="004F119F" w:rsidRDefault="00927619" w:rsidP="00FB14DF">
      <w:pPr>
        <w:spacing w:line="480" w:lineRule="auto"/>
        <w:jc w:val="both"/>
        <w:rPr>
          <w:rFonts w:ascii="Times New Roman" w:hAnsi="Times New Roman" w:cs="Times New Roman"/>
          <w:b/>
          <w:bCs/>
          <w:sz w:val="24"/>
          <w:szCs w:val="24"/>
        </w:rPr>
      </w:pPr>
      <w:r w:rsidRPr="004F119F">
        <w:rPr>
          <w:rFonts w:ascii="Times New Roman" w:hAnsi="Times New Roman" w:cs="Times New Roman"/>
          <w:b/>
          <w:bCs/>
          <w:sz w:val="24"/>
          <w:szCs w:val="24"/>
        </w:rPr>
        <w:t xml:space="preserve">Empirical review </w:t>
      </w:r>
    </w:p>
    <w:p w:rsidR="004F119F" w:rsidRPr="004F119F" w:rsidRDefault="004F119F" w:rsidP="004F119F">
      <w:pPr>
        <w:spacing w:line="480" w:lineRule="auto"/>
        <w:jc w:val="both"/>
        <w:rPr>
          <w:rFonts w:ascii="Times New Roman" w:hAnsi="Times New Roman" w:cs="Times New Roman"/>
          <w:sz w:val="24"/>
          <w:szCs w:val="24"/>
        </w:rPr>
      </w:pPr>
      <w:r w:rsidRPr="004F119F">
        <w:rPr>
          <w:rFonts w:ascii="Times New Roman" w:hAnsi="Times New Roman" w:cs="Times New Roman"/>
          <w:sz w:val="24"/>
          <w:szCs w:val="24"/>
        </w:rPr>
        <w:t>A survey was conducted in healthcare services and manufacturing organizations in Saudi Arabia, with findings that also apply to hotels. Non-probability chain sampling was used, resulting in 136 completed questionnaires for analysis. Descriptive and inferential statistics, including mean, standard deviation, Cronbach's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rsidR="004F119F" w:rsidRPr="004F119F" w:rsidRDefault="004F119F" w:rsidP="004F119F">
      <w:pPr>
        <w:spacing w:line="480" w:lineRule="auto"/>
        <w:jc w:val="both"/>
        <w:rPr>
          <w:rFonts w:ascii="Times New Roman" w:hAnsi="Times New Roman" w:cs="Times New Roman"/>
          <w:sz w:val="24"/>
          <w:szCs w:val="24"/>
        </w:rPr>
      </w:pPr>
      <w:r w:rsidRPr="004F119F">
        <w:rPr>
          <w:rFonts w:ascii="Times New Roman" w:hAnsi="Times New Roman" w:cs="Times New Roman"/>
          <w:sz w:val="24"/>
          <w:szCs w:val="24"/>
        </w:rPr>
        <w:t xml:space="preserve">Another survey investigated the impact of GHRM practices on environmental performance within Jordanian health service organizations. Through extensive literature reviews and field data collected from hospital managers, three key GHRM practices were identified: Green recruitment and selection, Green training and development, and Green rewards. The findings revealed that the implementation level of these practices was moderate, with a statistically significant positive correlation between individual GHRM practices and environmental performance. The strongest correlation was noted with Green recruitment and selection, while the weakest was associated with training and development. This indicates that hospitals in Jordan are not investing sufficiently in green training and development programs, largely due to cost-reduction strategies </w:t>
      </w:r>
      <w:r w:rsidRPr="004F119F">
        <w:rPr>
          <w:rFonts w:ascii="Times New Roman" w:hAnsi="Times New Roman" w:cs="Times New Roman"/>
          <w:sz w:val="24"/>
          <w:szCs w:val="24"/>
        </w:rPr>
        <w:lastRenderedPageBreak/>
        <w:t>stemming from the country’s economic crisis. Hospital management is encouraged to invest more in these programs to enhance GHRM implementation and achieve better environmental performance in the long term. Green recruitment and selection emerged as the most frequently used practice, reflecting the management's recognition of environmental performance as a priority.</w:t>
      </w:r>
    </w:p>
    <w:p w:rsidR="004F119F" w:rsidRPr="004F119F" w:rsidRDefault="004F119F" w:rsidP="004F119F">
      <w:pPr>
        <w:spacing w:line="480" w:lineRule="auto"/>
        <w:jc w:val="both"/>
        <w:rPr>
          <w:rFonts w:ascii="Times New Roman" w:hAnsi="Times New Roman" w:cs="Times New Roman"/>
          <w:sz w:val="24"/>
          <w:szCs w:val="24"/>
        </w:rPr>
      </w:pPr>
      <w:r w:rsidRPr="004F119F">
        <w:rPr>
          <w:rFonts w:ascii="Times New Roman" w:hAnsi="Times New Roman" w:cs="Times New Roman"/>
          <w:sz w:val="24"/>
          <w:szCs w:val="24"/>
        </w:rPr>
        <w:t>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rsidR="004F119F" w:rsidRPr="004F119F" w:rsidRDefault="004F119F" w:rsidP="004F119F">
      <w:pPr>
        <w:spacing w:line="480" w:lineRule="auto"/>
        <w:jc w:val="both"/>
        <w:rPr>
          <w:rFonts w:ascii="Times New Roman" w:hAnsi="Times New Roman" w:cs="Times New Roman"/>
          <w:sz w:val="24"/>
          <w:szCs w:val="24"/>
        </w:rPr>
      </w:pPr>
      <w:r w:rsidRPr="004F119F">
        <w:rPr>
          <w:rFonts w:ascii="Times New Roman" w:hAnsi="Times New Roman" w:cs="Times New Roman"/>
          <w:sz w:val="24"/>
          <w:szCs w:val="24"/>
        </w:rPr>
        <w:t xml:space="preserve">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w:t>
      </w:r>
      <w:r w:rsidRPr="004F119F">
        <w:rPr>
          <w:rFonts w:ascii="Times New Roman" w:hAnsi="Times New Roman" w:cs="Times New Roman"/>
          <w:sz w:val="24"/>
          <w:szCs w:val="24"/>
        </w:rPr>
        <w:lastRenderedPageBreak/>
        <w:t>indicators were inadequately integrated into performance management systems (mean 3.31). However, there were perceived benefits for compliance with green management goals (mean 3.93). The university encouraged employee input on environmental improvements (46.3%). While many respondents 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rsidR="004F119F" w:rsidRPr="004F119F" w:rsidRDefault="004F119F" w:rsidP="004F119F">
      <w:pPr>
        <w:spacing w:line="480" w:lineRule="auto"/>
        <w:jc w:val="both"/>
        <w:rPr>
          <w:rFonts w:ascii="Times New Roman" w:hAnsi="Times New Roman" w:cs="Times New Roman"/>
          <w:sz w:val="24"/>
          <w:szCs w:val="24"/>
        </w:rPr>
      </w:pPr>
      <w:r w:rsidRPr="004F119F">
        <w:rPr>
          <w:rFonts w:ascii="Times New Roman" w:hAnsi="Times New Roman" w:cs="Times New Roman"/>
          <w:sz w:val="24"/>
          <w:szCs w:val="24"/>
        </w:rPr>
        <w:t>Agarwal, Tyagi, and Garg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rsidR="00927619" w:rsidRDefault="00927619" w:rsidP="00FB14DF">
      <w:pPr>
        <w:spacing w:line="480" w:lineRule="auto"/>
        <w:jc w:val="both"/>
        <w:rPr>
          <w:rFonts w:ascii="Times New Roman" w:hAnsi="Times New Roman" w:cs="Times New Roman"/>
          <w:b/>
          <w:sz w:val="24"/>
          <w:szCs w:val="24"/>
        </w:rPr>
      </w:pPr>
    </w:p>
    <w:p w:rsidR="006462FB" w:rsidRDefault="006462FB" w:rsidP="00FB14DF">
      <w:pPr>
        <w:spacing w:line="480" w:lineRule="auto"/>
        <w:jc w:val="both"/>
        <w:rPr>
          <w:rFonts w:ascii="Times New Roman" w:hAnsi="Times New Roman" w:cs="Times New Roman"/>
          <w:b/>
          <w:sz w:val="24"/>
          <w:szCs w:val="24"/>
        </w:rPr>
      </w:pPr>
    </w:p>
    <w:p w:rsidR="006462FB" w:rsidRDefault="006462FB" w:rsidP="00FB14DF">
      <w:pPr>
        <w:spacing w:line="480" w:lineRule="auto"/>
        <w:jc w:val="both"/>
        <w:rPr>
          <w:rFonts w:ascii="Times New Roman" w:hAnsi="Times New Roman" w:cs="Times New Roman"/>
          <w:b/>
          <w:sz w:val="24"/>
          <w:szCs w:val="24"/>
        </w:rPr>
      </w:pPr>
    </w:p>
    <w:p w:rsidR="006462FB" w:rsidRDefault="006462FB" w:rsidP="00FB14DF">
      <w:pPr>
        <w:spacing w:line="480" w:lineRule="auto"/>
        <w:jc w:val="both"/>
        <w:rPr>
          <w:rFonts w:ascii="Times New Roman" w:hAnsi="Times New Roman" w:cs="Times New Roman"/>
          <w:b/>
          <w:sz w:val="24"/>
          <w:szCs w:val="24"/>
        </w:rPr>
      </w:pPr>
    </w:p>
    <w:p w:rsidR="006462FB" w:rsidRDefault="006462FB" w:rsidP="00FB14DF">
      <w:pPr>
        <w:spacing w:line="480" w:lineRule="auto"/>
        <w:jc w:val="both"/>
        <w:rPr>
          <w:rFonts w:ascii="Times New Roman" w:hAnsi="Times New Roman" w:cs="Times New Roman"/>
          <w:b/>
          <w:sz w:val="24"/>
          <w:szCs w:val="24"/>
        </w:rPr>
      </w:pPr>
    </w:p>
    <w:p w:rsidR="002E671C" w:rsidRDefault="00467FC5" w:rsidP="00467FC5">
      <w:pPr>
        <w:spacing w:line="480" w:lineRule="auto"/>
        <w:jc w:val="center"/>
        <w:rPr>
          <w:rFonts w:ascii="Times New Roman" w:hAnsi="Times New Roman" w:cs="Times New Roman"/>
          <w:sz w:val="24"/>
          <w:szCs w:val="24"/>
        </w:rPr>
      </w:pPr>
      <w:r w:rsidRPr="00467FC5">
        <w:rPr>
          <w:rFonts w:ascii="Times New Roman" w:hAnsi="Times New Roman" w:cs="Times New Roman"/>
          <w:bCs/>
          <w:sz w:val="24"/>
          <w:szCs w:val="24"/>
        </w:rPr>
        <w:lastRenderedPageBreak/>
        <w:t>!</w:t>
      </w:r>
      <w:r w:rsidR="002C5934">
        <w:rPr>
          <w:rFonts w:ascii="Times New Roman" w:hAnsi="Times New Roman" w:cs="Times New Roman"/>
          <w:b/>
          <w:sz w:val="24"/>
          <w:szCs w:val="24"/>
        </w:rPr>
        <w:t>CHAPTER THREE</w:t>
      </w: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FD3608" w:rsidRDefault="00FD3608">
      <w:pPr>
        <w:spacing w:line="480" w:lineRule="auto"/>
        <w:jc w:val="both"/>
        <w:rPr>
          <w:rFonts w:ascii="Times New Roman" w:hAnsi="Times New Roman" w:cs="Times New Roman"/>
          <w:sz w:val="24"/>
          <w:szCs w:val="24"/>
        </w:rPr>
      </w:pPr>
      <w:r w:rsidRPr="00FD3608">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FD3608" w:rsidRDefault="002C5934" w:rsidP="00FD360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3.2</w:t>
      </w:r>
      <w:r>
        <w:rPr>
          <w:rFonts w:ascii="Times New Roman" w:hAnsi="Times New Roman" w:cs="Times New Roman"/>
          <w:b/>
          <w:sz w:val="24"/>
          <w:szCs w:val="24"/>
        </w:rPr>
        <w:tab/>
        <w:t>Research Design</w:t>
      </w:r>
    </w:p>
    <w:p w:rsidR="00DD6A33" w:rsidRPr="00DD6A33" w:rsidRDefault="00DD6A33" w:rsidP="00DD6A33">
      <w:pPr>
        <w:tabs>
          <w:tab w:val="left" w:pos="236"/>
        </w:tabs>
        <w:spacing w:line="480" w:lineRule="auto"/>
        <w:jc w:val="both"/>
        <w:rPr>
          <w:rFonts w:ascii="Times New Roman" w:hAnsi="Times New Roman" w:cs="Times New Roman"/>
          <w:sz w:val="24"/>
          <w:szCs w:val="24"/>
        </w:rPr>
      </w:pPr>
      <w:r w:rsidRPr="00DD6A33">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rsidR="00DD6A33" w:rsidRDefault="00DD6A33" w:rsidP="00DD6A33">
      <w:pPr>
        <w:tabs>
          <w:tab w:val="left" w:pos="236"/>
        </w:tabs>
        <w:spacing w:line="480" w:lineRule="auto"/>
        <w:jc w:val="both"/>
        <w:rPr>
          <w:rFonts w:ascii="Times New Roman" w:hAnsi="Times New Roman" w:cs="Times New Roman"/>
          <w:sz w:val="24"/>
          <w:szCs w:val="24"/>
        </w:rPr>
      </w:pPr>
      <w:r w:rsidRPr="00DD6A33">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rsidR="002E671C" w:rsidRDefault="002C5934" w:rsidP="00DD6A33">
      <w:pPr>
        <w:tabs>
          <w:tab w:val="left" w:pos="236"/>
        </w:tabs>
        <w:spacing w:line="480" w:lineRule="auto"/>
        <w:jc w:val="both"/>
        <w:rPr>
          <w:rFonts w:ascii="Times New Roman" w:hAnsi="Times New Roman" w:cs="Times New Roman"/>
          <w:sz w:val="24"/>
          <w:szCs w:val="24"/>
          <w:lang w:val="en-GB"/>
        </w:rPr>
      </w:pPr>
      <w:r>
        <w:rPr>
          <w:rFonts w:ascii="Times New Roman" w:eastAsia="Calibri" w:hAnsi="Times New Roman" w:cs="Times New Roman"/>
          <w:b/>
          <w:sz w:val="24"/>
          <w:szCs w:val="24"/>
        </w:rPr>
        <w:t>3.3</w:t>
      </w:r>
      <w:r>
        <w:rPr>
          <w:rFonts w:ascii="Times New Roman" w:eastAsia="Calibri" w:hAnsi="Times New Roman" w:cs="Times New Roman"/>
          <w:b/>
          <w:sz w:val="24"/>
          <w:szCs w:val="24"/>
        </w:rPr>
        <w:tab/>
        <w:t>Population of the study</w:t>
      </w:r>
    </w:p>
    <w:p w:rsidR="00DD6A33" w:rsidRDefault="00DD6A33">
      <w:pPr>
        <w:tabs>
          <w:tab w:val="left" w:pos="236"/>
        </w:tabs>
        <w:spacing w:line="480" w:lineRule="auto"/>
        <w:jc w:val="both"/>
        <w:rPr>
          <w:rFonts w:ascii="Times New Roman" w:hAnsi="Times New Roman" w:cs="Times New Roman"/>
          <w:sz w:val="24"/>
          <w:szCs w:val="24"/>
        </w:rPr>
      </w:pPr>
      <w:r w:rsidRPr="00DD6A33">
        <w:rPr>
          <w:rFonts w:ascii="Times New Roman" w:hAnsi="Times New Roman" w:cs="Times New Roman"/>
          <w:sz w:val="24"/>
          <w:szCs w:val="24"/>
        </w:rPr>
        <w:t xml:space="preserve">To ensure that the selected sample accurately represents the community, it is essential to clearly define the study's population, as noted by Ankrah (2014). This study will comprise 50 members </w:t>
      </w:r>
      <w:r w:rsidRPr="00DD6A33">
        <w:rPr>
          <w:rFonts w:ascii="Times New Roman" w:hAnsi="Times New Roman" w:cs="Times New Roman"/>
          <w:sz w:val="24"/>
          <w:szCs w:val="24"/>
        </w:rPr>
        <w:lastRenderedPageBreak/>
        <w:t>from both management and non-management staff across all Guaranty Trust Bank branches in Ilorin, Kwara State.</w:t>
      </w:r>
    </w:p>
    <w:p w:rsidR="002E671C" w:rsidRDefault="002C5934">
      <w:pPr>
        <w:tabs>
          <w:tab w:val="left" w:pos="236"/>
        </w:tabs>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3.4</w:t>
      </w:r>
      <w:r>
        <w:rPr>
          <w:rFonts w:ascii="Times New Roman" w:eastAsia="Calibri" w:hAnsi="Times New Roman" w:cs="Times New Roman"/>
          <w:b/>
          <w:sz w:val="24"/>
          <w:szCs w:val="24"/>
        </w:rPr>
        <w:tab/>
        <w:t>Sampling Techniques and Sample size</w:t>
      </w:r>
    </w:p>
    <w:p w:rsidR="007927B6" w:rsidRPr="007927B6" w:rsidRDefault="007927B6" w:rsidP="007927B6">
      <w:pPr>
        <w:tabs>
          <w:tab w:val="left" w:pos="236"/>
        </w:tabs>
        <w:spacing w:line="480" w:lineRule="auto"/>
        <w:jc w:val="both"/>
        <w:rPr>
          <w:rFonts w:ascii="Times New Roman" w:hAnsi="Times New Roman" w:cs="Times New Roman"/>
          <w:sz w:val="24"/>
          <w:szCs w:val="24"/>
        </w:rPr>
      </w:pPr>
      <w:r w:rsidRPr="007927B6">
        <w:rPr>
          <w:rFonts w:ascii="Times New Roman" w:hAnsi="Times New Roman" w:cs="Times New Roman"/>
          <w:sz w:val="24"/>
          <w:szCs w:val="24"/>
        </w:rPr>
        <w:t>Sampling techniques, according to Nwana (2005), are methods used to systematically choose the desired sample in a given fashion while under controls. In order to pick respondents from the entire population for this study, convenience sampling was used.</w:t>
      </w:r>
    </w:p>
    <w:p w:rsidR="002E671C" w:rsidRDefault="007927B6" w:rsidP="007927B6">
      <w:pPr>
        <w:tabs>
          <w:tab w:val="left" w:pos="236"/>
        </w:tabs>
        <w:spacing w:line="480" w:lineRule="auto"/>
        <w:jc w:val="both"/>
        <w:rPr>
          <w:rFonts w:ascii="Times New Roman" w:eastAsia="Calibri" w:hAnsi="Times New Roman" w:cs="Times New Roman"/>
          <w:sz w:val="24"/>
          <w:szCs w:val="24"/>
        </w:rPr>
      </w:pPr>
      <w:r w:rsidRPr="007927B6">
        <w:rPr>
          <w:rFonts w:ascii="Times New Roman" w:hAnsi="Times New Roman" w:cs="Times New Roman"/>
          <w:sz w:val="24"/>
          <w:szCs w:val="24"/>
        </w:rPr>
        <w:t>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w:t>
      </w:r>
      <w:r>
        <w:rPr>
          <w:rFonts w:ascii="Times New Roman" w:hAnsi="Times New Roman" w:cs="Times New Roman"/>
          <w:sz w:val="24"/>
          <w:szCs w:val="24"/>
        </w:rPr>
        <w:t xml:space="preserve"> </w:t>
      </w:r>
      <w:r w:rsidR="002C5934">
        <w:rPr>
          <w:rFonts w:ascii="Times New Roman" w:eastAsia="Calibri" w:hAnsi="Times New Roman" w:cs="Times New Roman"/>
          <w:sz w:val="24"/>
          <w:szCs w:val="24"/>
        </w:rPr>
        <w:t xml:space="preserve">This is the also best sampling technique adopted when the population of study is categorical. The sample size will be determined using regression model: </w:t>
      </w:r>
    </w:p>
    <w:p w:rsidR="002E671C" w:rsidRDefault="002C5934">
      <w:pPr>
        <w:tabs>
          <w:tab w:val="left" w:pos="236"/>
        </w:tabs>
        <w:spacing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3.5</w:t>
      </w:r>
      <w:r>
        <w:rPr>
          <w:rFonts w:ascii="Times New Roman" w:eastAsia="Calibri" w:hAnsi="Times New Roman" w:cs="Times New Roman"/>
          <w:b/>
          <w:sz w:val="24"/>
          <w:szCs w:val="24"/>
        </w:rPr>
        <w:tab/>
        <w:t xml:space="preserve">Research instrument </w:t>
      </w:r>
    </w:p>
    <w:p w:rsidR="002E671C" w:rsidRDefault="007927B6">
      <w:pPr>
        <w:spacing w:after="120" w:line="480" w:lineRule="auto"/>
        <w:jc w:val="both"/>
        <w:rPr>
          <w:rFonts w:ascii="Times New Roman" w:hAnsi="Times New Roman" w:cs="Times New Roman"/>
          <w:b/>
          <w:sz w:val="24"/>
          <w:szCs w:val="24"/>
        </w:rPr>
      </w:pPr>
      <w:r w:rsidRPr="007927B6">
        <w:rPr>
          <w:rFonts w:ascii="Times New Roman" w:eastAsia="Calibri" w:hAnsi="Times New Roman" w:cs="Times New Roman"/>
          <w:sz w:val="24"/>
          <w:szCs w:val="24"/>
        </w:rPr>
        <w:t>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w:t>
      </w:r>
      <w:r>
        <w:rPr>
          <w:rFonts w:ascii="Times New Roman" w:eastAsia="Calibri" w:hAnsi="Times New Roman" w:cs="Times New Roman"/>
          <w:sz w:val="24"/>
          <w:szCs w:val="24"/>
        </w:rPr>
        <w:t xml:space="preserve"> </w:t>
      </w:r>
      <w:r w:rsidR="002C5934">
        <w:rPr>
          <w:rFonts w:ascii="Times New Roman" w:eastAsia="Calibri" w:hAnsi="Times New Roman" w:cs="Times New Roman"/>
          <w:sz w:val="24"/>
          <w:szCs w:val="24"/>
        </w:rPr>
        <w:t xml:space="preserve"> </w:t>
      </w:r>
      <w:r w:rsidR="002C5934">
        <w:rPr>
          <w:rFonts w:ascii="Times New Roman" w:hAnsi="Times New Roman" w:cs="Times New Roman"/>
          <w:sz w:val="24"/>
          <w:szCs w:val="24"/>
        </w:rPr>
        <w:t>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Likert scale as described below:</w:t>
      </w:r>
    </w:p>
    <w:tbl>
      <w:tblPr>
        <w:tblW w:w="9350" w:type="dxa"/>
        <w:tblLayout w:type="fixed"/>
        <w:tblLook w:val="04A0" w:firstRow="1" w:lastRow="0" w:firstColumn="1" w:lastColumn="0" w:noHBand="0" w:noVBand="1"/>
      </w:tblPr>
      <w:tblGrid>
        <w:gridCol w:w="4680"/>
        <w:gridCol w:w="4670"/>
      </w:tblGrid>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Weight</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r>
    </w:tbl>
    <w:p w:rsidR="002E671C" w:rsidRDefault="002E671C">
      <w:pPr>
        <w:tabs>
          <w:tab w:val="left" w:pos="900"/>
        </w:tabs>
        <w:spacing w:after="0" w:line="480" w:lineRule="auto"/>
        <w:jc w:val="both"/>
        <w:rPr>
          <w:rFonts w:ascii="Times New Roman" w:hAnsi="Times New Roman" w:cs="Times New Roman"/>
          <w:b/>
          <w:sz w:val="24"/>
          <w:szCs w:val="24"/>
        </w:rPr>
      </w:pPr>
    </w:p>
    <w:p w:rsidR="002E671C" w:rsidRDefault="002C5934">
      <w:pPr>
        <w:pStyle w:val="ListParagraph1"/>
        <w:numPr>
          <w:ilvl w:val="0"/>
          <w:numId w:val="1"/>
        </w:numPr>
        <w:spacing w:after="120" w:line="480" w:lineRule="auto"/>
        <w:ind w:hanging="1080"/>
        <w:jc w:val="both"/>
        <w:rPr>
          <w:rFonts w:ascii="Times New Roman" w:hAnsi="Times New Roman" w:cs="Times New Roman"/>
          <w:b/>
          <w:sz w:val="24"/>
          <w:szCs w:val="24"/>
        </w:rPr>
      </w:pPr>
      <w:r>
        <w:rPr>
          <w:rFonts w:ascii="Times New Roman" w:hAnsi="Times New Roman" w:cs="Times New Roman"/>
          <w:b/>
          <w:sz w:val="24"/>
          <w:szCs w:val="24"/>
        </w:rPr>
        <w:t>Validity and Reliability of Research Instruments</w:t>
      </w:r>
    </w:p>
    <w:p w:rsidR="00E367C0" w:rsidRPr="00E367C0" w:rsidRDefault="00E367C0" w:rsidP="00E367C0">
      <w:pPr>
        <w:spacing w:after="120" w:line="480" w:lineRule="auto"/>
        <w:jc w:val="both"/>
        <w:rPr>
          <w:rFonts w:ascii="Times New Roman" w:hAnsi="Times New Roman" w:cs="Times New Roman"/>
          <w:sz w:val="24"/>
          <w:szCs w:val="24"/>
        </w:rPr>
      </w:pPr>
      <w:r w:rsidRPr="00E367C0">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rsidR="00E367C0" w:rsidRPr="00E367C0" w:rsidRDefault="00E367C0" w:rsidP="00E367C0">
      <w:pPr>
        <w:spacing w:after="120" w:line="480" w:lineRule="auto"/>
        <w:jc w:val="both"/>
        <w:rPr>
          <w:rFonts w:ascii="Times New Roman" w:hAnsi="Times New Roman" w:cs="Times New Roman"/>
          <w:sz w:val="24"/>
          <w:szCs w:val="24"/>
        </w:rPr>
      </w:pPr>
      <w:r w:rsidRPr="00E367C0">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rsidR="002E671C" w:rsidRDefault="002C5934">
      <w:p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Sources of Data Collection</w:t>
      </w:r>
    </w:p>
    <w:p w:rsidR="002E671C" w:rsidRDefault="002C5934">
      <w:pPr>
        <w:spacing w:after="120" w:line="480" w:lineRule="auto"/>
        <w:jc w:val="both"/>
        <w:rPr>
          <w:rFonts w:ascii="Times New Roman" w:hAnsi="Times New Roman" w:cs="Times New Roman"/>
          <w:b/>
          <w:sz w:val="24"/>
          <w:szCs w:val="24"/>
        </w:rPr>
      </w:pPr>
      <w:r>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w:t>
      </w:r>
      <w:r>
        <w:rPr>
          <w:rFonts w:ascii="Times New Roman" w:hAnsi="Times New Roman" w:cs="Times New Roman"/>
          <w:sz w:val="24"/>
          <w:szCs w:val="24"/>
        </w:rPr>
        <w:lastRenderedPageBreak/>
        <w:t xml:space="preserve">pick method of questionnaire selection was adopted for the study as the union served a great importance for the easier access to the respondents. </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 and Statistical Tool</w:t>
      </w:r>
    </w:p>
    <w:p w:rsidR="002E671C" w:rsidRDefault="002C5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0" w:name="_Hlk68900630"/>
      <w:r>
        <w:rPr>
          <w:rFonts w:ascii="Times New Roman" w:hAnsi="Times New Roman" w:cs="Times New Roman"/>
          <w:sz w:val="24"/>
          <w:szCs w:val="24"/>
        </w:rPr>
        <w:t>Multiple Linear Regressions.</w:t>
      </w:r>
      <w:bookmarkEnd w:id="0"/>
      <w:r>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rsidR="002E671C" w:rsidRDefault="002C59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Green Human Resource Management practices does not have any influence on the organizational effectiveness of Guaranty Trust Bank</w:t>
      </w:r>
    </w:p>
    <w:p w:rsidR="002E671C" w:rsidRDefault="002C5934">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OE = </w:t>
      </w:r>
      <w:r>
        <w:rPr>
          <w:rFonts w:ascii="Times New Roman" w:hAnsi="Times New Roman" w:cs="Times New Roman"/>
          <w:i/>
          <w:sz w:val="24"/>
          <w:szCs w:val="24"/>
        </w:rPr>
        <w:t>f</w:t>
      </w:r>
      <w:r>
        <w:rPr>
          <w:rFonts w:ascii="Times New Roman" w:hAnsi="Times New Roman" w:cs="Times New Roman"/>
          <w:sz w:val="24"/>
          <w:szCs w:val="24"/>
        </w:rPr>
        <w:t>(P)</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p>
    <w:p w:rsidR="002E671C" w:rsidRDefault="002C5934">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Y </w:t>
      </w:r>
      <w:r>
        <w:rPr>
          <w:rFonts w:ascii="Times New Roman" w:hAnsi="Times New Roman" w:cs="Times New Roman"/>
          <w:sz w:val="24"/>
          <w:szCs w:val="24"/>
        </w:rPr>
        <w:tab/>
        <w:t>= Organizational Effectiveness (OE) – Dependent Variable</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t xml:space="preserve">= Green Human Resource Management Practices (GHRM) – Independent Variable </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Error Terms</w:t>
      </w:r>
    </w:p>
    <w:p w:rsidR="002E671C" w:rsidRDefault="002C59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There is no relationship between Green Human Resource Management practices and organizational competitiveness of Guaranty Trust Bank;</w:t>
      </w:r>
    </w:p>
    <w:p w:rsidR="002E671C" w:rsidRDefault="002E671C">
      <w:pPr>
        <w:spacing w:after="0" w:line="480" w:lineRule="auto"/>
        <w:ind w:left="720" w:hanging="720"/>
        <w:jc w:val="both"/>
        <w:rPr>
          <w:rFonts w:ascii="Times New Roman" w:hAnsi="Times New Roman" w:cs="Times New Roman"/>
          <w:sz w:val="24"/>
          <w:szCs w:val="24"/>
        </w:rPr>
      </w:pPr>
    </w:p>
    <w:p w:rsidR="002E671C" w:rsidRDefault="002C5934">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OC = </w:t>
      </w:r>
      <w:r>
        <w:rPr>
          <w:rFonts w:ascii="Times New Roman" w:hAnsi="Times New Roman" w:cs="Times New Roman"/>
          <w:i/>
          <w:sz w:val="24"/>
          <w:szCs w:val="24"/>
        </w:rPr>
        <w:t>f</w:t>
      </w:r>
      <w:r>
        <w:rPr>
          <w:rFonts w:ascii="Times New Roman" w:hAnsi="Times New Roman" w:cs="Times New Roman"/>
          <w:sz w:val="24"/>
          <w:szCs w:val="24"/>
        </w:rPr>
        <w:t>(P)</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Where:</w:t>
      </w:r>
    </w:p>
    <w:p w:rsidR="002E671C" w:rsidRDefault="002C5934">
      <w:pPr>
        <w:spacing w:after="0" w:line="480" w:lineRule="auto"/>
        <w:ind w:left="720"/>
        <w:jc w:val="both"/>
        <w:rPr>
          <w:rFonts w:ascii="Times New Roman" w:hAnsi="Times New Roman" w:cs="Times New Roman"/>
          <w:bCs/>
          <w:sz w:val="24"/>
          <w:szCs w:val="24"/>
        </w:rPr>
      </w:pPr>
      <w:r>
        <w:rPr>
          <w:rFonts w:ascii="Times New Roman" w:hAnsi="Times New Roman" w:cs="Times New Roman"/>
          <w:sz w:val="24"/>
          <w:szCs w:val="24"/>
        </w:rPr>
        <w:t>Y</w:t>
      </w:r>
      <w:r>
        <w:rPr>
          <w:rFonts w:ascii="Times New Roman" w:hAnsi="Times New Roman" w:cs="Times New Roman"/>
          <w:sz w:val="24"/>
          <w:szCs w:val="24"/>
        </w:rPr>
        <w:tab/>
        <w:t>= Organizational Competitiveness (OC) – Dependent Variable</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ab/>
        <w:t>= Green Human Resource Management Practices (GHRM) – Independent Variable  = Error Terms</w:t>
      </w:r>
    </w:p>
    <w:p w:rsidR="002E671C" w:rsidRDefault="002C59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III</w:t>
      </w:r>
    </w:p>
    <w:p w:rsidR="002E671C" w:rsidRDefault="002C593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t>Green Human Resource Management practices has no role on organizational resilience of GTB</w:t>
      </w:r>
    </w:p>
    <w:p w:rsidR="002E671C" w:rsidRDefault="002C5934">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 = </w:t>
      </w:r>
      <w:r>
        <w:rPr>
          <w:rFonts w:ascii="Times New Roman" w:hAnsi="Times New Roman" w:cs="Times New Roman"/>
          <w:i/>
          <w:sz w:val="24"/>
          <w:szCs w:val="24"/>
        </w:rPr>
        <w:t>f</w:t>
      </w:r>
      <w:r>
        <w:rPr>
          <w:rFonts w:ascii="Times New Roman" w:hAnsi="Times New Roman" w:cs="Times New Roman"/>
          <w:sz w:val="24"/>
          <w:szCs w:val="24"/>
        </w:rPr>
        <w:t>(P)</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Where:</w:t>
      </w:r>
    </w:p>
    <w:p w:rsidR="002E671C" w:rsidRDefault="002C5934">
      <w:pPr>
        <w:spacing w:after="0" w:line="480" w:lineRule="auto"/>
        <w:ind w:left="720"/>
        <w:jc w:val="both"/>
        <w:rPr>
          <w:rFonts w:ascii="Times New Roman" w:hAnsi="Times New Roman" w:cs="Times New Roman"/>
          <w:bCs/>
          <w:sz w:val="24"/>
          <w:szCs w:val="24"/>
        </w:rPr>
      </w:pPr>
      <w:r>
        <w:rPr>
          <w:rFonts w:ascii="Times New Roman" w:hAnsi="Times New Roman" w:cs="Times New Roman"/>
          <w:sz w:val="24"/>
          <w:szCs w:val="24"/>
        </w:rPr>
        <w:t xml:space="preserve">Y </w:t>
      </w:r>
      <w:r>
        <w:rPr>
          <w:rFonts w:ascii="Times New Roman" w:hAnsi="Times New Roman" w:cs="Times New Roman"/>
          <w:sz w:val="24"/>
          <w:szCs w:val="24"/>
        </w:rPr>
        <w:tab/>
        <w:t>= Organizational Resilience (OR) – Dependent Variable</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t>= Green Human Resource Management Practices (GHRM) – Independent Variable</w:t>
      </w:r>
    </w:p>
    <w:p w:rsidR="002E671C" w:rsidRDefault="002C5934">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 Error Terms </w:t>
      </w:r>
    </w:p>
    <w:p w:rsidR="007927B6" w:rsidRDefault="007927B6">
      <w:pPr>
        <w:spacing w:after="0" w:line="480" w:lineRule="auto"/>
        <w:ind w:left="1440" w:hanging="720"/>
        <w:jc w:val="both"/>
        <w:rPr>
          <w:rFonts w:ascii="Times New Roman" w:hAnsi="Times New Roman" w:cs="Times New Roman"/>
          <w:sz w:val="24"/>
          <w:szCs w:val="24"/>
        </w:rPr>
      </w:pPr>
    </w:p>
    <w:p w:rsidR="007927B6" w:rsidRDefault="007927B6">
      <w:pPr>
        <w:spacing w:after="0" w:line="480" w:lineRule="auto"/>
        <w:ind w:left="1440" w:hanging="720"/>
        <w:jc w:val="both"/>
        <w:rPr>
          <w:rFonts w:ascii="Times New Roman" w:hAnsi="Times New Roman" w:cs="Times New Roman"/>
          <w:sz w:val="24"/>
          <w:szCs w:val="24"/>
        </w:rPr>
      </w:pPr>
    </w:p>
    <w:p w:rsidR="002E671C" w:rsidRDefault="007927B6" w:rsidP="007927B6">
      <w:pPr>
        <w:tabs>
          <w:tab w:val="left" w:pos="236"/>
          <w:tab w:val="left" w:pos="3240"/>
        </w:tabs>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   </w:t>
      </w:r>
      <w:r w:rsidR="002C5934">
        <w:rPr>
          <w:rFonts w:ascii="Times New Roman" w:eastAsia="Calibri" w:hAnsi="Times New Roman" w:cs="Times New Roman"/>
          <w:b/>
          <w:sz w:val="24"/>
          <w:szCs w:val="24"/>
        </w:rPr>
        <w:t>Ethical consideration</w:t>
      </w:r>
    </w:p>
    <w:p w:rsidR="002E671C" w:rsidRDefault="007927B6" w:rsidP="007927B6">
      <w:pPr>
        <w:spacing w:line="480" w:lineRule="auto"/>
        <w:rPr>
          <w:rFonts w:ascii="Times New Roman" w:hAnsi="Times New Roman" w:cs="Times New Roman"/>
          <w:sz w:val="28"/>
          <w:szCs w:val="28"/>
        </w:rPr>
      </w:pPr>
      <w:r w:rsidRPr="007927B6">
        <w:rPr>
          <w:rFonts w:ascii="Times New Roman" w:eastAsia="Calibri" w:hAnsi="Times New Roman" w:cs="Times New Roman"/>
          <w:sz w:val="24"/>
          <w:szCs w:val="24"/>
        </w:rPr>
        <w:t xml:space="preserve">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w:t>
      </w:r>
      <w:r w:rsidRPr="007927B6">
        <w:rPr>
          <w:rFonts w:ascii="Times New Roman" w:eastAsia="Calibri" w:hAnsi="Times New Roman" w:cs="Times New Roman"/>
          <w:sz w:val="24"/>
          <w:szCs w:val="24"/>
        </w:rPr>
        <w:lastRenderedPageBreak/>
        <w:t>safeguarded. Additionally, none of the respondents will be coerced into providing information important to this study.</w:t>
      </w:r>
    </w:p>
    <w:p w:rsidR="002E671C" w:rsidRDefault="002C5934">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E367C0" w:rsidRDefault="00E367C0">
      <w:pPr>
        <w:jc w:val="center"/>
        <w:rPr>
          <w:rFonts w:ascii="Times New Roman" w:hAnsi="Times New Roman" w:cs="Times New Roman"/>
          <w:sz w:val="28"/>
          <w:szCs w:val="28"/>
        </w:rPr>
      </w:pPr>
    </w:p>
    <w:p w:rsidR="00E367C0" w:rsidRDefault="00E367C0">
      <w:pPr>
        <w:jc w:val="center"/>
        <w:rPr>
          <w:rFonts w:ascii="Times New Roman" w:hAnsi="Times New Roman" w:cs="Times New Roman"/>
          <w:sz w:val="28"/>
          <w:szCs w:val="28"/>
        </w:rPr>
      </w:pPr>
    </w:p>
    <w:p w:rsidR="00E367C0" w:rsidRDefault="00E367C0">
      <w:pPr>
        <w:jc w:val="center"/>
        <w:rPr>
          <w:rFonts w:ascii="Times New Roman" w:hAnsi="Times New Roman" w:cs="Times New Roman"/>
          <w:sz w:val="28"/>
          <w:szCs w:val="28"/>
        </w:rPr>
      </w:pPr>
    </w:p>
    <w:p w:rsidR="00E367C0" w:rsidRDefault="00E367C0">
      <w:pPr>
        <w:jc w:val="center"/>
        <w:rPr>
          <w:rFonts w:ascii="Times New Roman" w:hAnsi="Times New Roman" w:cs="Times New Roman"/>
          <w:sz w:val="28"/>
          <w:szCs w:val="28"/>
        </w:rPr>
      </w:pPr>
    </w:p>
    <w:p w:rsidR="00E367C0" w:rsidRDefault="00E367C0">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E671C" w:rsidRDefault="002C5934">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Interpretation</w:t>
      </w:r>
    </w:p>
    <w:p w:rsidR="002E671C" w:rsidRDefault="002C5934">
      <w:pPr>
        <w:spacing w:after="0"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E367C0" w:rsidRPr="00E367C0" w:rsidRDefault="00E367C0" w:rsidP="00E367C0">
      <w:pPr>
        <w:rPr>
          <w:rFonts w:ascii="Times New Roman" w:hAnsi="Times New Roman" w:cs="Times New Roman"/>
          <w:sz w:val="24"/>
          <w:szCs w:val="24"/>
        </w:rPr>
      </w:pPr>
      <w:r w:rsidRPr="00E367C0">
        <w:rPr>
          <w:rFonts w:ascii="Times New Roman" w:hAnsi="Times New Roman" w:cs="Times New Roman"/>
          <w:sz w:val="24"/>
          <w:szCs w:val="24"/>
        </w:rPr>
        <w:t>This study focused on the staff of Guaranty Trust Bank in Ilorin, Kwara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rsidR="002E671C" w:rsidRDefault="002C5934">
      <w:pPr>
        <w:spacing w:after="0"/>
        <w:jc w:val="both"/>
        <w:rPr>
          <w:rFonts w:ascii="Times New Roman" w:hAnsi="Times New Roman"/>
          <w:b/>
          <w:sz w:val="24"/>
          <w:szCs w:val="24"/>
        </w:rPr>
      </w:pPr>
      <w:r>
        <w:rPr>
          <w:rFonts w:ascii="Times New Roman" w:hAnsi="Times New Roman"/>
          <w:b/>
          <w:sz w:val="24"/>
          <w:szCs w:val="24"/>
        </w:rPr>
        <w:t>4.2: Sample Size Returned</w:t>
      </w:r>
    </w:p>
    <w:p w:rsidR="002E671C" w:rsidRDefault="002E671C">
      <w:pPr>
        <w:spacing w:after="0"/>
        <w:jc w:val="both"/>
        <w:rPr>
          <w:rFonts w:ascii="Times New Roman" w:hAnsi="Times New Roman"/>
          <w:b/>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trPr>
          <w:cantSplit/>
        </w:trPr>
        <w:tc>
          <w:tcPr>
            <w:tcW w:w="6990"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4.2.1: Sample Size Returned and Unreturned</w:t>
            </w:r>
          </w:p>
        </w:tc>
      </w:tr>
      <w:tr w:rsidR="002E671C">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239"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99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239"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99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w:t>
            </w:r>
          </w:p>
        </w:tc>
        <w:tc>
          <w:tcPr>
            <w:tcW w:w="1392"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239"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99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line="480" w:lineRule="auto"/>
        <w:jc w:val="both"/>
        <w:rPr>
          <w:rFonts w:ascii="Times New Roman" w:hAnsi="Times New Roman"/>
          <w:b/>
          <w:sz w:val="24"/>
          <w:szCs w:val="24"/>
        </w:rPr>
      </w:pPr>
      <w:r>
        <w:rPr>
          <w:rFonts w:ascii="Times New Roman" w:hAnsi="Times New Roman"/>
          <w:b/>
          <w:sz w:val="24"/>
          <w:szCs w:val="24"/>
        </w:rPr>
        <w:t>Source: SPSS Computation, 2025</w:t>
      </w:r>
    </w:p>
    <w:p w:rsidR="00E367C0" w:rsidRPr="00E367C0" w:rsidRDefault="00E367C0" w:rsidP="00E367C0">
      <w:pPr>
        <w:pStyle w:val="ListParagraph1"/>
        <w:numPr>
          <w:ilvl w:val="1"/>
          <w:numId w:val="2"/>
        </w:numPr>
        <w:spacing w:after="0" w:line="480" w:lineRule="auto"/>
        <w:jc w:val="both"/>
        <w:rPr>
          <w:rFonts w:ascii="Times New Roman" w:hAnsi="Times New Roman"/>
          <w:b/>
          <w:sz w:val="24"/>
          <w:szCs w:val="24"/>
        </w:rPr>
      </w:pPr>
      <w:r w:rsidRPr="00E367C0">
        <w:rPr>
          <w:rFonts w:ascii="Times New Roman" w:hAnsi="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rsidR="002E671C" w:rsidRDefault="002C5934" w:rsidP="00E367C0">
      <w:pPr>
        <w:pStyle w:val="ListParagraph1"/>
        <w:numPr>
          <w:ilvl w:val="1"/>
          <w:numId w:val="2"/>
        </w:numPr>
        <w:spacing w:after="0" w:line="480" w:lineRule="auto"/>
        <w:jc w:val="both"/>
        <w:rPr>
          <w:rFonts w:ascii="Times New Roman" w:hAnsi="Times New Roman"/>
          <w:b/>
          <w:sz w:val="24"/>
          <w:szCs w:val="24"/>
        </w:rPr>
      </w:pPr>
      <w:r>
        <w:rPr>
          <w:rFonts w:ascii="Times New Roman" w:hAnsi="Times New Roman"/>
          <w:b/>
          <w:sz w:val="24"/>
          <w:szCs w:val="24"/>
        </w:rPr>
        <w:t>DEMOGRAPHIC CHARACTERISTICS</w:t>
      </w:r>
    </w:p>
    <w:p w:rsidR="002E671C" w:rsidRDefault="00E367C0" w:rsidP="00FF159D">
      <w:pPr>
        <w:spacing w:after="0" w:line="480" w:lineRule="auto"/>
        <w:jc w:val="both"/>
        <w:rPr>
          <w:rFonts w:ascii="Times New Roman" w:hAnsi="Times New Roman"/>
          <w:sz w:val="24"/>
          <w:szCs w:val="24"/>
        </w:rPr>
      </w:pPr>
      <w:r w:rsidRPr="00E367C0">
        <w:rPr>
          <w:rFonts w:ascii="Times New Roman" w:hAnsi="Times New Roman"/>
          <w:sz w:val="24"/>
          <w:szCs w:val="24"/>
        </w:rPr>
        <w:t>This section presents the respondents' socio</w:t>
      </w:r>
      <w:r>
        <w:rPr>
          <w:rFonts w:ascii="Times New Roman" w:hAnsi="Times New Roman"/>
          <w:sz w:val="24"/>
          <w:szCs w:val="24"/>
        </w:rPr>
        <w:t xml:space="preserve"> </w:t>
      </w:r>
      <w:r w:rsidRPr="00E367C0">
        <w:rPr>
          <w:rFonts w:ascii="Times New Roman" w:hAnsi="Times New Roman"/>
          <w:sz w:val="24"/>
          <w:szCs w:val="24"/>
        </w:rPr>
        <w:t>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its findings. The analysis utilized the respondents' profiles to assess the relevance of their socioeconomic backgrounds to the study's objectives.</w:t>
      </w:r>
      <w:r>
        <w:rPr>
          <w:rFonts w:ascii="Times New Roman" w:hAnsi="Times New Roman"/>
          <w:sz w:val="24"/>
          <w:szCs w:val="24"/>
        </w:rPr>
        <w:t xml:space="preserve"> </w:t>
      </w:r>
    </w:p>
    <w:p w:rsidR="00E367C0" w:rsidRDefault="00E367C0" w:rsidP="00FF159D">
      <w:pPr>
        <w:spacing w:after="0" w:line="480" w:lineRule="auto"/>
        <w:jc w:val="both"/>
        <w:rPr>
          <w:rFonts w:ascii="Times New Roman" w:hAnsi="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trPr>
          <w:cantSplit/>
        </w:trPr>
        <w:tc>
          <w:tcPr>
            <w:tcW w:w="6776"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Table 4.3.1GEDER</w:t>
            </w:r>
          </w:p>
        </w:tc>
      </w:tr>
      <w:tr w:rsidR="002E671C">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994"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MALE</w:t>
            </w:r>
          </w:p>
        </w:tc>
        <w:tc>
          <w:tcPr>
            <w:tcW w:w="1163"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392"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994"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FEMALE</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64.0</w:t>
            </w:r>
          </w:p>
        </w:tc>
        <w:tc>
          <w:tcPr>
            <w:tcW w:w="1392"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994"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2C5934">
      <w:pPr>
        <w:spacing w:after="0"/>
        <w:jc w:val="both"/>
        <w:rPr>
          <w:rFonts w:ascii="Times New Roman" w:hAnsi="Times New Roman"/>
          <w:b/>
          <w:sz w:val="24"/>
          <w:szCs w:val="24"/>
        </w:rPr>
      </w:pPr>
      <w:r>
        <w:rPr>
          <w:rFonts w:ascii="Times New Roman" w:hAnsi="Times New Roman"/>
          <w:b/>
          <w:sz w:val="24"/>
          <w:szCs w:val="24"/>
        </w:rPr>
        <w:t>Source: SPSS Computation, 20</w:t>
      </w:r>
      <w:r w:rsidR="00E757AC">
        <w:rPr>
          <w:rFonts w:ascii="Times New Roman" w:hAnsi="Times New Roman"/>
          <w:b/>
          <w:sz w:val="24"/>
          <w:szCs w:val="24"/>
        </w:rPr>
        <w:t>25</w:t>
      </w:r>
    </w:p>
    <w:p w:rsidR="002E671C" w:rsidRDefault="002E671C" w:rsidP="00FF159D">
      <w:pPr>
        <w:autoSpaceDE w:val="0"/>
        <w:autoSpaceDN w:val="0"/>
        <w:adjustRightInd w:val="0"/>
        <w:spacing w:after="0" w:line="480" w:lineRule="auto"/>
        <w:jc w:val="both"/>
        <w:rPr>
          <w:rFonts w:ascii="Times New Roman" w:hAnsi="Times New Roman" w:cs="Times New Roman"/>
          <w:sz w:val="24"/>
          <w:szCs w:val="24"/>
        </w:rPr>
      </w:pPr>
    </w:p>
    <w:p w:rsidR="002E671C" w:rsidRDefault="00E367C0" w:rsidP="00FF159D">
      <w:pPr>
        <w:autoSpaceDE w:val="0"/>
        <w:autoSpaceDN w:val="0"/>
        <w:adjustRightInd w:val="0"/>
        <w:spacing w:after="0" w:line="480" w:lineRule="auto"/>
        <w:rPr>
          <w:rFonts w:ascii="Times New Roman" w:hAnsi="Times New Roman" w:cs="Times New Roman"/>
          <w:sz w:val="24"/>
          <w:szCs w:val="24"/>
        </w:rPr>
      </w:pPr>
      <w:r w:rsidRPr="00E367C0">
        <w:rPr>
          <w:rFonts w:ascii="Times New Roman" w:hAnsi="Times New Roman" w:cs="Times New Roman"/>
          <w:sz w:val="24"/>
          <w:szCs w:val="24"/>
        </w:rPr>
        <w:t>There were 18 female respondents (36%) and 32 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trPr>
          <w:cantSplit/>
        </w:trPr>
        <w:tc>
          <w:tcPr>
            <w:tcW w:w="7358"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4.3.2 AGE</w:t>
            </w:r>
          </w:p>
        </w:tc>
      </w:tr>
      <w:tr w:rsidR="002E671C">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21-30 years</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31-40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41-50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51-60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E367C0">
      <w:pPr>
        <w:autoSpaceDE w:val="0"/>
        <w:autoSpaceDN w:val="0"/>
        <w:adjustRightInd w:val="0"/>
        <w:spacing w:after="0" w:line="480" w:lineRule="auto"/>
        <w:jc w:val="both"/>
        <w:rPr>
          <w:rFonts w:ascii="Times New Roman" w:hAnsi="Times New Roman" w:cs="Times New Roman"/>
          <w:sz w:val="24"/>
          <w:szCs w:val="24"/>
        </w:rPr>
      </w:pPr>
      <w:r w:rsidRPr="00E367C0">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p w:rsidR="00E367C0" w:rsidRDefault="00E367C0">
      <w:pPr>
        <w:autoSpaceDE w:val="0"/>
        <w:autoSpaceDN w:val="0"/>
        <w:adjustRightInd w:val="0"/>
        <w:spacing w:after="0" w:line="480" w:lineRule="auto"/>
        <w:jc w:val="both"/>
        <w:rPr>
          <w:rFonts w:ascii="Times New Roman" w:hAnsi="Times New Roman" w:cs="Times New Roman"/>
          <w:sz w:val="24"/>
          <w:szCs w:val="24"/>
        </w:rPr>
      </w:pPr>
    </w:p>
    <w:p w:rsidR="00E367C0" w:rsidRDefault="00E367C0">
      <w:pPr>
        <w:autoSpaceDE w:val="0"/>
        <w:autoSpaceDN w:val="0"/>
        <w:adjustRightInd w:val="0"/>
        <w:spacing w:after="0" w:line="480" w:lineRule="auto"/>
        <w:jc w:val="both"/>
        <w:rPr>
          <w:rFonts w:ascii="Times New Roman" w:hAnsi="Times New Roman" w:cs="Times New Roman"/>
          <w:sz w:val="24"/>
          <w:szCs w:val="24"/>
        </w:rPr>
      </w:pP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trPr>
          <w:cantSplit/>
        </w:trPr>
        <w:tc>
          <w:tcPr>
            <w:tcW w:w="6899"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4.3.3: Religion Background</w:t>
            </w:r>
          </w:p>
        </w:tc>
      </w:tr>
      <w:tr w:rsidR="002E671C">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E367C0" w:rsidRDefault="00E367C0">
            <w:pPr>
              <w:autoSpaceDE w:val="0"/>
              <w:autoSpaceDN w:val="0"/>
              <w:adjustRightInd w:val="0"/>
              <w:spacing w:after="0" w:line="320" w:lineRule="atLeast"/>
              <w:ind w:left="60" w:right="60"/>
              <w:jc w:val="center"/>
              <w:rPr>
                <w:rFonts w:ascii="Arial" w:hAnsi="Arial" w:cs="Arial"/>
                <w:color w:val="000000"/>
                <w:sz w:val="18"/>
                <w:szCs w:val="18"/>
              </w:rPr>
            </w:pPr>
          </w:p>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11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Islam</w:t>
            </w:r>
          </w:p>
        </w:tc>
        <w:tc>
          <w:tcPr>
            <w:tcW w:w="1163"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Christianity</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Traditional</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FF159D" w:rsidRDefault="00E367C0">
      <w:pPr>
        <w:autoSpaceDE w:val="0"/>
        <w:autoSpaceDN w:val="0"/>
        <w:adjustRightInd w:val="0"/>
        <w:spacing w:after="0" w:line="400" w:lineRule="atLeast"/>
        <w:rPr>
          <w:rFonts w:ascii="Times New Roman" w:hAnsi="Times New Roman" w:cs="Times New Roman"/>
          <w:sz w:val="24"/>
          <w:szCs w:val="24"/>
        </w:rPr>
      </w:pPr>
      <w:r w:rsidRPr="00E367C0">
        <w:rPr>
          <w:rFonts w:ascii="Times New Roman" w:hAnsi="Times New Roman" w:cs="Times New Roman"/>
          <w:sz w:val="24"/>
          <w:szCs w:val="24"/>
        </w:rPr>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trPr>
          <w:cantSplit/>
        </w:trPr>
        <w:tc>
          <w:tcPr>
            <w:tcW w:w="6899"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4.3.4: MARITAL_STATUS</w:t>
            </w:r>
          </w:p>
        </w:tc>
      </w:tr>
      <w:tr w:rsidR="002E671C">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11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SINGLE</w:t>
            </w:r>
          </w:p>
        </w:tc>
        <w:tc>
          <w:tcPr>
            <w:tcW w:w="1163"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WIDOW</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FF159D" w:rsidRDefault="00E367C0">
      <w:pPr>
        <w:autoSpaceDE w:val="0"/>
        <w:autoSpaceDN w:val="0"/>
        <w:adjustRightInd w:val="0"/>
        <w:spacing w:after="0" w:line="400" w:lineRule="atLeast"/>
        <w:rPr>
          <w:rFonts w:ascii="Times New Roman" w:hAnsi="Times New Roman" w:cs="Times New Roman"/>
          <w:sz w:val="24"/>
          <w:szCs w:val="24"/>
        </w:rPr>
      </w:pPr>
      <w:r w:rsidRPr="00E367C0">
        <w:rPr>
          <w:rFonts w:ascii="Times New Roman" w:hAnsi="Times New Roman" w:cs="Times New Roman"/>
          <w:sz w:val="24"/>
          <w:szCs w:val="24"/>
        </w:rPr>
        <w:t>Table 4.3.4 shows that 35 respondents, or 70% of the sample, are single, while 15 respondents (30%) are married. This indicates that the majority of respondents (70%) may have fewer family responsibilities, potentially enhancing their focus on work and improving organizational efficiency.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trPr>
          <w:cantSplit/>
        </w:trPr>
        <w:tc>
          <w:tcPr>
            <w:tcW w:w="7797"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4.3.5: EDUCATIONAL_QUALIFICATION</w:t>
            </w:r>
          </w:p>
        </w:tc>
      </w:tr>
      <w:tr w:rsidR="002E671C">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27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41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818"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Education Diploma</w:t>
            </w:r>
          </w:p>
        </w:tc>
        <w:tc>
          <w:tcPr>
            <w:tcW w:w="1276"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27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1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276"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Bachelor’s Degree</w:t>
            </w:r>
          </w:p>
        </w:tc>
        <w:tc>
          <w:tcPr>
            <w:tcW w:w="1276"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27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41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276"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Master Degree</w:t>
            </w:r>
          </w:p>
        </w:tc>
        <w:tc>
          <w:tcPr>
            <w:tcW w:w="1276"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w:t>
            </w:r>
          </w:p>
        </w:tc>
        <w:tc>
          <w:tcPr>
            <w:tcW w:w="127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41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276"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76"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275"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18"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76"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Pr="00FF159D" w:rsidRDefault="00E757AC">
      <w:pPr>
        <w:spacing w:after="0"/>
        <w:jc w:val="both"/>
        <w:rPr>
          <w:rFonts w:ascii="Times New Roman" w:hAnsi="Times New Roman"/>
          <w:sz w:val="24"/>
          <w:szCs w:val="24"/>
        </w:rPr>
      </w:pPr>
      <w:r>
        <w:rPr>
          <w:rFonts w:ascii="Times New Roman" w:hAnsi="Times New Roman"/>
          <w:b/>
          <w:sz w:val="24"/>
          <w:szCs w:val="24"/>
        </w:rPr>
        <w:t>Source: SPSS Computation, 2025</w:t>
      </w:r>
    </w:p>
    <w:p w:rsidR="002E671C" w:rsidRPr="00FF159D" w:rsidRDefault="004A2A25">
      <w:pPr>
        <w:autoSpaceDE w:val="0"/>
        <w:autoSpaceDN w:val="0"/>
        <w:adjustRightInd w:val="0"/>
        <w:spacing w:after="0" w:line="400" w:lineRule="atLeast"/>
        <w:rPr>
          <w:rFonts w:ascii="Times New Roman" w:hAnsi="Times New Roman" w:cs="Times New Roman"/>
          <w:sz w:val="24"/>
          <w:szCs w:val="24"/>
        </w:rPr>
      </w:pPr>
      <w:r w:rsidRPr="004A2A25">
        <w:rPr>
          <w:rFonts w:ascii="Times New Roman" w:hAnsi="Times New Roman"/>
          <w:sz w:val="24"/>
          <w:szCs w:val="24"/>
        </w:rPr>
        <w:t xml:space="preserve">Table 4.3.5 shows that 2 respondents (4%) held a high school diploma and an education degree, 12 respondents (24%) had a bachelor's degree, and 36 respondents (72%) possessed a master's </w:t>
      </w:r>
      <w:r w:rsidRPr="004A2A25">
        <w:rPr>
          <w:rFonts w:ascii="Times New Roman" w:hAnsi="Times New Roman"/>
          <w:sz w:val="24"/>
          <w:szCs w:val="24"/>
        </w:rPr>
        <w:lastRenderedPageBreak/>
        <w:t>degree. This data indicates that all participants in the chosen bank have a high level of education and are well-informed about the study's objectives.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trPr>
          <w:cantSplit/>
        </w:trPr>
        <w:tc>
          <w:tcPr>
            <w:tcW w:w="7797"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4.3.6: CURRENT JOB ROLE</w:t>
            </w:r>
          </w:p>
        </w:tc>
      </w:tr>
      <w:tr w:rsidR="002E671C">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27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41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818"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Managerial</w:t>
            </w:r>
          </w:p>
        </w:tc>
        <w:tc>
          <w:tcPr>
            <w:tcW w:w="1276"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27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c>
          <w:tcPr>
            <w:tcW w:w="141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c>
          <w:tcPr>
            <w:tcW w:w="1276"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Non-managerial</w:t>
            </w:r>
          </w:p>
        </w:tc>
        <w:tc>
          <w:tcPr>
            <w:tcW w:w="1276"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w:t>
            </w:r>
          </w:p>
        </w:tc>
        <w:tc>
          <w:tcPr>
            <w:tcW w:w="127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41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276"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76"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275"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18"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76"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pPr>
        <w:spacing w:after="0"/>
        <w:jc w:val="both"/>
        <w:rPr>
          <w:rFonts w:ascii="Times New Roman" w:hAnsi="Times New Roman"/>
          <w:b/>
          <w:sz w:val="24"/>
          <w:szCs w:val="24"/>
        </w:rPr>
      </w:pPr>
    </w:p>
    <w:p w:rsidR="002E671C" w:rsidRDefault="004A2A25" w:rsidP="00E757AC">
      <w:pPr>
        <w:autoSpaceDE w:val="0"/>
        <w:autoSpaceDN w:val="0"/>
        <w:adjustRightInd w:val="0"/>
        <w:spacing w:after="0" w:line="480" w:lineRule="auto"/>
        <w:jc w:val="both"/>
        <w:rPr>
          <w:rFonts w:ascii="Times New Roman" w:hAnsi="Times New Roman" w:cs="Times New Roman"/>
          <w:sz w:val="24"/>
          <w:szCs w:val="24"/>
        </w:rPr>
      </w:pPr>
      <w:r w:rsidRPr="004A2A25">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trPr>
          <w:cantSplit/>
        </w:trPr>
        <w:tc>
          <w:tcPr>
            <w:tcW w:w="7358"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4.3.7 Length of Service</w:t>
            </w:r>
          </w:p>
        </w:tc>
      </w:tr>
      <w:tr w:rsidR="002E671C">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3-5 years</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6-8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9-10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10 years above</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rsidP="005D7349">
      <w:pPr>
        <w:spacing w:after="0" w:line="480" w:lineRule="auto"/>
        <w:jc w:val="both"/>
        <w:rPr>
          <w:rFonts w:ascii="Times New Roman" w:hAnsi="Times New Roman"/>
          <w:b/>
          <w:sz w:val="24"/>
          <w:szCs w:val="24"/>
        </w:rPr>
      </w:pPr>
    </w:p>
    <w:p w:rsidR="004A2A25" w:rsidRPr="004A2A25" w:rsidRDefault="004A2A25" w:rsidP="004A2A25">
      <w:pPr>
        <w:pStyle w:val="ListParagraph1"/>
        <w:numPr>
          <w:ilvl w:val="1"/>
          <w:numId w:val="2"/>
        </w:numPr>
        <w:spacing w:after="0"/>
        <w:jc w:val="both"/>
        <w:rPr>
          <w:rFonts w:ascii="Times New Roman" w:hAnsi="Times New Roman"/>
          <w:b/>
          <w:sz w:val="24"/>
          <w:szCs w:val="24"/>
        </w:rPr>
      </w:pPr>
      <w:r w:rsidRPr="004A2A25">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rsidR="002E671C" w:rsidRDefault="002C5934" w:rsidP="004A2A25">
      <w:pPr>
        <w:pStyle w:val="ListParagraph1"/>
        <w:numPr>
          <w:ilvl w:val="1"/>
          <w:numId w:val="2"/>
        </w:numPr>
        <w:spacing w:after="0"/>
        <w:jc w:val="both"/>
        <w:rPr>
          <w:rFonts w:ascii="Times New Roman" w:hAnsi="Times New Roman"/>
          <w:b/>
          <w:sz w:val="24"/>
          <w:szCs w:val="24"/>
        </w:rPr>
      </w:pPr>
      <w:r>
        <w:rPr>
          <w:rFonts w:ascii="Times New Roman" w:hAnsi="Times New Roman"/>
          <w:b/>
          <w:sz w:val="24"/>
          <w:szCs w:val="24"/>
        </w:rPr>
        <w:t>Presentation and Analysis According to Key Questions</w:t>
      </w:r>
    </w:p>
    <w:p w:rsidR="002E671C" w:rsidRDefault="002E671C">
      <w:pPr>
        <w:spacing w:after="0"/>
        <w:jc w:val="both"/>
        <w:rPr>
          <w:rFonts w:ascii="Times New Roman" w:hAnsi="Times New Roman" w:cs="Times New Roman"/>
          <w:bCs/>
          <w:sz w:val="24"/>
          <w:szCs w:val="24"/>
        </w:rPr>
      </w:pPr>
    </w:p>
    <w:p w:rsidR="002E671C" w:rsidRDefault="002E671C">
      <w:pPr>
        <w:spacing w:after="0"/>
        <w:jc w:val="both"/>
        <w:rPr>
          <w:rFonts w:ascii="Times New Roman" w:hAnsi="Times New Roman" w:cs="Times New Roman"/>
          <w:bCs/>
          <w:sz w:val="24"/>
          <w:szCs w:val="24"/>
        </w:rPr>
      </w:pPr>
    </w:p>
    <w:p w:rsidR="002E671C" w:rsidRDefault="002C5934">
      <w:pPr>
        <w:spacing w:after="0"/>
        <w:jc w:val="both"/>
        <w:rPr>
          <w:rFonts w:ascii="Times New Roman" w:hAnsi="Times New Roman" w:cs="Times New Roman"/>
          <w:b/>
          <w:sz w:val="24"/>
          <w:szCs w:val="24"/>
        </w:rPr>
      </w:pPr>
      <w:r>
        <w:rPr>
          <w:rFonts w:ascii="Times New Roman" w:hAnsi="Times New Roman" w:cs="Times New Roman"/>
          <w:b/>
          <w:sz w:val="24"/>
          <w:szCs w:val="24"/>
        </w:rPr>
        <w:t>Research Question 1: to what extent does GTB GHRM practices affect its organizational effectiveness?</w:t>
      </w:r>
    </w:p>
    <w:p w:rsidR="002E671C" w:rsidRDefault="002E671C">
      <w:pPr>
        <w:spacing w:after="0"/>
        <w:jc w:val="both"/>
        <w:rPr>
          <w:rFonts w:ascii="Times New Roman" w:hAnsi="Times New Roman" w:cs="Times New Roman"/>
          <w:b/>
          <w:sz w:val="24"/>
          <w:szCs w:val="24"/>
        </w:rPr>
      </w:pP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2E671C">
        <w:trPr>
          <w:cantSplit/>
        </w:trPr>
        <w:tc>
          <w:tcPr>
            <w:tcW w:w="9239" w:type="dxa"/>
            <w:gridSpan w:val="7"/>
            <w:shd w:val="clear" w:color="auto" w:fill="FFFFFF"/>
            <w:vAlign w:val="center"/>
          </w:tcPr>
          <w:p w:rsidR="002E671C" w:rsidRDefault="002C5934">
            <w:pPr>
              <w:spacing w:after="0" w:line="240" w:lineRule="auto"/>
              <w:ind w:right="60"/>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Table 4.4.1 Perceptions of Respondents in </w:t>
            </w:r>
            <w:r>
              <w:rPr>
                <w:rFonts w:ascii="Times New Roman" w:hAnsi="Times New Roman" w:cs="Times New Roman"/>
                <w:b/>
                <w:bCs/>
                <w:sz w:val="24"/>
                <w:szCs w:val="24"/>
              </w:rPr>
              <w:t>the influence of GHRM practices on the Organizational Effectiveness of GTBank</w:t>
            </w:r>
          </w:p>
        </w:tc>
      </w:tr>
      <w:tr w:rsidR="002E671C">
        <w:trPr>
          <w:cantSplit/>
        </w:trPr>
        <w:tc>
          <w:tcPr>
            <w:tcW w:w="3883" w:type="dxa"/>
            <w:gridSpan w:val="2"/>
            <w:vMerge w:val="restart"/>
            <w:tcBorders>
              <w:top w:val="single" w:sz="16" w:space="0" w:color="000000"/>
              <w:left w:val="single" w:sz="16" w:space="0" w:color="000000"/>
            </w:tcBorders>
            <w:shd w:val="clear" w:color="auto" w:fill="FFFFFF"/>
            <w:vAlign w:val="bottom"/>
          </w:tcPr>
          <w:p w:rsidR="002E671C" w:rsidRDefault="002E671C">
            <w:pPr>
              <w:spacing w:after="0" w:line="240" w:lineRule="auto"/>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Bootstrap</w:t>
            </w:r>
            <w:r>
              <w:rPr>
                <w:color w:val="000000"/>
                <w:vertAlign w:val="superscript"/>
              </w:rPr>
              <w:t>a</w:t>
            </w:r>
          </w:p>
        </w:tc>
      </w:tr>
      <w:tr w:rsidR="002E671C">
        <w:trPr>
          <w:cantSplit/>
        </w:trPr>
        <w:tc>
          <w:tcPr>
            <w:tcW w:w="3883" w:type="dxa"/>
            <w:gridSpan w:val="2"/>
            <w:vMerge/>
            <w:tcBorders>
              <w:top w:val="single" w:sz="16" w:space="0" w:color="000000"/>
              <w:left w:val="single" w:sz="16" w:space="0" w:color="000000"/>
            </w:tcBorders>
            <w:shd w:val="clear" w:color="auto" w:fill="FFFFFF"/>
            <w:vAlign w:val="bottom"/>
          </w:tcPr>
          <w:p w:rsidR="002E671C" w:rsidRDefault="002E671C">
            <w:pPr>
              <w:spacing w:after="0" w:line="240" w:lineRule="auto"/>
              <w:rPr>
                <w:color w:val="000000"/>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95% Confidence Interval</w:t>
            </w:r>
          </w:p>
        </w:tc>
      </w:tr>
      <w:tr w:rsidR="002E671C">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2E671C" w:rsidRDefault="002E671C">
            <w:pPr>
              <w:spacing w:after="0" w:line="240" w:lineRule="auto"/>
              <w:rPr>
                <w:color w:val="000000"/>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Upper</w:t>
            </w:r>
          </w:p>
        </w:tc>
      </w:tr>
      <w:tr w:rsidR="002E671C">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6" w:space="0" w:color="000000"/>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4.1435</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-.0027</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.0736</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3.9739</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4.2739</w:t>
            </w: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1.17527</w:t>
            </w:r>
          </w:p>
        </w:tc>
      </w:tr>
      <w:tr w:rsidR="002E671C">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4.1304</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-.0009</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.0661</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3.9947</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4.2723</w:t>
            </w:r>
          </w:p>
        </w:tc>
      </w:tr>
      <w:tr w:rsidR="002E671C">
        <w:trPr>
          <w:cantSplit/>
        </w:trPr>
        <w:tc>
          <w:tcPr>
            <w:tcW w:w="2443" w:type="dxa"/>
            <w:vMerge/>
            <w:tcBorders>
              <w:left w:val="single" w:sz="16" w:space="0" w:color="000000"/>
              <w:bottom w:val="single" w:sz="12" w:space="0" w:color="auto"/>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1.09986</w:t>
            </w:r>
          </w:p>
        </w:tc>
      </w:tr>
      <w:tr w:rsidR="002E671C">
        <w:trPr>
          <w:cantSplit/>
        </w:trPr>
        <w:tc>
          <w:tcPr>
            <w:tcW w:w="2443" w:type="dxa"/>
            <w:tcBorders>
              <w:top w:val="single" w:sz="12" w:space="0" w:color="auto"/>
              <w:left w:val="single" w:sz="12" w:space="0" w:color="auto"/>
              <w:right w:val="single" w:sz="12" w:space="0" w:color="auto"/>
            </w:tcBorders>
            <w:shd w:val="clear" w:color="auto" w:fill="FFFFFF"/>
          </w:tcPr>
          <w:p w:rsidR="002E671C" w:rsidRDefault="002E671C">
            <w:pPr>
              <w:spacing w:after="0" w:line="240" w:lineRule="auto"/>
              <w:ind w:left="60" w:right="60"/>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4.4012</w:t>
            </w:r>
          </w:p>
        </w:tc>
        <w:tc>
          <w:tcPr>
            <w:tcW w:w="978"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-.0015</w:t>
            </w:r>
          </w:p>
        </w:tc>
        <w:tc>
          <w:tcPr>
            <w:tcW w:w="1071"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.0736</w:t>
            </w:r>
          </w:p>
        </w:tc>
        <w:tc>
          <w:tcPr>
            <w:tcW w:w="1162"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3.1061</w:t>
            </w:r>
          </w:p>
        </w:tc>
        <w:tc>
          <w:tcPr>
            <w:tcW w:w="1169"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4.5510</w:t>
            </w:r>
          </w:p>
        </w:tc>
      </w:tr>
      <w:tr w:rsidR="002E671C">
        <w:trPr>
          <w:cantSplit/>
        </w:trPr>
        <w:tc>
          <w:tcPr>
            <w:tcW w:w="2443" w:type="dxa"/>
            <w:tcBorders>
              <w:left w:val="single" w:sz="12" w:space="0" w:color="auto"/>
              <w:bottom w:val="single" w:sz="12" w:space="0" w:color="auto"/>
              <w:right w:val="single" w:sz="12" w:space="0" w:color="auto"/>
            </w:tcBorders>
            <w:shd w:val="clear" w:color="auto" w:fill="FFFFFF"/>
          </w:tcPr>
          <w:p w:rsidR="002E671C" w:rsidRDefault="002E671C">
            <w:pPr>
              <w:spacing w:after="0" w:line="240" w:lineRule="auto"/>
              <w:ind w:right="60"/>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1.17527</w:t>
            </w:r>
          </w:p>
        </w:tc>
      </w:tr>
      <w:tr w:rsidR="002E671C">
        <w:trPr>
          <w:cantSplit/>
        </w:trPr>
        <w:tc>
          <w:tcPr>
            <w:tcW w:w="2443" w:type="dxa"/>
            <w:tcBorders>
              <w:top w:val="single" w:sz="12" w:space="0" w:color="auto"/>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E671C">
            <w:pPr>
              <w:spacing w:after="0" w:line="240" w:lineRule="auto"/>
              <w:ind w:left="60" w:right="60"/>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3.9133</w:t>
            </w:r>
          </w:p>
        </w:tc>
        <w:tc>
          <w:tcPr>
            <w:tcW w:w="978"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-.0097</w:t>
            </w:r>
          </w:p>
        </w:tc>
        <w:tc>
          <w:tcPr>
            <w:tcW w:w="1071"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.0325</w:t>
            </w:r>
          </w:p>
        </w:tc>
        <w:tc>
          <w:tcPr>
            <w:tcW w:w="1162"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3.8715</w:t>
            </w:r>
          </w:p>
        </w:tc>
        <w:tc>
          <w:tcPr>
            <w:tcW w:w="1169"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4.1239</w:t>
            </w:r>
          </w:p>
        </w:tc>
      </w:tr>
      <w:tr w:rsidR="002E671C">
        <w:trPr>
          <w:cantSplit/>
        </w:trPr>
        <w:tc>
          <w:tcPr>
            <w:tcW w:w="2443" w:type="dxa"/>
            <w:tcBorders>
              <w:left w:val="single" w:sz="12" w:space="0" w:color="auto"/>
              <w:bottom w:val="single" w:sz="12" w:space="0" w:color="auto"/>
              <w:right w:val="single" w:sz="12" w:space="0" w:color="auto"/>
            </w:tcBorders>
            <w:shd w:val="clear" w:color="auto" w:fill="FFFFFF"/>
          </w:tcPr>
          <w:p w:rsidR="002E671C" w:rsidRDefault="002E671C">
            <w:pPr>
              <w:spacing w:after="0" w:line="240" w:lineRule="auto"/>
              <w:ind w:right="60"/>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1.30015</w:t>
            </w:r>
          </w:p>
        </w:tc>
      </w:tr>
      <w:tr w:rsidR="002E671C">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2" w:space="0" w:color="auto"/>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2" w:space="0" w:color="auto"/>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2" w:space="0" w:color="auto"/>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2" w:space="0" w:color="auto"/>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2" w:space="0" w:color="auto"/>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3.6609</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-.0021</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.0854</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3.4764</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3.8217</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1.36925</w:t>
            </w:r>
          </w:p>
        </w:tc>
      </w:tr>
      <w:tr w:rsidR="002E671C">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3.4609</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.0008</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.0899</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3.3094</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3.6481</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rPr>
            </w:pPr>
          </w:p>
        </w:tc>
        <w:tc>
          <w:tcPr>
            <w:tcW w:w="1440" w:type="dxa"/>
            <w:tcBorders>
              <w:left w:val="single" w:sz="12" w:space="0" w:color="auto"/>
              <w:bottom w:val="single" w:sz="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1.46519</w:t>
            </w:r>
          </w:p>
        </w:tc>
      </w:tr>
      <w:tr w:rsidR="002E671C">
        <w:trPr>
          <w:cantSplit/>
        </w:trPr>
        <w:tc>
          <w:tcPr>
            <w:tcW w:w="2443" w:type="dxa"/>
            <w:tcBorders>
              <w:left w:val="single" w:sz="16" w:space="0" w:color="000000"/>
              <w:bottom w:val="single" w:sz="18" w:space="0" w:color="000000"/>
              <w:right w:val="single" w:sz="12" w:space="0" w:color="auto"/>
            </w:tcBorders>
            <w:shd w:val="clear" w:color="auto" w:fill="FFFFFF"/>
          </w:tcPr>
          <w:p w:rsidR="002E671C" w:rsidRDefault="002C5934">
            <w:pPr>
              <w:spacing w:after="0" w:line="240" w:lineRule="auto"/>
              <w:ind w:left="60" w:right="60"/>
              <w:rPr>
                <w:color w:val="000000"/>
              </w:rPr>
            </w:pPr>
            <w:r>
              <w:rPr>
                <w:color w:val="000000"/>
              </w:rPr>
              <w:t>Valid N (listwise)</w:t>
            </w:r>
          </w:p>
        </w:tc>
        <w:tc>
          <w:tcPr>
            <w:tcW w:w="1440" w:type="dxa"/>
            <w:tcBorders>
              <w:left w:val="single" w:sz="12" w:space="0" w:color="auto"/>
              <w:bottom w:val="single" w:sz="1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9239" w:type="dxa"/>
            <w:gridSpan w:val="7"/>
            <w:shd w:val="clear" w:color="auto" w:fill="FFFFFF"/>
          </w:tcPr>
          <w:p w:rsidR="002E671C" w:rsidRDefault="00E757AC">
            <w:pPr>
              <w:spacing w:line="320" w:lineRule="atLeast"/>
              <w:ind w:left="60" w:right="60"/>
              <w:rPr>
                <w:b/>
                <w:bCs/>
                <w:i/>
                <w:iCs/>
                <w:color w:val="000000"/>
              </w:rPr>
            </w:pPr>
            <w:r>
              <w:rPr>
                <w:b/>
                <w:bCs/>
                <w:i/>
                <w:iCs/>
                <w:color w:val="000000"/>
              </w:rPr>
              <w:t>Source: Field Survey, 2025</w:t>
            </w:r>
          </w:p>
          <w:p w:rsidR="00CF387B" w:rsidRDefault="00CF387B">
            <w:pPr>
              <w:spacing w:line="320" w:lineRule="atLeast"/>
              <w:ind w:left="60" w:right="60"/>
              <w:rPr>
                <w:color w:val="000000"/>
              </w:rPr>
            </w:pPr>
          </w:p>
        </w:tc>
      </w:tr>
      <w:tr w:rsidR="00CF387B" w:rsidRPr="00CF387B">
        <w:trPr>
          <w:cantSplit/>
        </w:trPr>
        <w:tc>
          <w:tcPr>
            <w:tcW w:w="9239" w:type="dxa"/>
            <w:gridSpan w:val="7"/>
            <w:shd w:val="clear" w:color="auto" w:fill="FFFFFF"/>
          </w:tcPr>
          <w:p w:rsidR="00CF387B" w:rsidRPr="00CF387B" w:rsidRDefault="00CF387B" w:rsidP="00CF387B">
            <w:pPr>
              <w:spacing w:line="320" w:lineRule="atLeast"/>
              <w:ind w:right="60"/>
              <w:rPr>
                <w:bCs/>
                <w:iCs/>
                <w:color w:val="000000"/>
              </w:rPr>
            </w:pPr>
          </w:p>
        </w:tc>
      </w:tr>
    </w:tbl>
    <w:p w:rsidR="002F06A0" w:rsidRPr="002F06A0" w:rsidRDefault="002F06A0" w:rsidP="002F06A0">
      <w:pPr>
        <w:spacing w:line="480" w:lineRule="auto"/>
        <w:jc w:val="both"/>
        <w:rPr>
          <w:bCs/>
          <w:iCs/>
          <w:color w:val="000000"/>
        </w:rPr>
      </w:pPr>
      <w:r w:rsidRPr="002F06A0">
        <w:rPr>
          <w:bCs/>
          <w:iCs/>
          <w:color w:val="000000"/>
        </w:rPr>
        <w:t xml:space="preserve">Table 4.4.1 presents the mean rankings for GHRM practices at GTB Plc Ilorin across various statement constructs. The constructs were evaluated on a five-point Likert scale, where 5 indicates the highest level of agreement regarding GHRM practices. The possible scores were: agree (5), disagree (1), and </w:t>
      </w:r>
      <w:r w:rsidRPr="002F06A0">
        <w:rPr>
          <w:bCs/>
          <w:iCs/>
          <w:color w:val="000000"/>
        </w:rPr>
        <w:lastRenderedPageBreak/>
        <w:t>neutral (2). The mean is calculated based on the number of respondents who agreed with the bank's approach to green human resource management. The dataset generated through bootstrapping procedures displays the actual scores in the statistics column.</w:t>
      </w:r>
    </w:p>
    <w:p w:rsidR="002F06A0" w:rsidRPr="002F06A0" w:rsidRDefault="002F06A0" w:rsidP="002F06A0">
      <w:pPr>
        <w:spacing w:line="480" w:lineRule="auto"/>
        <w:jc w:val="both"/>
        <w:rPr>
          <w:bCs/>
          <w:iCs/>
          <w:color w:val="000000"/>
        </w:rPr>
      </w:pPr>
      <w:r w:rsidRPr="002F06A0">
        <w:rPr>
          <w:bCs/>
          <w:iCs/>
          <w:color w:val="000000"/>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rsidR="002F06A0" w:rsidRDefault="002F06A0" w:rsidP="002F06A0">
      <w:pPr>
        <w:spacing w:line="480" w:lineRule="auto"/>
        <w:jc w:val="both"/>
        <w:rPr>
          <w:bCs/>
          <w:iCs/>
          <w:color w:val="000000"/>
        </w:rPr>
      </w:pPr>
      <w:r w:rsidRPr="002F06A0">
        <w:rPr>
          <w:bCs/>
          <w:iCs/>
          <w:color w:val="000000"/>
        </w:rPr>
        <w:t>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w:t>
      </w:r>
      <w:r>
        <w:rPr>
          <w:bCs/>
          <w:iCs/>
          <w:color w:val="000000"/>
        </w:rPr>
        <w:t>ificantly influenced by chance.</w:t>
      </w:r>
      <w:r w:rsidRPr="002F06A0">
        <w:rPr>
          <w:bCs/>
          <w:iCs/>
          <w:color w:val="000000"/>
        </w:rPr>
        <w:t>The perception that green performance management and appraisal is the most prevalent practice in the chosen bank is reinforced by its lower standard deviation compared to 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w:t>
      </w:r>
      <w:r>
        <w:rPr>
          <w:bCs/>
          <w:iCs/>
          <w:color w:val="000000"/>
        </w:rPr>
        <w:t>xceed the cutoff point of 3.00.</w:t>
      </w:r>
    </w:p>
    <w:p w:rsidR="002E671C" w:rsidRPr="002F06A0" w:rsidRDefault="002F06A0" w:rsidP="002F06A0">
      <w:pPr>
        <w:spacing w:line="480" w:lineRule="auto"/>
        <w:jc w:val="both"/>
        <w:rPr>
          <w:bCs/>
          <w:iCs/>
          <w:color w:val="000000"/>
        </w:rPr>
      </w:pPr>
      <w:r w:rsidRPr="002F06A0">
        <w:rPr>
          <w:bCs/>
          <w:iCs/>
          <w:color w:val="000000"/>
        </w:rPr>
        <w:t xml:space="preserve">Consequently, further research is essential to ascertain whether performance management and appraisal truly impact organizational success, as believed by the majority, or if this is merely </w:t>
      </w:r>
      <w:r w:rsidRPr="002F06A0">
        <w:rPr>
          <w:bCs/>
          <w:iCs/>
          <w:color w:val="000000"/>
        </w:rPr>
        <w:lastRenderedPageBreak/>
        <w:t>coincidental.</w:t>
      </w:r>
      <w:r w:rsidR="002C5934">
        <w:rPr>
          <w:rFonts w:ascii="Times New Roman" w:hAnsi="Times New Roman" w:cs="Times New Roman"/>
          <w:b/>
          <w:bCs/>
          <w:sz w:val="24"/>
          <w:szCs w:val="24"/>
        </w:rPr>
        <w:t>Research Question 2: what is the relationship between GHRM practices and organizational competitiveness</w:t>
      </w:r>
    </w:p>
    <w:p w:rsidR="002E671C" w:rsidRDefault="002E671C">
      <w:pPr>
        <w:autoSpaceDE w:val="0"/>
        <w:autoSpaceDN w:val="0"/>
        <w:adjustRightInd w:val="0"/>
        <w:spacing w:after="0" w:line="240" w:lineRule="auto"/>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4.4.2 </w:t>
            </w:r>
            <w:r>
              <w:rPr>
                <w:rFonts w:ascii="Times New Roman" w:hAnsi="Times New Roman" w:cs="Times New Roman"/>
                <w:sz w:val="28"/>
                <w:szCs w:val="28"/>
              </w:rPr>
              <w:t>Green job design and analysis are properly practiced in your organization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1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F06A0" w:rsidRPr="002F06A0" w:rsidRDefault="002F06A0" w:rsidP="002F06A0">
      <w:pPr>
        <w:autoSpaceDE w:val="0"/>
        <w:autoSpaceDN w:val="0"/>
        <w:adjustRightInd w:val="0"/>
        <w:spacing w:after="0" w:line="400" w:lineRule="atLeast"/>
        <w:rPr>
          <w:rFonts w:ascii="Times New Roman" w:hAnsi="Times New Roman" w:cs="Times New Roman"/>
          <w:sz w:val="24"/>
          <w:szCs w:val="24"/>
        </w:rPr>
      </w:pPr>
      <w:r w:rsidRPr="002F06A0">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w:t>
      </w:r>
      <w:r>
        <w:rPr>
          <w:rFonts w:ascii="Times New Roman" w:hAnsi="Times New Roman" w:cs="Times New Roman"/>
          <w:sz w:val="24"/>
          <w:szCs w:val="24"/>
        </w:rPr>
        <w:t>n and analysis within the firm.</w:t>
      </w:r>
    </w:p>
    <w:p w:rsidR="002E671C" w:rsidRPr="002F06A0" w:rsidRDefault="002E671C">
      <w:pPr>
        <w:autoSpaceDE w:val="0"/>
        <w:autoSpaceDN w:val="0"/>
        <w:adjustRightInd w:val="0"/>
        <w:spacing w:after="0" w:line="400" w:lineRule="atLeast"/>
        <w:rPr>
          <w:rFonts w:ascii="Times New Roman" w:hAnsi="Times New Roman" w:cs="Times New Roman"/>
          <w:b/>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2F06A0">
        <w:trPr>
          <w:cantSplit/>
        </w:trPr>
        <w:tc>
          <w:tcPr>
            <w:tcW w:w="8184" w:type="dxa"/>
            <w:gridSpan w:val="6"/>
            <w:tcBorders>
              <w:top w:val="nil"/>
              <w:left w:val="nil"/>
              <w:bottom w:val="nil"/>
              <w:right w:val="nil"/>
            </w:tcBorders>
            <w:shd w:val="clear" w:color="auto" w:fill="FFFFFF"/>
            <w:vAlign w:val="center"/>
          </w:tcPr>
          <w:p w:rsidR="002E671C" w:rsidRPr="002F06A0" w:rsidRDefault="002C5934">
            <w:pPr>
              <w:spacing w:after="0"/>
              <w:jc w:val="both"/>
              <w:rPr>
                <w:rFonts w:ascii="Arial" w:hAnsi="Arial" w:cs="Arial"/>
                <w:b/>
                <w:color w:val="000000"/>
                <w:sz w:val="18"/>
                <w:szCs w:val="18"/>
              </w:rPr>
            </w:pPr>
            <w:r w:rsidRPr="002F06A0">
              <w:rPr>
                <w:rFonts w:ascii="Times New Roman" w:hAnsi="Times New Roman"/>
                <w:b/>
                <w:sz w:val="24"/>
                <w:szCs w:val="24"/>
              </w:rPr>
              <w:t xml:space="preserve">Table 4.4.3: </w:t>
            </w:r>
            <w:r w:rsidRPr="002F06A0">
              <w:rPr>
                <w:rFonts w:ascii="Times New Roman" w:hAnsi="Times New Roman" w:cs="Times New Roman"/>
                <w:b/>
                <w:sz w:val="28"/>
                <w:szCs w:val="28"/>
              </w:rPr>
              <w:t>Green human resource planning is involved in your organizational decision making</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5954E7" w:rsidRDefault="00E757AC" w:rsidP="005954E7">
      <w:pPr>
        <w:spacing w:after="0" w:line="480" w:lineRule="auto"/>
        <w:jc w:val="both"/>
        <w:rPr>
          <w:rFonts w:ascii="Times New Roman" w:hAnsi="Times New Roman"/>
          <w:b/>
          <w:sz w:val="24"/>
          <w:szCs w:val="24"/>
        </w:rPr>
      </w:pPr>
      <w:r>
        <w:rPr>
          <w:rFonts w:ascii="Times New Roman" w:hAnsi="Times New Roman"/>
          <w:b/>
          <w:sz w:val="24"/>
          <w:szCs w:val="24"/>
        </w:rPr>
        <w:t>Source: SPSS Computation, 2025</w:t>
      </w:r>
    </w:p>
    <w:p w:rsidR="002E671C" w:rsidRPr="005954E7" w:rsidRDefault="005954E7" w:rsidP="005954E7">
      <w:pPr>
        <w:spacing w:after="0" w:line="480" w:lineRule="auto"/>
        <w:jc w:val="both"/>
        <w:rPr>
          <w:rFonts w:ascii="Times New Roman" w:hAnsi="Times New Roman" w:cs="Times New Roman"/>
          <w:sz w:val="24"/>
          <w:szCs w:val="24"/>
        </w:rPr>
      </w:pPr>
      <w:r w:rsidRPr="005954E7">
        <w:rPr>
          <w:rFonts w:ascii="Times New Roman" w:hAnsi="Times New Roman"/>
          <w:sz w:val="24"/>
          <w:szCs w:val="24"/>
        </w:rPr>
        <w:t xml:space="preserve">Table 4.4.3 shows that 5 respondents, or 10% of the sample, disagree that organizational decision-making is influenced by green human resource planning, 1 respondent, or 2% of the </w:t>
      </w:r>
      <w:r w:rsidRPr="005954E7">
        <w:rPr>
          <w:rFonts w:ascii="Times New Roman" w:hAnsi="Times New Roman"/>
          <w:sz w:val="24"/>
          <w:szCs w:val="24"/>
        </w:rPr>
        <w:lastRenderedPageBreak/>
        <w:t>sample, was 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400" w:lineRule="atLeast"/>
              <w:rPr>
                <w:rFonts w:ascii="Arial" w:hAnsi="Arial" w:cs="Arial"/>
                <w:color w:val="000000"/>
                <w:sz w:val="18"/>
                <w:szCs w:val="18"/>
              </w:rPr>
            </w:pPr>
            <w:r>
              <w:rPr>
                <w:rFonts w:ascii="Times New Roman" w:hAnsi="Times New Roman"/>
                <w:sz w:val="24"/>
                <w:szCs w:val="24"/>
              </w:rPr>
              <w:t xml:space="preserve">Table 4.4.4: </w:t>
            </w:r>
            <w:r>
              <w:rPr>
                <w:rFonts w:ascii="Times New Roman" w:hAnsi="Times New Roman" w:cs="Times New Roman"/>
                <w:sz w:val="28"/>
                <w:szCs w:val="28"/>
              </w:rPr>
              <w:t>Green induction is applied in your organization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rsidP="005954E7">
      <w:pPr>
        <w:autoSpaceDE w:val="0"/>
        <w:autoSpaceDN w:val="0"/>
        <w:adjustRightInd w:val="0"/>
        <w:spacing w:after="0" w:line="480" w:lineRule="auto"/>
        <w:jc w:val="both"/>
        <w:rPr>
          <w:rFonts w:ascii="Times New Roman" w:hAnsi="Times New Roman" w:cs="Times New Roman"/>
          <w:sz w:val="24"/>
          <w:szCs w:val="24"/>
        </w:rPr>
      </w:pPr>
    </w:p>
    <w:p w:rsidR="002E671C" w:rsidRDefault="005954E7" w:rsidP="005954E7">
      <w:pPr>
        <w:autoSpaceDE w:val="0"/>
        <w:autoSpaceDN w:val="0"/>
        <w:adjustRightInd w:val="0"/>
        <w:spacing w:after="0" w:line="480" w:lineRule="auto"/>
        <w:rPr>
          <w:rFonts w:ascii="Times New Roman" w:hAnsi="Times New Roman" w:cs="Times New Roman"/>
          <w:sz w:val="24"/>
          <w:szCs w:val="24"/>
        </w:rPr>
      </w:pPr>
      <w:r w:rsidRPr="005954E7">
        <w:rPr>
          <w:rFonts w:ascii="Times New Roman" w:hAnsi="Times New Roman" w:cs="Times New Roman"/>
          <w:sz w:val="24"/>
          <w:szCs w:val="24"/>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pacing w:val="4"/>
                <w:sz w:val="24"/>
                <w:szCs w:val="24"/>
              </w:rPr>
              <w:t xml:space="preserve">Table 4.4.5: </w:t>
            </w:r>
            <w:r>
              <w:rPr>
                <w:rFonts w:ascii="Times New Roman" w:hAnsi="Times New Roman" w:cs="Times New Roman"/>
                <w:sz w:val="28"/>
                <w:szCs w:val="28"/>
              </w:rPr>
              <w:t>Green health and safety management are properly practiced in your organization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5954E7">
      <w:pPr>
        <w:autoSpaceDE w:val="0"/>
        <w:autoSpaceDN w:val="0"/>
        <w:adjustRightInd w:val="0"/>
        <w:spacing w:after="0" w:line="400" w:lineRule="atLeast"/>
        <w:rPr>
          <w:rFonts w:ascii="Times New Roman" w:hAnsi="Times New Roman" w:cs="Times New Roman"/>
          <w:sz w:val="24"/>
          <w:szCs w:val="24"/>
        </w:rPr>
      </w:pPr>
      <w:r w:rsidRPr="005954E7">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4.4.6: </w:t>
            </w:r>
            <w:r>
              <w:rPr>
                <w:rFonts w:ascii="Times New Roman" w:hAnsi="Times New Roman" w:cs="Times New Roman"/>
                <w:sz w:val="28"/>
                <w:szCs w:val="28"/>
              </w:rPr>
              <w:t>Your organization maintains green employee discipline management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2C5934">
      <w:pPr>
        <w:spacing w:after="0"/>
        <w:jc w:val="both"/>
        <w:rPr>
          <w:rFonts w:ascii="Times New Roman" w:hAnsi="Times New Roman"/>
          <w:b/>
          <w:sz w:val="24"/>
          <w:szCs w:val="24"/>
        </w:rPr>
      </w:pPr>
      <w:r>
        <w:rPr>
          <w:rFonts w:ascii="Times New Roman" w:hAnsi="Times New Roman"/>
          <w:b/>
          <w:sz w:val="24"/>
          <w:szCs w:val="24"/>
        </w:rPr>
        <w:t>Source: SP</w:t>
      </w:r>
      <w:r w:rsidR="00E757AC">
        <w:rPr>
          <w:rFonts w:ascii="Times New Roman" w:hAnsi="Times New Roman"/>
          <w:b/>
          <w:sz w:val="24"/>
          <w:szCs w:val="24"/>
        </w:rPr>
        <w:t>SS Computation, 2025</w:t>
      </w:r>
    </w:p>
    <w:p w:rsidR="002E671C" w:rsidRDefault="002E671C" w:rsidP="00171AE5">
      <w:pPr>
        <w:autoSpaceDE w:val="0"/>
        <w:autoSpaceDN w:val="0"/>
        <w:adjustRightInd w:val="0"/>
        <w:spacing w:after="0" w:line="480" w:lineRule="auto"/>
        <w:jc w:val="both"/>
        <w:rPr>
          <w:rFonts w:ascii="Times New Roman" w:hAnsi="Times New Roman" w:cs="Times New Roman"/>
          <w:sz w:val="24"/>
          <w:szCs w:val="24"/>
        </w:rPr>
      </w:pPr>
    </w:p>
    <w:p w:rsidR="002E671C" w:rsidRDefault="00171AE5" w:rsidP="00171AE5">
      <w:pPr>
        <w:autoSpaceDE w:val="0"/>
        <w:autoSpaceDN w:val="0"/>
        <w:adjustRightInd w:val="0"/>
        <w:spacing w:after="0" w:line="480" w:lineRule="auto"/>
        <w:rPr>
          <w:rFonts w:ascii="Times New Roman" w:hAnsi="Times New Roman" w:cs="Times New Roman"/>
          <w:sz w:val="24"/>
          <w:szCs w:val="24"/>
        </w:rPr>
      </w:pPr>
      <w:r w:rsidRPr="00171AE5">
        <w:rPr>
          <w:rFonts w:ascii="Times New Roman" w:hAnsi="Times New Roman" w:cs="Times New Roman"/>
          <w:sz w:val="24"/>
          <w:szCs w:val="24"/>
        </w:rPr>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4.4.7: </w:t>
            </w:r>
            <w:r>
              <w:rPr>
                <w:rFonts w:ascii="Times New Roman" w:hAnsi="Times New Roman" w:cs="Times New Roman"/>
                <w:sz w:val="28"/>
                <w:szCs w:val="28"/>
              </w:rPr>
              <w:t>Your organization develops green employee relations</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171AE5" w:rsidRDefault="00171AE5">
      <w:pPr>
        <w:spacing w:after="0"/>
        <w:jc w:val="both"/>
        <w:rPr>
          <w:rFonts w:ascii="Times New Roman" w:hAnsi="Times New Roman"/>
          <w:b/>
          <w:sz w:val="24"/>
          <w:szCs w:val="24"/>
        </w:rPr>
      </w:pPr>
    </w:p>
    <w:p w:rsidR="002E671C" w:rsidRDefault="00171AE5">
      <w:pPr>
        <w:spacing w:after="0" w:line="480" w:lineRule="auto"/>
        <w:jc w:val="both"/>
        <w:rPr>
          <w:rFonts w:ascii="Times New Roman" w:hAnsi="Times New Roman" w:cs="Times New Roman"/>
          <w:sz w:val="24"/>
          <w:szCs w:val="24"/>
        </w:rPr>
      </w:pPr>
      <w:r w:rsidRPr="00171AE5">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2E671C" w:rsidRDefault="002C59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is the role of GHRM practices on organizational resilience in GTB?</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Times New Roman" w:hAnsi="Times New Roman"/>
                <w:sz w:val="24"/>
                <w:szCs w:val="24"/>
              </w:rPr>
            </w:pPr>
            <w:r>
              <w:rPr>
                <w:rFonts w:ascii="Times New Roman" w:hAnsi="Times New Roman"/>
                <w:sz w:val="24"/>
                <w:szCs w:val="24"/>
              </w:rPr>
              <w:t xml:space="preserve">Table 4.4.8: </w:t>
            </w:r>
            <w:r>
              <w:rPr>
                <w:rFonts w:ascii="Times New Roman" w:hAnsi="Times New Roman" w:cs="Times New Roman"/>
                <w:sz w:val="28"/>
                <w:szCs w:val="28"/>
              </w:rPr>
              <w:t>Promote social responsibility towards environment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171AE5" w:rsidRDefault="00E757AC" w:rsidP="00171AE5">
      <w:pPr>
        <w:spacing w:after="0" w:line="480" w:lineRule="auto"/>
        <w:jc w:val="both"/>
        <w:rPr>
          <w:rFonts w:ascii="Times New Roman" w:hAnsi="Times New Roman"/>
          <w:b/>
          <w:sz w:val="24"/>
          <w:szCs w:val="24"/>
        </w:rPr>
      </w:pPr>
      <w:r>
        <w:rPr>
          <w:rFonts w:ascii="Times New Roman" w:hAnsi="Times New Roman"/>
          <w:b/>
          <w:sz w:val="24"/>
          <w:szCs w:val="24"/>
        </w:rPr>
        <w:t>Source: SPSS Computation, 2025</w:t>
      </w:r>
    </w:p>
    <w:p w:rsidR="002E671C" w:rsidRDefault="00171AE5" w:rsidP="00171AE5">
      <w:pPr>
        <w:spacing w:after="0" w:line="480" w:lineRule="auto"/>
        <w:jc w:val="both"/>
        <w:rPr>
          <w:rFonts w:ascii="Times New Roman" w:hAnsi="Times New Roman" w:cs="Times New Roman"/>
          <w:sz w:val="24"/>
          <w:szCs w:val="24"/>
        </w:rPr>
      </w:pPr>
      <w:r w:rsidRPr="00171AE5">
        <w:rPr>
          <w:rFonts w:ascii="Times New Roman" w:hAnsi="Times New Roman"/>
          <w:sz w:val="24"/>
          <w:szCs w:val="24"/>
        </w:rPr>
        <w:t xml:space="preserve">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w:t>
      </w:r>
      <w:r w:rsidRPr="00171AE5">
        <w:rPr>
          <w:rFonts w:ascii="Times New Roman" w:hAnsi="Times New Roman"/>
          <w:sz w:val="24"/>
          <w:szCs w:val="24"/>
        </w:rPr>
        <w:lastRenderedPageBreak/>
        <w:t>GHRM Promote Social Responsibility Toward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4.4.9: </w:t>
            </w:r>
            <w:r>
              <w:rPr>
                <w:rFonts w:ascii="Times New Roman" w:hAnsi="Times New Roman" w:cs="Times New Roman"/>
                <w:sz w:val="28"/>
                <w:szCs w:val="28"/>
              </w:rPr>
              <w:t>Creating a competitive advantage</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E671C" w:rsidRDefault="00171AE5">
      <w:pPr>
        <w:autoSpaceDE w:val="0"/>
        <w:autoSpaceDN w:val="0"/>
        <w:adjustRightInd w:val="0"/>
        <w:spacing w:after="0" w:line="400" w:lineRule="atLeast"/>
        <w:rPr>
          <w:rFonts w:ascii="Times New Roman" w:hAnsi="Times New Roman" w:cs="Times New Roman"/>
          <w:sz w:val="24"/>
          <w:szCs w:val="24"/>
        </w:rPr>
      </w:pPr>
      <w:r w:rsidRPr="00171AE5">
        <w:rPr>
          <w:rFonts w:ascii="Times New Roman" w:hAnsi="Times New Roman" w:cs="Times New Roman"/>
          <w:sz w:val="24"/>
          <w:szCs w:val="24"/>
        </w:rPr>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4.4.10: </w:t>
            </w:r>
            <w:r>
              <w:rPr>
                <w:rFonts w:ascii="Times New Roman" w:hAnsi="Times New Roman" w:cs="Times New Roman"/>
                <w:sz w:val="28"/>
                <w:szCs w:val="28"/>
              </w:rPr>
              <w:t>Increase employee loyalty and retention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171AE5" w:rsidRDefault="00171AE5">
      <w:pPr>
        <w:spacing w:after="0" w:line="480" w:lineRule="auto"/>
        <w:jc w:val="both"/>
        <w:rPr>
          <w:rFonts w:ascii="Times New Roman" w:hAnsi="Times New Roman" w:cs="Times New Roman"/>
          <w:b/>
          <w:sz w:val="24"/>
          <w:szCs w:val="24"/>
        </w:rPr>
      </w:pPr>
    </w:p>
    <w:p w:rsidR="002E671C" w:rsidRDefault="00171AE5">
      <w:pPr>
        <w:autoSpaceDE w:val="0"/>
        <w:autoSpaceDN w:val="0"/>
        <w:adjustRightInd w:val="0"/>
        <w:spacing w:after="0" w:line="400" w:lineRule="atLeast"/>
        <w:rPr>
          <w:rFonts w:ascii="Times New Roman" w:hAnsi="Times New Roman" w:cs="Times New Roman"/>
          <w:sz w:val="24"/>
          <w:szCs w:val="24"/>
        </w:rPr>
      </w:pPr>
      <w:r w:rsidRPr="00171AE5">
        <w:rPr>
          <w:rFonts w:ascii="Times New Roman" w:hAnsi="Times New Roman" w:cs="Times New Roman"/>
          <w:sz w:val="24"/>
          <w:szCs w:val="24"/>
        </w:rPr>
        <w:t xml:space="preserve">In the aforementioned table, 5 respondents, or 10% of the total, disagreed with the statement that GHRM practices promote employee loyalty and retention. Additionally, 2 respondents, or 4% of </w:t>
      </w:r>
      <w:r w:rsidRPr="00171AE5">
        <w:rPr>
          <w:rFonts w:ascii="Times New Roman" w:hAnsi="Times New Roman" w:cs="Times New Roman"/>
          <w:sz w:val="24"/>
          <w:szCs w:val="24"/>
        </w:rPr>
        <w:lastRenderedPageBreak/>
        <w:t>the sample, were undecided, whereas 43 respondents, or 86% of the sample, agreed with the claim. This indicates that the majority of respondents agree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4.4.11: </w:t>
            </w:r>
            <w:r>
              <w:rPr>
                <w:rFonts w:ascii="Times New Roman" w:hAnsi="Times New Roman" w:cs="Times New Roman"/>
                <w:sz w:val="28"/>
                <w:szCs w:val="28"/>
              </w:rPr>
              <w:t>Increase profitability and reduce cost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171AE5">
      <w:pPr>
        <w:autoSpaceDE w:val="0"/>
        <w:autoSpaceDN w:val="0"/>
        <w:adjustRightInd w:val="0"/>
        <w:spacing w:after="0" w:line="400" w:lineRule="atLeast"/>
        <w:rPr>
          <w:rFonts w:ascii="Times New Roman" w:hAnsi="Times New Roman" w:cs="Times New Roman"/>
          <w:sz w:val="24"/>
          <w:szCs w:val="24"/>
        </w:rPr>
      </w:pPr>
      <w:r w:rsidRPr="00171AE5">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E671C">
            <w:pPr>
              <w:spacing w:after="0"/>
              <w:jc w:val="both"/>
              <w:rPr>
                <w:rFonts w:ascii="Times New Roman" w:hAnsi="Times New Roman"/>
                <w:sz w:val="24"/>
                <w:szCs w:val="24"/>
              </w:rPr>
            </w:pPr>
          </w:p>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4.4.12: </w:t>
            </w:r>
            <w:r>
              <w:rPr>
                <w:rFonts w:ascii="Times New Roman" w:hAnsi="Times New Roman" w:cs="Times New Roman"/>
                <w:sz w:val="28"/>
                <w:szCs w:val="28"/>
              </w:rPr>
              <w:t>Create a culture of having concern for the wellbeing and health of fellow workers</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171AE5">
      <w:pPr>
        <w:spacing w:after="0"/>
        <w:jc w:val="both"/>
        <w:rPr>
          <w:rFonts w:ascii="Times New Roman" w:hAnsi="Times New Roman"/>
          <w:b/>
          <w:sz w:val="24"/>
          <w:szCs w:val="24"/>
        </w:rPr>
      </w:pPr>
      <w:r>
        <w:rPr>
          <w:rFonts w:ascii="Times New Roman" w:hAnsi="Times New Roman"/>
          <w:b/>
          <w:sz w:val="24"/>
          <w:szCs w:val="24"/>
        </w:rPr>
        <w:t xml:space="preserve">Source: SPSS </w:t>
      </w:r>
      <w:r w:rsidR="00E757AC">
        <w:rPr>
          <w:rFonts w:ascii="Times New Roman" w:hAnsi="Times New Roman"/>
          <w:b/>
          <w:sz w:val="24"/>
          <w:szCs w:val="24"/>
        </w:rPr>
        <w:t>Computation, 2025</w:t>
      </w:r>
    </w:p>
    <w:p w:rsidR="002E671C" w:rsidRDefault="002A7DF9">
      <w:pPr>
        <w:spacing w:after="0" w:line="480" w:lineRule="auto"/>
        <w:jc w:val="both"/>
        <w:rPr>
          <w:rFonts w:ascii="Times New Roman" w:hAnsi="Times New Roman" w:cs="Times New Roman"/>
          <w:sz w:val="24"/>
          <w:szCs w:val="24"/>
        </w:rPr>
      </w:pPr>
      <w:r w:rsidRPr="002A7DF9">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E671C">
            <w:pPr>
              <w:spacing w:after="0"/>
              <w:jc w:val="both"/>
              <w:rPr>
                <w:rFonts w:ascii="Times New Roman" w:hAnsi="Times New Roman"/>
                <w:sz w:val="24"/>
                <w:szCs w:val="24"/>
              </w:rPr>
            </w:pPr>
          </w:p>
          <w:p w:rsidR="002E671C" w:rsidRDefault="002C5934">
            <w:pPr>
              <w:spacing w:after="0"/>
              <w:jc w:val="both"/>
              <w:rPr>
                <w:rFonts w:ascii="Arial" w:hAnsi="Arial" w:cs="Arial"/>
                <w:color w:val="000000"/>
                <w:sz w:val="24"/>
                <w:szCs w:val="24"/>
              </w:rPr>
            </w:pPr>
            <w:r>
              <w:rPr>
                <w:rFonts w:ascii="Times New Roman" w:hAnsi="Times New Roman"/>
                <w:sz w:val="24"/>
                <w:szCs w:val="24"/>
              </w:rPr>
              <w:t xml:space="preserve">Table 4.4.13: </w:t>
            </w:r>
            <w:r>
              <w:rPr>
                <w:rFonts w:ascii="Times New Roman" w:hAnsi="Times New Roman" w:cs="Times New Roman"/>
                <w:sz w:val="24"/>
                <w:szCs w:val="24"/>
              </w:rPr>
              <w:t>Helps in achieving higher employee job satisfaction and commitment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pPr>
        <w:spacing w:after="0" w:line="480" w:lineRule="auto"/>
        <w:jc w:val="both"/>
        <w:rPr>
          <w:rFonts w:ascii="Times New Roman" w:hAnsi="Times New Roman" w:cs="Times New Roman"/>
          <w:sz w:val="24"/>
          <w:szCs w:val="24"/>
        </w:rPr>
      </w:pPr>
    </w:p>
    <w:p w:rsidR="002E671C" w:rsidRDefault="002C5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table above, 15 respondents representing 30% disagreed that GHRM helps in achieving higher employee job satisfaction and commitment</w:t>
      </w:r>
      <w:r>
        <w:rPr>
          <w:rFonts w:ascii="Times New Roman" w:hAnsi="Times New Roman"/>
          <w:sz w:val="24"/>
          <w:szCs w:val="24"/>
        </w:rPr>
        <w:t xml:space="preserve">, </w:t>
      </w:r>
      <w:r>
        <w:rPr>
          <w:rFonts w:ascii="Times New Roman" w:hAnsi="Times New Roman" w:cs="Times New Roman"/>
          <w:sz w:val="24"/>
          <w:szCs w:val="24"/>
        </w:rPr>
        <w:t>2 respondents representing 4% were neither agree nor disagree and 43 respondents representing 66% agreed on the claim. This implies that that GHRM helps in achieving higher employee job satisfaction and commitment when settled by the assertion of majorities in the claim.</w:t>
      </w:r>
    </w:p>
    <w:p w:rsidR="002E671C" w:rsidRDefault="002E671C">
      <w:pPr>
        <w:spacing w:after="0" w:line="48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E671C">
            <w:pPr>
              <w:spacing w:after="0"/>
              <w:jc w:val="both"/>
              <w:rPr>
                <w:rFonts w:ascii="Times New Roman" w:hAnsi="Times New Roman"/>
                <w:sz w:val="24"/>
                <w:szCs w:val="24"/>
              </w:rPr>
            </w:pPr>
          </w:p>
          <w:p w:rsidR="002E671C" w:rsidRDefault="002C5934">
            <w:pPr>
              <w:spacing w:after="0"/>
              <w:jc w:val="both"/>
              <w:rPr>
                <w:rFonts w:ascii="Arial" w:hAnsi="Arial" w:cs="Arial"/>
                <w:color w:val="000000"/>
                <w:sz w:val="24"/>
                <w:szCs w:val="24"/>
              </w:rPr>
            </w:pPr>
            <w:r>
              <w:rPr>
                <w:rFonts w:ascii="Times New Roman" w:hAnsi="Times New Roman"/>
                <w:sz w:val="24"/>
                <w:szCs w:val="24"/>
              </w:rPr>
              <w:t xml:space="preserve">Table 4.4.14: </w:t>
            </w:r>
            <w:r>
              <w:rPr>
                <w:rFonts w:ascii="Times New Roman" w:hAnsi="Times New Roman" w:cs="Times New Roman"/>
                <w:sz w:val="24"/>
                <w:szCs w:val="24"/>
              </w:rPr>
              <w:t>Encourage employees through training and compensation to reduce the use of environmental damaging materials</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E757AC">
      <w:pPr>
        <w:spacing w:after="0"/>
        <w:jc w:val="both"/>
        <w:rPr>
          <w:rFonts w:ascii="Times New Roman" w:hAnsi="Times New Roman"/>
          <w:b/>
          <w:sz w:val="24"/>
          <w:szCs w:val="24"/>
        </w:rPr>
      </w:pPr>
      <w:r>
        <w:rPr>
          <w:rFonts w:ascii="Times New Roman" w:hAnsi="Times New Roman"/>
          <w:b/>
          <w:sz w:val="24"/>
          <w:szCs w:val="24"/>
        </w:rPr>
        <w:t>Source: SPSS Computation, 2025</w:t>
      </w:r>
    </w:p>
    <w:p w:rsidR="002E671C" w:rsidRDefault="002E671C">
      <w:pPr>
        <w:spacing w:after="0" w:line="480" w:lineRule="auto"/>
        <w:jc w:val="both"/>
        <w:rPr>
          <w:rFonts w:ascii="Times New Roman" w:hAnsi="Times New Roman" w:cs="Times New Roman"/>
          <w:sz w:val="24"/>
          <w:szCs w:val="24"/>
        </w:rPr>
      </w:pPr>
    </w:p>
    <w:p w:rsidR="002E671C" w:rsidRDefault="002A7DF9">
      <w:pPr>
        <w:spacing w:after="0" w:line="480" w:lineRule="auto"/>
        <w:jc w:val="both"/>
        <w:rPr>
          <w:rFonts w:ascii="Times New Roman" w:hAnsi="Times New Roman"/>
          <w:sz w:val="24"/>
          <w:szCs w:val="24"/>
        </w:rPr>
      </w:pPr>
      <w:r w:rsidRPr="002A7DF9">
        <w:rPr>
          <w:rFonts w:ascii="Times New Roman" w:hAnsi="Times New Roman" w:cs="Times New Roman"/>
          <w:sz w:val="24"/>
          <w:szCs w:val="24"/>
        </w:rPr>
        <w:lastRenderedPageBreak/>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2E671C" w:rsidRDefault="002E671C">
      <w:pPr>
        <w:spacing w:after="0"/>
        <w:jc w:val="both"/>
        <w:rPr>
          <w:rFonts w:ascii="Times New Roman" w:hAnsi="Times New Roman"/>
          <w:b/>
          <w:sz w:val="24"/>
          <w:szCs w:val="24"/>
        </w:rPr>
      </w:pPr>
    </w:p>
    <w:p w:rsidR="002E671C" w:rsidRDefault="002C5934">
      <w:pPr>
        <w:pStyle w:val="ListParagraph1"/>
        <w:numPr>
          <w:ilvl w:val="1"/>
          <w:numId w:val="2"/>
        </w:numPr>
        <w:spacing w:after="0"/>
        <w:jc w:val="both"/>
        <w:rPr>
          <w:rFonts w:ascii="Times New Roman" w:hAnsi="Times New Roman"/>
          <w:b/>
          <w:sz w:val="24"/>
          <w:szCs w:val="24"/>
        </w:rPr>
      </w:pPr>
      <w:r>
        <w:rPr>
          <w:rFonts w:ascii="Times New Roman" w:hAnsi="Times New Roman"/>
          <w:b/>
          <w:sz w:val="24"/>
          <w:szCs w:val="24"/>
        </w:rPr>
        <w:t>Hypotheses Testing</w:t>
      </w:r>
    </w:p>
    <w:p w:rsidR="002E671C" w:rsidRDefault="002E671C">
      <w:pPr>
        <w:spacing w:after="0"/>
        <w:jc w:val="both"/>
        <w:rPr>
          <w:rFonts w:ascii="Times New Roman" w:hAnsi="Times New Roman"/>
          <w:b/>
          <w:sz w:val="24"/>
          <w:szCs w:val="24"/>
        </w:rPr>
      </w:pP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trPr>
          <w:cantSplit/>
        </w:trPr>
        <w:tc>
          <w:tcPr>
            <w:tcW w:w="5843" w:type="dxa"/>
            <w:gridSpan w:val="5"/>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4.5.1: </w:t>
            </w:r>
            <w:r>
              <w:rPr>
                <w:rFonts w:ascii="Times New Roman" w:hAnsi="Times New Roman" w:cs="Times New Roman"/>
                <w:b/>
                <w:bCs/>
                <w:color w:val="000000"/>
                <w:sz w:val="24"/>
                <w:szCs w:val="24"/>
              </w:rPr>
              <w:t>Model Summary</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2E671C">
        <w:trPr>
          <w:cantSplit/>
        </w:trPr>
        <w:tc>
          <w:tcPr>
            <w:tcW w:w="5843" w:type="dxa"/>
            <w:gridSpan w:val="5"/>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GHRM (Performance MGT Appraisal)</w:t>
            </w:r>
          </w:p>
        </w:tc>
      </w:tr>
    </w:tbl>
    <w:p w:rsidR="002E671C" w:rsidRDefault="002E671C">
      <w:pPr>
        <w:autoSpaceDE w:val="0"/>
        <w:autoSpaceDN w:val="0"/>
        <w:adjustRightInd w:val="0"/>
        <w:spacing w:after="0" w:line="400" w:lineRule="atLeast"/>
        <w:rPr>
          <w:rFonts w:ascii="Times New Roman" w:hAnsi="Times New Roman" w:cs="Times New Roman"/>
          <w:sz w:val="24"/>
          <w:szCs w:val="24"/>
        </w:rPr>
      </w:pPr>
    </w:p>
    <w:p w:rsidR="002A7DF9" w:rsidRDefault="002A7DF9" w:rsidP="002A7DF9">
      <w:pPr>
        <w:spacing w:line="480" w:lineRule="auto"/>
        <w:jc w:val="both"/>
        <w:rPr>
          <w:rFonts w:ascii="Times New Roman" w:hAnsi="Times New Roman"/>
          <w:sz w:val="24"/>
          <w:szCs w:val="24"/>
        </w:rPr>
      </w:pPr>
      <w:r w:rsidRPr="002A7DF9">
        <w:rPr>
          <w:rFonts w:ascii="Times New Roman" w:hAnsi="Times New Roman" w:cs="Times New Roman"/>
          <w:sz w:val="24"/>
          <w:szCs w:val="24"/>
        </w:rPr>
        <w:t>A simple linear regression analysis was performed to investigate the influence of GHRM proxies by Performance Management Appraisal on Organization Effectiveness. The 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w:t>
      </w:r>
      <w:r>
        <w:rPr>
          <w:rFonts w:ascii="Times New Roman" w:hAnsi="Times New Roman" w:cs="Times New Roman"/>
          <w:sz w:val="24"/>
          <w:szCs w:val="24"/>
        </w:rPr>
        <w:t xml:space="preserve"> Thus, the Organizational Effectiveness is explained by GHRM proxied by Performance Management Appraisal in the value of the R square, which indicates that 44% improvement in organizational effectiveness is accounted specifically by the GHRM proxied by Performance Management Appraisal of the selected bank </w:t>
      </w:r>
      <w:r>
        <w:rPr>
          <w:rFonts w:ascii="Times New Roman" w:hAnsi="Times New Roman"/>
          <w:sz w:val="24"/>
          <w:szCs w:val="24"/>
        </w:rPr>
        <w:t xml:space="preserve">and not more than 56% explained by other factors </w:t>
      </w:r>
      <w:r>
        <w:rPr>
          <w:rFonts w:ascii="Times New Roman" w:hAnsi="Times New Roman"/>
          <w:sz w:val="24"/>
          <w:szCs w:val="24"/>
        </w:rPr>
        <w:lastRenderedPageBreak/>
        <w:t>not included in this model. These factors include GHRM environment, training and development, compensation, Recruitment and selection etc.</w:t>
      </w:r>
    </w:p>
    <w:p w:rsidR="002A7DF9" w:rsidRDefault="002A7DF9" w:rsidP="002A7DF9">
      <w:pPr>
        <w:spacing w:line="48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trPr>
          <w:cantSplit/>
        </w:trPr>
        <w:tc>
          <w:tcPr>
            <w:tcW w:w="7969"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4.5.2: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2E671C">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E671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r w:rsidR="002E671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Effectiveness</w:t>
            </w: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GHRM (Performance MGT Appraisal)</w:t>
            </w:r>
          </w:p>
        </w:tc>
      </w:tr>
    </w:tbl>
    <w:p w:rsidR="002E671C" w:rsidRDefault="002E671C">
      <w:pPr>
        <w:autoSpaceDE w:val="0"/>
        <w:autoSpaceDN w:val="0"/>
        <w:adjustRightInd w:val="0"/>
        <w:spacing w:after="0" w:line="400" w:lineRule="atLeast"/>
        <w:rPr>
          <w:rFonts w:ascii="Times New Roman" w:hAnsi="Times New Roman" w:cs="Times New Roman"/>
          <w:sz w:val="24"/>
          <w:szCs w:val="24"/>
        </w:rPr>
      </w:pPr>
    </w:p>
    <w:p w:rsidR="002F06A0" w:rsidRPr="002F06A0" w:rsidRDefault="002F06A0" w:rsidP="002F06A0">
      <w:pPr>
        <w:tabs>
          <w:tab w:val="left" w:pos="4107"/>
        </w:tabs>
        <w:spacing w:line="480" w:lineRule="auto"/>
        <w:jc w:val="both"/>
        <w:rPr>
          <w:rFonts w:ascii="Times New Roman" w:hAnsi="Times New Roman" w:cs="Times New Roman"/>
          <w:sz w:val="24"/>
          <w:szCs w:val="24"/>
        </w:rPr>
      </w:pPr>
      <w:r w:rsidRPr="002F06A0">
        <w:rPr>
          <w:rFonts w:ascii="Times New Roman" w:hAnsi="Times New Roman" w:cs="Times New Roman"/>
          <w:sz w:val="24"/>
          <w:szCs w:val="24"/>
        </w:rPr>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w:t>
      </w:r>
      <w:r>
        <w:rPr>
          <w:rFonts w:ascii="Times New Roman" w:hAnsi="Times New Roman" w:cs="Times New Roman"/>
          <w:sz w:val="24"/>
          <w:szCs w:val="24"/>
        </w:rPr>
        <w:t>cast organizational efficiency.</w:t>
      </w:r>
    </w:p>
    <w:p w:rsidR="002E671C" w:rsidRDefault="002F06A0" w:rsidP="002F06A0">
      <w:pPr>
        <w:tabs>
          <w:tab w:val="left" w:pos="4107"/>
        </w:tabs>
        <w:spacing w:line="480" w:lineRule="auto"/>
        <w:jc w:val="both"/>
        <w:rPr>
          <w:rFonts w:ascii="Times New Roman" w:hAnsi="Times New Roman" w:cs="Times New Roman"/>
          <w:sz w:val="24"/>
          <w:szCs w:val="24"/>
        </w:rPr>
      </w:pPr>
      <w:r w:rsidRPr="002F06A0">
        <w:rPr>
          <w:rFonts w:ascii="Times New Roman" w:hAnsi="Times New Roman" w:cs="Times New Roman"/>
          <w:sz w:val="24"/>
          <w:szCs w:val="24"/>
        </w:rPr>
        <w:t>Furthermore, the significant p-value (0.000) is less than 0.05, suggesting a direct, positive association between the independent variable (GHRM) and the dependent variable (Organizational Effectiveness). Thus, it is hypothesized that there is a substantial 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trPr>
          <w:cantSplit/>
        </w:trPr>
        <w:tc>
          <w:tcPr>
            <w:tcW w:w="8280"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4.5.3: </w:t>
            </w:r>
            <w:r>
              <w:rPr>
                <w:rFonts w:ascii="Times New Roman" w:hAnsi="Times New Roman" w:cs="Times New Roman"/>
                <w:b/>
                <w:bCs/>
                <w:color w:val="000000"/>
                <w:sz w:val="24"/>
                <w:szCs w:val="24"/>
              </w:rPr>
              <w:t>Regression Coefficients</w:t>
            </w:r>
            <w:r>
              <w:rPr>
                <w:rFonts w:ascii="Times New Roman" w:hAnsi="Times New Roman" w:cs="Times New Roman"/>
                <w:b/>
                <w:bCs/>
                <w:color w:val="000000"/>
                <w:sz w:val="24"/>
                <w:szCs w:val="24"/>
                <w:vertAlign w:val="superscript"/>
              </w:rPr>
              <w:t>a</w:t>
            </w:r>
          </w:p>
        </w:tc>
      </w:tr>
      <w:tr w:rsidR="002E671C">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E671C" w:rsidRDefault="002F06A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r>
      <w:tr w:rsidR="002E671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E671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2E671C">
        <w:trPr>
          <w:cantSplit/>
        </w:trPr>
        <w:tc>
          <w:tcPr>
            <w:tcW w:w="8280" w:type="dxa"/>
            <w:gridSpan w:val="7"/>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Effectiveness</w:t>
            </w:r>
          </w:p>
          <w:p w:rsidR="002E671C" w:rsidRDefault="002E671C">
            <w:pPr>
              <w:autoSpaceDE w:val="0"/>
              <w:autoSpaceDN w:val="0"/>
              <w:adjustRightInd w:val="0"/>
              <w:spacing w:after="0" w:line="320" w:lineRule="atLeast"/>
              <w:ind w:left="60" w:right="60"/>
              <w:rPr>
                <w:rFonts w:ascii="Times New Roman" w:hAnsi="Times New Roman" w:cs="Times New Roman"/>
                <w:color w:val="000000"/>
                <w:sz w:val="24"/>
                <w:szCs w:val="24"/>
              </w:rPr>
            </w:pPr>
          </w:p>
        </w:tc>
      </w:tr>
    </w:tbl>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2F06A0">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2F06A0">
        <w:rPr>
          <w:rFonts w:ascii="Times New Roman" w:hAnsi="Times New Roman" w:cs="Times New Roman"/>
          <w:sz w:val="24"/>
          <w:szCs w:val="24"/>
        </w:rPr>
        <w:t>Ŷ = -0.381 + 0.702x₁</w:t>
      </w: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2F06A0">
        <w:rPr>
          <w:rFonts w:ascii="Times New Roman" w:hAnsi="Times New Roman" w:cs="Times New Roman"/>
          <w:sz w:val="24"/>
          <w:szCs w:val="24"/>
        </w:rPr>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2F06A0">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rsidR="002F06A0" w:rsidRPr="002F06A0"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rsidR="002E671C"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2F06A0">
        <w:rPr>
          <w:rFonts w:ascii="Times New Roman" w:hAnsi="Times New Roman" w:cs="Times New Roman"/>
          <w:sz w:val="24"/>
          <w:szCs w:val="24"/>
        </w:rPr>
        <w:t>Consequently, the alternative hypothesis—that GHRM practices significantly impact organizational effectiveness at a 95% confidence level—was accepted, while the null hypothesis was rejected. This finding aligns with previous research by Sharifa Mousa and Mohammed Othman (2020), which noted that the identification and prioritization of green performance management practices vary by industry, with a greater need for such practices in the banking sector compared to the healthcare delivery sector.</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trPr>
          <w:cantSplit/>
        </w:trPr>
        <w:tc>
          <w:tcPr>
            <w:tcW w:w="9990" w:type="dxa"/>
            <w:gridSpan w:val="6"/>
            <w:shd w:val="clear" w:color="auto" w:fill="FFFFFF"/>
            <w:vAlign w:val="center"/>
          </w:tcPr>
          <w:p w:rsidR="002E671C" w:rsidRDefault="002C5934">
            <w:pPr>
              <w:spacing w:line="320" w:lineRule="atLeast"/>
              <w:ind w:left="60" w:right="60"/>
              <w:jc w:val="center"/>
            </w:pPr>
            <w:r>
              <w:rPr>
                <w:rFonts w:ascii="Arial" w:eastAsia="Calibri" w:hAnsi="Arial" w:cs="Arial"/>
                <w:b/>
                <w:bCs/>
                <w:color w:val="000000"/>
                <w:sz w:val="18"/>
                <w:szCs w:val="18"/>
              </w:rPr>
              <w:t>Table 4.5.4: Bivariate Correlations Matrix showing the relationship between Dimension of Compensation management (CM) and Worker’s Productivity (WP)</w:t>
            </w:r>
          </w:p>
        </w:tc>
      </w:tr>
      <w:tr w:rsidR="002E671C">
        <w:trPr>
          <w:cantSplit/>
        </w:trPr>
        <w:tc>
          <w:tcPr>
            <w:tcW w:w="2161" w:type="dxa"/>
            <w:vMerge w:val="restart"/>
            <w:tcBorders>
              <w:top w:val="single" w:sz="16" w:space="0" w:color="000000"/>
              <w:left w:val="single" w:sz="16" w:space="0" w:color="000000"/>
              <w:bottom w:val="single" w:sz="8" w:space="0" w:color="000000"/>
            </w:tcBorders>
            <w:shd w:val="clear" w:color="auto" w:fill="FFFFFF"/>
          </w:tcPr>
          <w:p w:rsidR="002E671C" w:rsidRDefault="002E671C">
            <w:pPr>
              <w:spacing w:line="320" w:lineRule="atLeast"/>
              <w:ind w:left="60" w:right="60"/>
              <w:rPr>
                <w:rFonts w:ascii="Arial" w:eastAsia="Calibri" w:hAnsi="Arial"/>
                <w:color w:val="000000"/>
                <w:sz w:val="18"/>
                <w:szCs w:val="18"/>
              </w:rPr>
            </w:pPr>
          </w:p>
        </w:tc>
        <w:tc>
          <w:tcPr>
            <w:tcW w:w="1888" w:type="dxa"/>
            <w:tcBorders>
              <w:top w:val="single" w:sz="16" w:space="0" w:color="000000"/>
              <w:right w:val="single" w:sz="16" w:space="0" w:color="000000"/>
            </w:tcBorders>
            <w:shd w:val="clear" w:color="auto" w:fill="FFFFFF"/>
          </w:tcPr>
          <w:p w:rsidR="002E671C" w:rsidRDefault="002E671C">
            <w:pPr>
              <w:spacing w:line="320" w:lineRule="atLeast"/>
              <w:ind w:left="60" w:right="60"/>
              <w:rPr>
                <w:rFonts w:ascii="Arial" w:eastAsia="Calibri" w:hAnsi="Arial"/>
                <w:color w:val="000000"/>
                <w:sz w:val="18"/>
                <w:szCs w:val="18"/>
              </w:rPr>
            </w:pPr>
          </w:p>
        </w:tc>
        <w:tc>
          <w:tcPr>
            <w:tcW w:w="1530" w:type="dxa"/>
            <w:tcBorders>
              <w:top w:val="single" w:sz="16" w:space="0" w:color="000000"/>
              <w:left w:val="single" w:sz="16"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Green Reward and Compensation MGT</w:t>
            </w:r>
          </w:p>
        </w:tc>
      </w:tr>
      <w:tr w:rsidR="002E671C">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E671C">
            <w:pPr>
              <w:spacing w:line="320" w:lineRule="atLeast"/>
              <w:ind w:left="60" w:right="60"/>
              <w:rPr>
                <w:rFonts w:ascii="Arial" w:eastAsia="Calibri" w:hAnsi="Arial"/>
                <w:color w:val="000000"/>
                <w:sz w:val="18"/>
                <w:szCs w:val="18"/>
              </w:rPr>
            </w:pPr>
          </w:p>
        </w:tc>
        <w:tc>
          <w:tcPr>
            <w:tcW w:w="1530" w:type="dxa"/>
            <w:tcBorders>
              <w:left w:val="single" w:sz="16" w:space="0" w:color="000000"/>
              <w:right w:val="single" w:sz="8" w:space="0" w:color="000000"/>
            </w:tcBorders>
            <w:shd w:val="clear" w:color="auto" w:fill="FFFFFF"/>
            <w:vAlign w:val="center"/>
          </w:tcPr>
          <w:p w:rsidR="002E671C" w:rsidRDefault="002E671C">
            <w:pPr>
              <w:rPr>
                <w:rFonts w:eastAsia="Calibri" w:cs="Times New Roman"/>
              </w:rPr>
            </w:pPr>
          </w:p>
        </w:tc>
        <w:tc>
          <w:tcPr>
            <w:tcW w:w="1439"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center"/>
              <w:rPr>
                <w:rFonts w:ascii="Arial" w:eastAsia="Calibri" w:hAnsi="Arial"/>
                <w:color w:val="000000"/>
                <w:sz w:val="18"/>
                <w:szCs w:val="18"/>
              </w:rPr>
            </w:pP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rPr>
            </w:pPr>
            <w:r>
              <w:rPr>
                <w:rFonts w:ascii="Arial" w:eastAsia="Calibri" w:hAnsi="Arial" w:cs="Arial"/>
                <w:color w:val="000000"/>
                <w:sz w:val="24"/>
                <w:szCs w:val="24"/>
              </w:rPr>
              <w:t>Model</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center"/>
              <w:rPr>
                <w:rFonts w:ascii="Arial" w:eastAsia="Calibri" w:hAnsi="Arial"/>
                <w:color w:val="000000"/>
                <w:sz w:val="18"/>
                <w:szCs w:val="18"/>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rPr>
                <w:rFonts w:ascii="Arial" w:eastAsia="Calibri" w:hAnsi="Arial"/>
                <w:color w:val="000000"/>
                <w:sz w:val="18"/>
                <w:szCs w:val="18"/>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center"/>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8"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olor w:val="000000"/>
                <w:sz w:val="18"/>
                <w:szCs w:val="18"/>
              </w:rPr>
              <w:t>Organizational Competitiveness</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.1</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E671C">
            <w:pPr>
              <w:spacing w:line="320" w:lineRule="atLeast"/>
              <w:ind w:right="60"/>
              <w:jc w:val="right"/>
              <w:rPr>
                <w:rFonts w:ascii="Arial" w:eastAsia="Calibri" w:hAnsi="Arial"/>
                <w:color w:val="000000"/>
                <w:sz w:val="18"/>
                <w:szCs w:val="18"/>
              </w:rPr>
            </w:pP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w:t>
            </w:r>
          </w:p>
        </w:tc>
        <w:tc>
          <w:tcPr>
            <w:tcW w:w="1439" w:type="dxa"/>
            <w:tcBorders>
              <w:left w:val="single" w:sz="8" w:space="0" w:color="000000"/>
              <w:right w:val="single" w:sz="8" w:space="0" w:color="000000"/>
            </w:tcBorders>
            <w:shd w:val="clear" w:color="auto" w:fill="FFFFFF"/>
            <w:vAlign w:val="center"/>
          </w:tcPr>
          <w:p w:rsidR="002E671C" w:rsidRDefault="002E671C">
            <w:pPr>
              <w:rPr>
                <w:rFonts w:eastAsia="Calibri" w:cs="Times New Roman"/>
              </w:rPr>
            </w:pP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8"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olor w:val="000000"/>
                <w:sz w:val="18"/>
                <w:szCs w:val="18"/>
              </w:rPr>
              <w:t>Green Recruitment and Selection</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.667</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1</w:t>
            </w: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39"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440" w:type="dxa"/>
            <w:tcBorders>
              <w:left w:val="single" w:sz="8" w:space="0" w:color="000000"/>
              <w:right w:val="single" w:sz="8" w:space="0" w:color="000000"/>
            </w:tcBorders>
            <w:shd w:val="clear" w:color="auto" w:fill="FFFFFF"/>
            <w:vAlign w:val="center"/>
          </w:tcPr>
          <w:p w:rsidR="002E671C" w:rsidRDefault="002E671C">
            <w:pPr>
              <w:rPr>
                <w:rFonts w:eastAsia="Calibri" w:cs="Times New Roman"/>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8" w:space="0" w:color="000000"/>
            </w:tcBorders>
            <w:shd w:val="clear" w:color="auto" w:fill="FFFFFF"/>
          </w:tcPr>
          <w:p w:rsidR="002E671C" w:rsidRDefault="002C5934">
            <w:pPr>
              <w:spacing w:line="320" w:lineRule="atLeast"/>
              <w:ind w:right="60"/>
              <w:rPr>
                <w:rFonts w:ascii="Arial" w:eastAsia="Calibri" w:hAnsi="Arial"/>
                <w:color w:val="000000"/>
                <w:sz w:val="18"/>
                <w:szCs w:val="18"/>
              </w:rPr>
            </w:pPr>
            <w:r>
              <w:rPr>
                <w:rFonts w:ascii="Arial" w:eastAsia="Calibri" w:hAnsi="Arial" w:cs="Arial"/>
                <w:color w:val="000000"/>
                <w:sz w:val="18"/>
                <w:szCs w:val="18"/>
              </w:rPr>
              <w:t xml:space="preserve"> Green Training and Dev.</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.807</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.508</w:t>
            </w:r>
            <w:r>
              <w:rPr>
                <w:rFonts w:ascii="Arial" w:eastAsia="Calibri" w:hAnsi="Arial" w:cs="Arial"/>
                <w:color w:val="000000"/>
                <w:sz w:val="18"/>
                <w:szCs w:val="18"/>
                <w:vertAlign w:val="superscript"/>
              </w:rPr>
              <w:t>*</w:t>
            </w:r>
          </w:p>
        </w:tc>
        <w:tc>
          <w:tcPr>
            <w:tcW w:w="1440"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1</w:t>
            </w: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.016</w:t>
            </w: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olor w:val="000000"/>
                <w:sz w:val="18"/>
                <w:szCs w:val="18"/>
              </w:rPr>
              <w:t xml:space="preserve">Green Reward and </w:t>
            </w:r>
            <w:r>
              <w:rPr>
                <w:rFonts w:ascii="Arial" w:eastAsia="Calibri" w:hAnsi="Arial"/>
                <w:color w:val="000000"/>
                <w:sz w:val="18"/>
                <w:szCs w:val="18"/>
              </w:rPr>
              <w:lastRenderedPageBreak/>
              <w:t>Compensation MGT</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lastRenderedPageBreak/>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.775</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.741</w:t>
            </w:r>
            <w:r>
              <w:rPr>
                <w:rFonts w:ascii="Arial" w:eastAsia="Calibri" w:hAnsi="Arial" w:cs="Arial"/>
                <w:color w:val="000000"/>
                <w:sz w:val="18"/>
                <w:szCs w:val="18"/>
                <w:vertAlign w:val="superscript"/>
              </w:rPr>
              <w:t>**</w:t>
            </w:r>
          </w:p>
        </w:tc>
        <w:tc>
          <w:tcPr>
            <w:tcW w:w="1440"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.747</w:t>
            </w:r>
            <w:r>
              <w:rPr>
                <w:rFonts w:ascii="Arial" w:eastAsia="Calibri" w:hAnsi="Arial" w:cs="Arial"/>
                <w:color w:val="000000"/>
                <w:sz w:val="18"/>
                <w:szCs w:val="18"/>
                <w:vertAlign w:val="superscript"/>
              </w:rPr>
              <w:t>**</w:t>
            </w:r>
          </w:p>
        </w:tc>
        <w:tc>
          <w:tcPr>
            <w:tcW w:w="1532"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1</w:t>
            </w:r>
          </w:p>
        </w:tc>
      </w:tr>
      <w:tr w:rsidR="002E671C">
        <w:trPr>
          <w:cantSplit/>
        </w:trPr>
        <w:tc>
          <w:tcPr>
            <w:tcW w:w="2161" w:type="dxa"/>
            <w:vMerge/>
            <w:tcBorders>
              <w:left w:val="single" w:sz="16" w:space="0" w:color="000000"/>
              <w:bottom w:val="single" w:sz="16"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40"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532"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w:t>
            </w:r>
          </w:p>
        </w:tc>
      </w:tr>
      <w:tr w:rsidR="002E671C">
        <w:trPr>
          <w:cantSplit/>
        </w:trPr>
        <w:tc>
          <w:tcPr>
            <w:tcW w:w="2161" w:type="dxa"/>
            <w:vMerge/>
            <w:tcBorders>
              <w:left w:val="single" w:sz="16" w:space="0" w:color="000000"/>
              <w:bottom w:val="single" w:sz="16" w:space="0" w:color="000000"/>
            </w:tcBorders>
            <w:shd w:val="clear" w:color="auto" w:fill="FFFFFF"/>
          </w:tcPr>
          <w:p w:rsidR="002E671C" w:rsidRDefault="002E671C"/>
        </w:tc>
        <w:tc>
          <w:tcPr>
            <w:tcW w:w="1888" w:type="dxa"/>
            <w:tcBorders>
              <w:bottom w:val="single" w:sz="16"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40"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532"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r>
      <w:tr w:rsidR="002E671C">
        <w:trPr>
          <w:cantSplit/>
        </w:trPr>
        <w:tc>
          <w:tcPr>
            <w:tcW w:w="9990" w:type="dxa"/>
            <w:gridSpan w:val="6"/>
            <w:shd w:val="clear" w:color="auto" w:fill="FFFFFF"/>
          </w:tcPr>
          <w:p w:rsidR="002E671C" w:rsidRDefault="002C5934">
            <w:pPr>
              <w:spacing w:after="0" w:line="240" w:lineRule="auto"/>
              <w:ind w:left="60" w:right="60"/>
              <w:rPr>
                <w:rFonts w:ascii="Arial" w:eastAsia="Calibri" w:hAnsi="Arial"/>
                <w:color w:val="000000"/>
                <w:sz w:val="18"/>
                <w:szCs w:val="18"/>
              </w:rPr>
            </w:pPr>
            <w:r>
              <w:rPr>
                <w:rFonts w:ascii="Arial" w:eastAsia="Calibri" w:hAnsi="Arial" w:cs="Arial"/>
                <w:color w:val="000000"/>
                <w:sz w:val="18"/>
                <w:szCs w:val="18"/>
              </w:rPr>
              <w:t>**. Correlation is significant at the 0.01 level (2-tailed).</w:t>
            </w:r>
          </w:p>
        </w:tc>
      </w:tr>
      <w:tr w:rsidR="002E671C">
        <w:trPr>
          <w:cantSplit/>
        </w:trPr>
        <w:tc>
          <w:tcPr>
            <w:tcW w:w="9990" w:type="dxa"/>
            <w:gridSpan w:val="6"/>
            <w:shd w:val="clear" w:color="auto" w:fill="FFFFFF"/>
          </w:tcPr>
          <w:p w:rsidR="002E671C" w:rsidRDefault="002C5934">
            <w:pPr>
              <w:spacing w:after="0" w:line="240" w:lineRule="auto"/>
              <w:ind w:left="60" w:right="60"/>
              <w:rPr>
                <w:rFonts w:ascii="Arial" w:eastAsia="Calibri" w:hAnsi="Arial"/>
                <w:color w:val="000000"/>
                <w:sz w:val="18"/>
                <w:szCs w:val="18"/>
              </w:rPr>
            </w:pPr>
            <w:r>
              <w:rPr>
                <w:rFonts w:ascii="Arial" w:eastAsia="Calibri" w:hAnsi="Arial" w:cs="Arial"/>
                <w:color w:val="000000"/>
                <w:sz w:val="18"/>
                <w:szCs w:val="18"/>
              </w:rPr>
              <w:t>*. Correlation is significant at the 0.05 level (2-tailed).</w:t>
            </w:r>
          </w:p>
        </w:tc>
      </w:tr>
    </w:tbl>
    <w:p w:rsidR="002E671C" w:rsidRDefault="002E671C" w:rsidP="007D77D2">
      <w:pPr>
        <w:spacing w:line="276" w:lineRule="auto"/>
        <w:jc w:val="both"/>
        <w:rPr>
          <w:rStyle w:val="fontstyle01"/>
          <w:rFonts w:ascii="Times New Roman" w:eastAsia="Times New Roman" w:hAnsi="Times New Roman" w:cs="Times New Roman"/>
          <w:b/>
          <w:bCs/>
        </w:rPr>
      </w:pPr>
    </w:p>
    <w:p w:rsidR="002A7DF9" w:rsidRDefault="007D77D2" w:rsidP="007D77D2">
      <w:pPr>
        <w:spacing w:line="276" w:lineRule="auto"/>
        <w:jc w:val="both"/>
        <w:rPr>
          <w:rFonts w:ascii="Times New Roman" w:hAnsi="Times New Roman" w:cs="Times New Roman"/>
          <w:b/>
          <w:sz w:val="24"/>
          <w:szCs w:val="24"/>
        </w:rPr>
      </w:pPr>
      <w:r w:rsidRPr="007D77D2">
        <w:rPr>
          <w:rStyle w:val="fontstyle01"/>
          <w:rFonts w:eastAsia="Times New Roman" w:cs="Times New Roman"/>
          <w:color w:val="1C1C1C"/>
        </w:rPr>
        <w:t>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Ayham Jaaron, and Abdul Talib Bon (2018), which demonstrated that green human resource management practices positively affect a firm's long-term success.</w:t>
      </w:r>
    </w:p>
    <w:p w:rsidR="002E671C" w:rsidRDefault="002C5934">
      <w:pPr>
        <w:spacing w:after="0"/>
        <w:jc w:val="both"/>
        <w:rPr>
          <w:rFonts w:ascii="Times New Roman" w:hAnsi="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xml:space="preserve">: </w:t>
      </w:r>
      <w:r>
        <w:rPr>
          <w:rFonts w:ascii="Times New Roman" w:hAnsi="Times New Roman" w:cs="Times New Roman"/>
          <w:b/>
          <w:sz w:val="28"/>
          <w:szCs w:val="28"/>
        </w:rPr>
        <w:t>Green Human Resource Management practices has no role on organizational resilience of GTB</w:t>
      </w:r>
      <w:r>
        <w:rPr>
          <w:rFonts w:ascii="Times New Roman" w:hAnsi="Times New Roman" w:cs="Times New Roman"/>
          <w:b/>
          <w:sz w:val="24"/>
          <w:szCs w:val="24"/>
        </w:rPr>
        <w:t xml:space="preserve"> </w:t>
      </w:r>
    </w:p>
    <w:p w:rsidR="002E671C" w:rsidRDefault="002E671C">
      <w:pPr>
        <w:autoSpaceDE w:val="0"/>
        <w:autoSpaceDN w:val="0"/>
        <w:adjustRightInd w:val="0"/>
        <w:spacing w:after="0" w:line="360" w:lineRule="auto"/>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trPr>
          <w:cantSplit/>
        </w:trPr>
        <w:tc>
          <w:tcPr>
            <w:tcW w:w="5828" w:type="dxa"/>
            <w:gridSpan w:val="5"/>
            <w:tcBorders>
              <w:top w:val="nil"/>
              <w:left w:val="nil"/>
              <w:bottom w:val="nil"/>
              <w:right w:val="nil"/>
            </w:tcBorders>
            <w:shd w:val="clear" w:color="auto" w:fill="FFFFFF"/>
            <w:vAlign w:val="center"/>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4.5.7: Model Summary</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.67711</w:t>
            </w:r>
          </w:p>
        </w:tc>
      </w:tr>
      <w:tr w:rsidR="002E671C">
        <w:trPr>
          <w:cantSplit/>
        </w:trPr>
        <w:tc>
          <w:tcPr>
            <w:tcW w:w="5828" w:type="dxa"/>
            <w:gridSpan w:val="5"/>
            <w:tcBorders>
              <w:top w:val="nil"/>
              <w:left w:val="nil"/>
              <w:bottom w:val="nil"/>
              <w:right w:val="nil"/>
            </w:tcBorders>
            <w:shd w:val="clear" w:color="auto" w:fill="FFFFFF"/>
          </w:tcPr>
          <w:p w:rsidR="002E671C" w:rsidRDefault="002C5934">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GHRM</w:t>
            </w:r>
          </w:p>
        </w:tc>
      </w:tr>
    </w:tbl>
    <w:p w:rsidR="002E671C" w:rsidRDefault="002E671C">
      <w:pPr>
        <w:spacing w:line="480" w:lineRule="auto"/>
        <w:ind w:firstLine="720"/>
        <w:jc w:val="both"/>
        <w:rPr>
          <w:rFonts w:ascii="Times New Roman" w:hAnsi="Times New Roman" w:cs="Times New Roman"/>
          <w:sz w:val="24"/>
          <w:szCs w:val="24"/>
        </w:rPr>
      </w:pPr>
    </w:p>
    <w:p w:rsidR="002E671C" w:rsidRDefault="00D06D68">
      <w:pPr>
        <w:spacing w:line="480" w:lineRule="auto"/>
        <w:ind w:firstLine="720"/>
        <w:jc w:val="both"/>
        <w:rPr>
          <w:rFonts w:ascii="Times New Roman" w:hAnsi="Times New Roman" w:cs="Times New Roman"/>
          <w:sz w:val="24"/>
          <w:szCs w:val="24"/>
        </w:rPr>
      </w:pPr>
      <w:r w:rsidRPr="00D06D68">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w:t>
      </w:r>
      <w:r w:rsidRPr="00D06D68">
        <w:rPr>
          <w:rFonts w:ascii="Times New Roman" w:hAnsi="Times New Roman" w:cs="Times New Roman"/>
          <w:sz w:val="24"/>
          <w:szCs w:val="24"/>
        </w:rPr>
        <w:lastRenderedPageBreak/>
        <w:t>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w:t>
      </w:r>
      <w:r>
        <w:rPr>
          <w:rFonts w:ascii="Times New Roman" w:hAnsi="Times New Roman" w:cs="Times New Roman"/>
          <w:sz w:val="24"/>
          <w:szCs w:val="24"/>
        </w:rPr>
        <w:t xml:space="preserve"> </w:t>
      </w:r>
      <w:r w:rsidRPr="00D06D68">
        <w:rPr>
          <w:rFonts w:ascii="Times New Roman" w:hAnsi="Times New Roman" w:cs="Times New Roman"/>
          <w:sz w:val="24"/>
          <w:szCs w:val="24"/>
        </w:rPr>
        <w:t>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w:t>
      </w:r>
      <w:r w:rsidR="002C5934">
        <w:rPr>
          <w:rFonts w:ascii="Times New Roman" w:hAnsi="Times New Roman"/>
          <w:sz w:val="24"/>
          <w:szCs w:val="24"/>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trPr>
          <w:cantSplit/>
        </w:trPr>
        <w:tc>
          <w:tcPr>
            <w:tcW w:w="7969"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4.5.8: ANOVA</w:t>
            </w:r>
            <w:r>
              <w:rPr>
                <w:rFonts w:ascii="Times New Roman" w:hAnsi="Times New Roman" w:cs="Times New Roman"/>
                <w:b/>
                <w:bCs/>
                <w:color w:val="000000"/>
                <w:sz w:val="24"/>
                <w:szCs w:val="24"/>
                <w:vertAlign w:val="superscript"/>
              </w:rPr>
              <w:t>a</w:t>
            </w:r>
          </w:p>
        </w:tc>
      </w:tr>
      <w:tr w:rsidR="002E671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E671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r>
      <w:tr w:rsidR="002E671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Resilience (Environmental Effectiveness)</w:t>
            </w: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GHRM</w:t>
            </w:r>
          </w:p>
        </w:tc>
      </w:tr>
    </w:tbl>
    <w:p w:rsidR="002E671C" w:rsidRDefault="002E671C">
      <w:pPr>
        <w:autoSpaceDE w:val="0"/>
        <w:autoSpaceDN w:val="0"/>
        <w:adjustRightInd w:val="0"/>
        <w:spacing w:after="0" w:line="360" w:lineRule="auto"/>
        <w:rPr>
          <w:rFonts w:ascii="Times New Roman" w:hAnsi="Times New Roman" w:cs="Times New Roman"/>
          <w:sz w:val="24"/>
          <w:szCs w:val="24"/>
        </w:rPr>
      </w:pPr>
    </w:p>
    <w:p w:rsidR="002E671C" w:rsidRDefault="00D06D68">
      <w:pPr>
        <w:tabs>
          <w:tab w:val="left" w:pos="4107"/>
        </w:tabs>
        <w:spacing w:line="480" w:lineRule="auto"/>
        <w:jc w:val="both"/>
        <w:rPr>
          <w:rFonts w:ascii="Times New Roman" w:hAnsi="Times New Roman" w:cs="Times New Roman"/>
          <w:sz w:val="24"/>
          <w:szCs w:val="24"/>
        </w:rPr>
      </w:pPr>
      <w:r w:rsidRPr="00D06D68">
        <w:rPr>
          <w:rFonts w:ascii="Times New Roman" w:hAnsi="Times New Roman" w:cs="Times New Roman"/>
          <w:sz w:val="24"/>
          <w:szCs w:val="24"/>
        </w:rPr>
        <w:t xml:space="preserve">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w:t>
      </w:r>
      <w:r w:rsidRPr="00D06D68">
        <w:rPr>
          <w:rFonts w:ascii="Times New Roman" w:hAnsi="Times New Roman" w:cs="Times New Roman"/>
          <w:sz w:val="24"/>
          <w:szCs w:val="24"/>
        </w:rPr>
        <w:lastRenderedPageBreak/>
        <w:t>"Residual=29.580").</w:t>
      </w:r>
      <w:r w:rsidRPr="00D06D68">
        <w:t xml:space="preserve"> </w:t>
      </w:r>
      <w:r w:rsidRPr="00D06D68">
        <w:rPr>
          <w:rFonts w:ascii="Times New Roman" w:hAnsi="Times New Roman" w:cs="Times New Roman"/>
          <w:sz w:val="24"/>
          <w:szCs w:val="24"/>
        </w:rPr>
        <w:t>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trPr>
          <w:cantSplit/>
        </w:trPr>
        <w:tc>
          <w:tcPr>
            <w:tcW w:w="9040"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Regression Coefficients</w:t>
            </w:r>
            <w:r>
              <w:rPr>
                <w:rFonts w:ascii="Times New Roman" w:hAnsi="Times New Roman" w:cs="Times New Roman"/>
                <w:b/>
                <w:bCs/>
                <w:color w:val="000000"/>
                <w:sz w:val="24"/>
                <w:szCs w:val="24"/>
                <w:vertAlign w:val="superscript"/>
              </w:rPr>
              <w:t>a</w:t>
            </w:r>
          </w:p>
        </w:tc>
      </w:tr>
      <w:tr w:rsidR="002E671C">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r>
      <w:tr w:rsidR="002E671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r>
      <w:tr w:rsidR="002E671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E671C">
        <w:trPr>
          <w:cantSplit/>
        </w:trPr>
        <w:tc>
          <w:tcPr>
            <w:tcW w:w="9040" w:type="dxa"/>
            <w:gridSpan w:val="7"/>
            <w:tcBorders>
              <w:top w:val="nil"/>
              <w:left w:val="nil"/>
              <w:bottom w:val="nil"/>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Resilience (Environmental Effectiveness)</w:t>
            </w:r>
          </w:p>
        </w:tc>
      </w:tr>
    </w:tbl>
    <w:p w:rsidR="007D77D2" w:rsidRDefault="007D77D2" w:rsidP="007D77D2">
      <w:pPr>
        <w:spacing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w:t>
      </w:r>
      <w:r>
        <w:rPr>
          <w:rFonts w:ascii="Times New Roman" w:hAnsi="Times New Roman" w:cs="Times New Roman"/>
          <w:sz w:val="24"/>
          <w:szCs w:val="24"/>
        </w:rPr>
        <w:t xml:space="preserve"> 1% increase in GHRM practices.</w:t>
      </w:r>
    </w:p>
    <w:p w:rsidR="007D77D2" w:rsidRDefault="007D77D2" w:rsidP="007D77D2">
      <w:pPr>
        <w:spacing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 xml:space="preserve">With the constant value of 0.210, it can be predicted that removing GHRM practices from the model would significantly affect organizational effectiveness due to a notable reduction in the organizational resilience of the selected bank. Therefore, it can be concluded that GHRM </w:t>
      </w:r>
      <w:r w:rsidRPr="007D77D2">
        <w:rPr>
          <w:rFonts w:ascii="Times New Roman" w:hAnsi="Times New Roman" w:cs="Times New Roman"/>
          <w:sz w:val="24"/>
          <w:szCs w:val="24"/>
        </w:rPr>
        <w:lastRenderedPageBreak/>
        <w:t>practices play a crucial role in enhancing the resilience activities related t</w:t>
      </w:r>
      <w:r>
        <w:rPr>
          <w:rFonts w:ascii="Times New Roman" w:hAnsi="Times New Roman" w:cs="Times New Roman"/>
          <w:sz w:val="24"/>
          <w:szCs w:val="24"/>
        </w:rPr>
        <w:t>o organizational effectiveness.</w:t>
      </w:r>
    </w:p>
    <w:p w:rsidR="002E671C" w:rsidRDefault="007D77D2" w:rsidP="007D77D2">
      <w:pPr>
        <w:spacing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This finding aligns with the previous work of Nosheen Anwar, Nik Hasnaa, Nik Mahmood, Mohd Yousoff Yusliza, Ramayah Juhari, Noor Faezah, and Waqas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rsidR="002E671C" w:rsidRDefault="002C5934">
      <w:pPr>
        <w:rPr>
          <w:rFonts w:ascii="Times New Roman" w:hAnsi="Times New Roman" w:cs="Times New Roman"/>
          <w:b/>
          <w:sz w:val="24"/>
          <w:szCs w:val="24"/>
        </w:rPr>
      </w:pPr>
      <w:r>
        <w:rPr>
          <w:rFonts w:ascii="Times New Roman" w:hAnsi="Times New Roman" w:cs="Times New Roman"/>
          <w:b/>
          <w:sz w:val="24"/>
          <w:szCs w:val="24"/>
        </w:rPr>
        <w:t>4.5 DISCUSSION OF FINDINGS</w:t>
      </w:r>
    </w:p>
    <w:p w:rsidR="007D77D2" w:rsidRPr="007D77D2"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This study aims to examine the impact of Green Human Resource Management (GHRM) practices on organizational effectiveness, using Guaranty Trust Bank in Ilorin, Kwara State, as a case study. The first hypothesis indicates that only 44% of the increase in organizational effectiveness can be directly attributed to GHRM, specifically through performance management appraisal, with the remaining 56% explained by other factors 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rsidR="007D77D2" w:rsidRPr="007D77D2"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 xml:space="preserve">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w:t>
      </w:r>
      <w:r w:rsidRPr="007D77D2">
        <w:rPr>
          <w:rFonts w:ascii="Times New Roman" w:hAnsi="Times New Roman" w:cs="Times New Roman"/>
          <w:sz w:val="24"/>
          <w:szCs w:val="24"/>
        </w:rPr>
        <w:lastRenderedPageBreak/>
        <w:t>operational strategies. Consequently, the alternative hypothesis—that GHRM practices significantly influence organizational effectiveness at a 95% confidence level—was accepted, while the null hypothesis was rejected. This finding aligns with earlier research by Sharifa Mousa and Mohammed Othman (2020), which highlighted that the identification and prioritization of green performance management methods vary by industry, with a greater need in the banking sector compared to healthcare.</w:t>
      </w:r>
    </w:p>
    <w:p w:rsidR="007D77D2" w:rsidRPr="007D77D2"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significance level. This supports prior research by Ahmed Zaid, Ayham Jaaron, and Abdul Talib Bon (2018), which demonstrated that green human resource management techniques positively impact long-term firm success.</w:t>
      </w:r>
    </w:p>
    <w:p w:rsidR="00D06D68"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7D77D2">
        <w:rPr>
          <w:rFonts w:ascii="Times New Roman" w:hAnsi="Times New Roman" w:cs="Times New Roman"/>
          <w:sz w:val="24"/>
          <w:szCs w:val="24"/>
        </w:rPr>
        <w:t xml:space="preserve">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Nosheen </w:t>
      </w:r>
      <w:r w:rsidRPr="007D77D2">
        <w:rPr>
          <w:rFonts w:ascii="Times New Roman" w:hAnsi="Times New Roman" w:cs="Times New Roman"/>
          <w:sz w:val="24"/>
          <w:szCs w:val="24"/>
        </w:rPr>
        <w:lastRenderedPageBreak/>
        <w:t>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rsidR="00727F66" w:rsidRDefault="00727F66" w:rsidP="007D77D2">
      <w:pPr>
        <w:autoSpaceDE w:val="0"/>
        <w:autoSpaceDN w:val="0"/>
        <w:adjustRightInd w:val="0"/>
        <w:spacing w:after="0" w:line="480" w:lineRule="auto"/>
        <w:ind w:firstLine="720"/>
        <w:jc w:val="both"/>
        <w:rPr>
          <w:rFonts w:cs="Times New Roman"/>
          <w:b/>
          <w:sz w:val="24"/>
          <w:szCs w:val="24"/>
        </w:rPr>
      </w:pPr>
    </w:p>
    <w:p w:rsidR="002E671C" w:rsidRDefault="002C5934">
      <w:pPr>
        <w:spacing w:line="480" w:lineRule="auto"/>
        <w:jc w:val="center"/>
        <w:rPr>
          <w:rFonts w:cs="Times New Roman"/>
          <w:b/>
          <w:sz w:val="24"/>
          <w:szCs w:val="24"/>
        </w:rPr>
      </w:pPr>
      <w:r>
        <w:rPr>
          <w:rFonts w:cs="Times New Roman"/>
          <w:b/>
          <w:sz w:val="24"/>
          <w:szCs w:val="24"/>
        </w:rPr>
        <w:t>CHAPTER FIVE</w:t>
      </w:r>
    </w:p>
    <w:p w:rsidR="002E671C" w:rsidRDefault="002C5934">
      <w:pPr>
        <w:spacing w:line="480" w:lineRule="auto"/>
        <w:rPr>
          <w:rFonts w:ascii="Times New Roman" w:hAnsi="Times New Roman" w:cs="Times New Roman"/>
        </w:rPr>
      </w:pPr>
      <w:r>
        <w:rPr>
          <w:rFonts w:ascii="Times New Roman" w:hAnsi="Times New Roman" w:cs="Times New Roman"/>
          <w:b/>
          <w:sz w:val="24"/>
          <w:szCs w:val="24"/>
        </w:rPr>
        <w:t>Summary, Conclusion and Recommendation</w:t>
      </w:r>
      <w:r w:rsidR="00D06D68">
        <w:rPr>
          <w:rFonts w:ascii="Times New Roman" w:hAnsi="Times New Roman" w:cs="Times New Roman"/>
          <w:b/>
          <w:sz w:val="24"/>
          <w:szCs w:val="24"/>
        </w:rPr>
        <w:t>s</w:t>
      </w:r>
    </w:p>
    <w:p w:rsidR="002E671C" w:rsidRDefault="002C5934">
      <w:pPr>
        <w:spacing w:line="480" w:lineRule="auto"/>
        <w:jc w:val="both"/>
        <w:rPr>
          <w:rFonts w:ascii="Times New Roman" w:hAnsi="Times New Roman" w:cs="Times New Roman"/>
        </w:rPr>
      </w:pPr>
      <w:r>
        <w:rPr>
          <w:rFonts w:ascii="Times New Roman" w:hAnsi="Times New Roman" w:cs="Times New Roman"/>
          <w:b/>
          <w:sz w:val="24"/>
          <w:szCs w:val="24"/>
        </w:rPr>
        <w:t xml:space="preserve">5.1 Introduction  </w:t>
      </w:r>
    </w:p>
    <w:p w:rsidR="00727F66" w:rsidRDefault="00727F66">
      <w:pPr>
        <w:spacing w:line="480" w:lineRule="auto"/>
        <w:jc w:val="both"/>
        <w:rPr>
          <w:rFonts w:ascii="Times New Roman" w:hAnsi="Times New Roman" w:cs="Times New Roman"/>
          <w:sz w:val="24"/>
          <w:szCs w:val="24"/>
        </w:rPr>
      </w:pPr>
      <w:r w:rsidRPr="00727F66">
        <w:rPr>
          <w:rFonts w:ascii="Times New Roman" w:hAnsi="Times New Roman" w:cs="Times New Roman"/>
          <w:sz w:val="24"/>
          <w:szCs w:val="24"/>
        </w:rPr>
        <w:t>This section summarizes the findings of the study on the influence of Green Human Resource Management (GHRM) practices on organizational effectiveness, focusing on management and non-management staff at Guaranty Trust Bank in Ilorin, Kwara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rsidR="002E671C" w:rsidRDefault="002C5934">
      <w:pPr>
        <w:spacing w:line="480" w:lineRule="auto"/>
        <w:jc w:val="both"/>
        <w:rPr>
          <w:rFonts w:ascii="Times New Roman" w:hAnsi="Times New Roman" w:cs="Times New Roman"/>
        </w:rPr>
      </w:pPr>
      <w:r>
        <w:rPr>
          <w:rFonts w:ascii="Times New Roman" w:hAnsi="Times New Roman" w:cs="Times New Roman"/>
          <w:b/>
          <w:bCs/>
          <w:sz w:val="24"/>
          <w:szCs w:val="24"/>
        </w:rPr>
        <w:t>5.2 Summary of findings</w:t>
      </w:r>
    </w:p>
    <w:p w:rsidR="00E314BA" w:rsidRPr="00E314BA" w:rsidRDefault="00E314BA" w:rsidP="00E314BA">
      <w:pPr>
        <w:pStyle w:val="ListParagraph1"/>
        <w:spacing w:after="0" w:line="480" w:lineRule="auto"/>
        <w:jc w:val="both"/>
        <w:rPr>
          <w:rFonts w:cs="Times New Roman"/>
          <w:sz w:val="24"/>
          <w:szCs w:val="24"/>
        </w:rPr>
      </w:pPr>
      <w:r w:rsidRPr="00E314BA">
        <w:rPr>
          <w:rFonts w:cs="Times New Roman"/>
          <w:sz w:val="24"/>
          <w:szCs w:val="24"/>
        </w:rPr>
        <w:t>In a case study of GTB Plc in Ilorin, Kwara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rsidR="00E314BA" w:rsidRPr="00E314BA" w:rsidRDefault="00E314BA" w:rsidP="00E314BA">
      <w:pPr>
        <w:pStyle w:val="ListParagraph1"/>
        <w:spacing w:after="0" w:line="480" w:lineRule="auto"/>
        <w:jc w:val="both"/>
        <w:rPr>
          <w:rFonts w:cs="Times New Roman"/>
          <w:sz w:val="24"/>
          <w:szCs w:val="24"/>
        </w:rPr>
      </w:pPr>
      <w:r w:rsidRPr="00E314BA">
        <w:rPr>
          <w:rFonts w:cs="Times New Roman"/>
          <w:sz w:val="24"/>
          <w:szCs w:val="24"/>
        </w:rPr>
        <w:t xml:space="preserve">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w:t>
      </w:r>
      <w:r w:rsidRPr="00E314BA">
        <w:rPr>
          <w:rFonts w:cs="Times New Roman"/>
          <w:sz w:val="24"/>
          <w:szCs w:val="24"/>
        </w:rPr>
        <w:lastRenderedPageBreak/>
        <w:t>The study reveals that GTB Plc benefits from three key performance management appraisal systems related to hiring, training, and managing employee rewards, aligning with the green HRM practices in the banking sector, which ultimately enhances staff performance.</w:t>
      </w:r>
    </w:p>
    <w:p w:rsidR="00E314BA" w:rsidRPr="00E314BA" w:rsidRDefault="00E314BA" w:rsidP="00E314BA">
      <w:pPr>
        <w:pStyle w:val="ListParagraph1"/>
        <w:spacing w:after="0" w:line="480" w:lineRule="auto"/>
        <w:jc w:val="both"/>
        <w:rPr>
          <w:rFonts w:cs="Times New Roman"/>
          <w:sz w:val="24"/>
          <w:szCs w:val="24"/>
        </w:rPr>
      </w:pPr>
      <w:r w:rsidRPr="00E314BA">
        <w:rPr>
          <w:rFonts w:cs="Times New Roman"/>
          <w:sz w:val="24"/>
          <w:szCs w:val="24"/>
        </w:rPr>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rsidR="00E314BA" w:rsidRPr="00E314BA" w:rsidRDefault="00E314BA" w:rsidP="00E314BA">
      <w:pPr>
        <w:pStyle w:val="ListParagraph1"/>
        <w:spacing w:after="0" w:line="480" w:lineRule="auto"/>
        <w:jc w:val="both"/>
        <w:rPr>
          <w:rFonts w:cs="Times New Roman"/>
          <w:sz w:val="24"/>
          <w:szCs w:val="24"/>
        </w:rPr>
      </w:pPr>
      <w:r w:rsidRPr="00E314BA">
        <w:rPr>
          <w:rFonts w:cs="Times New Roman"/>
          <w:sz w:val="24"/>
          <w:szCs w:val="24"/>
        </w:rPr>
        <w:t>In summary, the findings indicate that GHRM practices significantly influence the organizational effectiveness of GTB in Ilorin, Kwara State, at a 95% confidence level:</w:t>
      </w:r>
    </w:p>
    <w:p w:rsidR="00E314BA" w:rsidRPr="00E314BA" w:rsidRDefault="00E314BA" w:rsidP="00E314BA">
      <w:pPr>
        <w:pStyle w:val="ListParagraph1"/>
        <w:spacing w:after="0" w:line="480" w:lineRule="auto"/>
        <w:jc w:val="both"/>
        <w:rPr>
          <w:rFonts w:cs="Times New Roman"/>
          <w:sz w:val="24"/>
          <w:szCs w:val="24"/>
        </w:rPr>
      </w:pPr>
      <w:r w:rsidRPr="00E314BA">
        <w:rPr>
          <w:rFonts w:cs="Times New Roman"/>
          <w:sz w:val="24"/>
          <w:szCs w:val="24"/>
        </w:rPr>
        <w:t>I. There is a significant relationship between GHRM practices and the organizational competitiveness of GTB, also at a 95% confidence level.</w:t>
      </w:r>
    </w:p>
    <w:p w:rsidR="00E314BA" w:rsidRPr="00E314BA" w:rsidRDefault="00E314BA" w:rsidP="00E314BA">
      <w:pPr>
        <w:pStyle w:val="ListParagraph1"/>
        <w:spacing w:after="0" w:line="480" w:lineRule="auto"/>
        <w:jc w:val="both"/>
        <w:rPr>
          <w:rFonts w:cs="Times New Roman"/>
          <w:sz w:val="24"/>
          <w:szCs w:val="24"/>
        </w:rPr>
      </w:pPr>
      <w:r w:rsidRPr="00E314BA">
        <w:rPr>
          <w:rFonts w:cs="Times New Roman"/>
          <w:sz w:val="24"/>
          <w:szCs w:val="24"/>
        </w:rPr>
        <w:t>II. However, GHRM practices do not have a significant impact on the organizational resilience of GTB, as confirmed at a 95% confidence level.</w:t>
      </w:r>
    </w:p>
    <w:p w:rsidR="002E671C" w:rsidRDefault="002E671C">
      <w:pPr>
        <w:pStyle w:val="ListParagraph1"/>
        <w:spacing w:after="0" w:line="480" w:lineRule="auto"/>
        <w:jc w:val="both"/>
        <w:rPr>
          <w:rFonts w:eastAsia="Calibri" w:cs="Times New Roman"/>
          <w:lang w:val="en-GB"/>
        </w:rPr>
      </w:pPr>
    </w:p>
    <w:p w:rsidR="002E671C" w:rsidRDefault="002C5934">
      <w:pPr>
        <w:spacing w:line="480" w:lineRule="auto"/>
        <w:jc w:val="both"/>
        <w:rPr>
          <w:rFonts w:ascii="Times New Roman" w:hAnsi="Times New Roman" w:cs="Times New Roman"/>
        </w:rPr>
      </w:pPr>
      <w:r>
        <w:rPr>
          <w:rFonts w:ascii="Times New Roman" w:eastAsia="Calibri" w:hAnsi="Times New Roman" w:cs="Times New Roman"/>
          <w:b/>
          <w:bCs/>
          <w:sz w:val="24"/>
          <w:szCs w:val="24"/>
          <w:lang w:val="en-GB"/>
        </w:rPr>
        <w:t>5.3 Conclusion</w:t>
      </w:r>
    </w:p>
    <w:p w:rsidR="00D632A0" w:rsidRDefault="00D632A0">
      <w:pPr>
        <w:spacing w:line="480" w:lineRule="auto"/>
        <w:jc w:val="both"/>
        <w:rPr>
          <w:rStyle w:val="fontstyle01"/>
          <w:rFonts w:ascii="Times New Roman" w:eastAsia="Times New Roman" w:hAnsi="Times New Roman" w:cs="Times New Roman"/>
          <w:color w:val="1C1C1C"/>
          <w:lang w:val="en-GB"/>
        </w:rPr>
      </w:pPr>
      <w:r w:rsidRPr="00D632A0">
        <w:rPr>
          <w:rFonts w:ascii="Times New Roman" w:eastAsia="Calibri" w:hAnsi="Times New Roman" w:cs="Times New Roman"/>
          <w:sz w:val="24"/>
          <w:szCs w:val="24"/>
          <w:lang w:val="en-GB"/>
        </w:rPr>
        <w:t xml:space="preserve">The study's findings indicate that green human resource management creates work exceptional goals to deliver on the competitiveness and effectiveness of banks, and that positive performance management appraisal, talent retention, and feedback from training and development combined </w:t>
      </w:r>
      <w:r w:rsidRPr="00D632A0">
        <w:rPr>
          <w:rFonts w:ascii="Times New Roman" w:eastAsia="Calibri" w:hAnsi="Times New Roman" w:cs="Times New Roman"/>
          <w:sz w:val="24"/>
          <w:szCs w:val="24"/>
          <w:lang w:val="en-GB"/>
        </w:rPr>
        <w:lastRenderedPageBreak/>
        <w:t>with an efficient reward system have a significant impact on the functional goals and system resource approaches that drive organizational performance in GTB. GHRM also have a significant impact on how resilient a company is to stress in the banking industry.</w:t>
      </w:r>
      <w:r>
        <w:rPr>
          <w:rFonts w:ascii="Times New Roman" w:eastAsia="Calibri" w:hAnsi="Times New Roman" w:cs="Times New Roman"/>
          <w:sz w:val="24"/>
          <w:szCs w:val="24"/>
          <w:lang w:val="en-GB"/>
        </w:rPr>
        <w:t xml:space="preserve"> The ideas of integrate GHRM laterally with banking service deserve to be occasionally evaluated because of the workloads in the industry through which mechanism of performance management appraisal</w:t>
      </w:r>
      <w:r>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Pr>
          <w:rStyle w:val="fontstyle01"/>
          <w:rFonts w:ascii="Times New Roman" w:eastAsia="Times New Roman" w:hAnsi="Times New Roman" w:cs="Times New Roman"/>
          <w:color w:val="1C1C1C"/>
          <w:lang w:val="en-GB"/>
        </w:rPr>
        <w:t xml:space="preserve"> has the extensive benefits to enhances effectiveness of the organization. </w:t>
      </w:r>
    </w:p>
    <w:p w:rsidR="00EE2BB2" w:rsidRDefault="00EE2BB2">
      <w:pPr>
        <w:spacing w:line="480" w:lineRule="auto"/>
        <w:jc w:val="both"/>
        <w:rPr>
          <w:rFonts w:ascii="Times New Roman" w:eastAsia="Calibri" w:hAnsi="Times New Roman" w:cs="Times New Roman"/>
          <w:sz w:val="24"/>
          <w:szCs w:val="24"/>
          <w:lang w:val="en-GB"/>
        </w:rPr>
      </w:pPr>
      <w:r w:rsidRPr="00EE2BB2">
        <w:rPr>
          <w:rFonts w:ascii="Times New Roman" w:eastAsia="Calibri" w:hAnsi="Times New Roman" w:cs="Times New Roman"/>
          <w:sz w:val="24"/>
          <w:szCs w:val="24"/>
          <w:lang w:val="en-GB"/>
        </w:rPr>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2E671C" w:rsidRDefault="00EE2BB2">
      <w:pPr>
        <w:spacing w:line="480" w:lineRule="auto"/>
        <w:jc w:val="both"/>
        <w:rPr>
          <w:rFonts w:ascii="Times New Roman" w:hAnsi="Times New Roman" w:cs="Times New Roman"/>
        </w:rPr>
      </w:pPr>
      <w:r>
        <w:rPr>
          <w:rFonts w:ascii="Times New Roman" w:eastAsia="Calibri" w:hAnsi="Times New Roman" w:cs="Times New Roman"/>
          <w:sz w:val="24"/>
          <w:szCs w:val="24"/>
          <w:lang w:val="en-GB"/>
        </w:rPr>
        <w:t xml:space="preserve"> </w:t>
      </w:r>
      <w:r w:rsidRPr="00EE2BB2">
        <w:rPr>
          <w:rFonts w:ascii="Times New Roman" w:eastAsia="Calibri" w:hAnsi="Times New Roman" w:cs="Times New Roman"/>
          <w:sz w:val="24"/>
          <w:szCs w:val="24"/>
          <w:lang w:val="en-GB"/>
        </w:rPr>
        <w:t>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2E671C" w:rsidRPr="00EE2BB2" w:rsidRDefault="002C5934" w:rsidP="00EE2BB2">
      <w:pPr>
        <w:pStyle w:val="ListParagraph"/>
        <w:numPr>
          <w:ilvl w:val="1"/>
          <w:numId w:val="8"/>
        </w:numPr>
        <w:spacing w:line="480" w:lineRule="auto"/>
        <w:jc w:val="both"/>
        <w:rPr>
          <w:rFonts w:ascii="Times New Roman" w:hAnsi="Times New Roman" w:cs="Times New Roman"/>
        </w:rPr>
      </w:pPr>
      <w:r w:rsidRPr="00EE2BB2">
        <w:rPr>
          <w:rFonts w:ascii="Times New Roman" w:eastAsia="Calibri" w:hAnsi="Times New Roman" w:cs="Times New Roman"/>
          <w:b/>
          <w:bCs/>
          <w:sz w:val="24"/>
          <w:szCs w:val="24"/>
          <w:lang w:val="en-GB"/>
        </w:rPr>
        <w:t xml:space="preserve">Recommendations </w:t>
      </w:r>
    </w:p>
    <w:p w:rsidR="002E671C" w:rsidRDefault="002C5934">
      <w:pPr>
        <w:spacing w:line="480" w:lineRule="auto"/>
        <w:jc w:val="both"/>
        <w:rPr>
          <w:rFonts w:ascii="Times New Roman" w:hAnsi="Times New Roman" w:cs="Times New Roman"/>
        </w:rPr>
      </w:pPr>
      <w:r>
        <w:rPr>
          <w:rFonts w:ascii="Times New Roman" w:eastAsia="Calibri" w:hAnsi="Times New Roman" w:cs="Times New Roman"/>
          <w:sz w:val="24"/>
          <w:szCs w:val="24"/>
          <w:lang w:val="en-GB"/>
        </w:rPr>
        <w:t xml:space="preserve">In line with this study, the following recommendations were made. </w:t>
      </w:r>
    </w:p>
    <w:p w:rsidR="00EE2BB2" w:rsidRPr="00EE2BB2" w:rsidRDefault="00EE2BB2" w:rsidP="00EE2BB2">
      <w:pPr>
        <w:pStyle w:val="ListParagraph1"/>
        <w:numPr>
          <w:ilvl w:val="0"/>
          <w:numId w:val="7"/>
        </w:numPr>
        <w:spacing w:after="0" w:line="480" w:lineRule="auto"/>
        <w:jc w:val="both"/>
        <w:rPr>
          <w:rFonts w:ascii="Times New Roman" w:eastAsia="Calibri" w:hAnsi="Times New Roman" w:cs="Times New Roman"/>
          <w:sz w:val="24"/>
          <w:szCs w:val="24"/>
          <w:lang w:val="en-GB"/>
        </w:rPr>
      </w:pPr>
      <w:r w:rsidRPr="00EE2BB2">
        <w:rPr>
          <w:rFonts w:ascii="Times New Roman" w:eastAsia="Calibri" w:hAnsi="Times New Roman" w:cs="Times New Roman"/>
          <w:sz w:val="24"/>
          <w:szCs w:val="24"/>
          <w:lang w:val="en-GB"/>
        </w:rPr>
        <w:lastRenderedPageBreak/>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EE2BB2" w:rsidRPr="00EE2BB2" w:rsidRDefault="00EE2BB2" w:rsidP="00EE2BB2">
      <w:pPr>
        <w:pStyle w:val="ListParagraph1"/>
        <w:numPr>
          <w:ilvl w:val="0"/>
          <w:numId w:val="7"/>
        </w:numPr>
        <w:spacing w:after="0" w:line="480" w:lineRule="auto"/>
        <w:jc w:val="both"/>
        <w:rPr>
          <w:rFonts w:ascii="Times New Roman" w:hAnsi="Times New Roman" w:cs="Times New Roman"/>
        </w:rPr>
      </w:pPr>
      <w:r w:rsidRPr="00EE2BB2">
        <w:rPr>
          <w:rFonts w:ascii="Times New Roman" w:eastAsia="Calibri"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rsidR="002E671C" w:rsidRPr="00EE2BB2" w:rsidRDefault="00EE2BB2" w:rsidP="00EE2BB2">
      <w:pPr>
        <w:pStyle w:val="ListParagraph1"/>
        <w:numPr>
          <w:ilvl w:val="0"/>
          <w:numId w:val="7"/>
        </w:numPr>
        <w:spacing w:after="0" w:line="480" w:lineRule="auto"/>
        <w:jc w:val="both"/>
        <w:rPr>
          <w:rFonts w:ascii="Times New Roman" w:hAnsi="Times New Roman" w:cs="Times New Roman"/>
        </w:rPr>
      </w:pPr>
      <w:r w:rsidRPr="00EE2BB2">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rsidR="002E671C" w:rsidRDefault="002C5934" w:rsidP="00EE2BB2">
      <w:pPr>
        <w:spacing w:after="0" w:line="480" w:lineRule="auto"/>
        <w:jc w:val="both"/>
        <w:rPr>
          <w:rFonts w:ascii="Times New Roman" w:hAnsi="Times New Roman" w:cs="Times New Roman"/>
        </w:rPr>
      </w:pPr>
      <w:r>
        <w:rPr>
          <w:rFonts w:ascii="Times New Roman" w:eastAsia="Calibri" w:hAnsi="Times New Roman" w:cs="Times New Roman"/>
          <w:b/>
          <w:bCs/>
          <w:sz w:val="24"/>
          <w:szCs w:val="24"/>
          <w:lang w:val="en-GB"/>
        </w:rPr>
        <w:t>5.5 Contribution to Knowledge</w:t>
      </w:r>
    </w:p>
    <w:p w:rsidR="00E314BA" w:rsidRPr="00E314BA" w:rsidRDefault="00E314BA" w:rsidP="00E314BA">
      <w:pPr>
        <w:jc w:val="both"/>
        <w:rPr>
          <w:rFonts w:ascii="Times New Roman" w:eastAsia="Calibri" w:hAnsi="Times New Roman" w:cs="Times New Roman"/>
          <w:sz w:val="24"/>
          <w:szCs w:val="24"/>
          <w:lang w:val="en-GB"/>
        </w:rPr>
      </w:pPr>
      <w:r w:rsidRPr="00E314BA">
        <w:rPr>
          <w:rFonts w:ascii="Times New Roman" w:eastAsia="Calibri"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rsidR="00E314BA" w:rsidRPr="00E314BA" w:rsidRDefault="00E314BA" w:rsidP="00E314BA">
      <w:pPr>
        <w:jc w:val="both"/>
        <w:rPr>
          <w:rFonts w:ascii="Times New Roman" w:eastAsia="Calibri" w:hAnsi="Times New Roman" w:cs="Times New Roman"/>
          <w:sz w:val="24"/>
          <w:szCs w:val="24"/>
          <w:lang w:val="en-GB"/>
        </w:rPr>
      </w:pPr>
    </w:p>
    <w:p w:rsidR="00E314BA" w:rsidRDefault="00E314BA" w:rsidP="00E314BA">
      <w:pPr>
        <w:jc w:val="both"/>
        <w:rPr>
          <w:rFonts w:ascii="Times New Roman" w:eastAsia="Calibri" w:hAnsi="Times New Roman" w:cs="Times New Roman"/>
          <w:sz w:val="24"/>
          <w:szCs w:val="24"/>
          <w:lang w:val="en-GB"/>
        </w:rPr>
      </w:pPr>
      <w:r w:rsidRPr="00E314BA">
        <w:rPr>
          <w:rFonts w:ascii="Times New Roman" w:eastAsia="Calibri" w:hAnsi="Times New Roman" w:cs="Times New Roman"/>
          <w:sz w:val="24"/>
          <w:szCs w:val="24"/>
          <w:lang w:val="en-GB"/>
        </w:rPr>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rsidR="00E314BA" w:rsidRDefault="00FC2271" w:rsidP="00E314BA">
      <w:pPr>
        <w:jc w:val="both"/>
        <w:rPr>
          <w:rFonts w:ascii="Times New Roman Bold" w:hAnsi="Times New Roman Bold" w:cs="Times New Roman Bold"/>
          <w:b/>
          <w:bCs/>
          <w:sz w:val="28"/>
          <w:szCs w:val="28"/>
        </w:rPr>
      </w:pPr>
      <w:r>
        <w:rPr>
          <w:rFonts w:ascii="Times New Roman Bold" w:hAnsi="Times New Roman Bold" w:cs="Times New Roman Bold"/>
          <w:b/>
          <w:bCs/>
          <w:sz w:val="28"/>
          <w:szCs w:val="28"/>
        </w:rPr>
        <w:t>REERENCES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 xml:space="preserve">Agarwal, A., Tyagi, S., &amp; Garg, S. (2021). Barriers to implementing green supply chain management in the Indian rubber industry. Journal of Cleaner Production, 278, 123456. Elsevier, </w:t>
      </w:r>
      <w:r>
        <w:rPr>
          <w:rFonts w:ascii="Times New Roman Bold" w:hAnsi="Times New Roman Bold" w:cs="Times New Roman Bold"/>
          <w:b/>
          <w:bCs/>
          <w:sz w:val="28"/>
          <w:szCs w:val="28"/>
        </w:rPr>
        <w:t>Amsterdam.</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lastRenderedPageBreak/>
        <w:t>Albertini, E. (2021). Environmental management systems and financial performance: A meta-analysis. Business Strategy and the Environment, 30(5), 23</w:t>
      </w:r>
      <w:r>
        <w:rPr>
          <w:rFonts w:ascii="Times New Roman Bold" w:hAnsi="Times New Roman Bold" w:cs="Times New Roman Bold"/>
          <w:b/>
          <w:bCs/>
          <w:sz w:val="28"/>
          <w:szCs w:val="28"/>
        </w:rPr>
        <w:t>45-2358. Wiley, United Kingdom.</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Amrutha, K., &amp; Geetha, S. (2023). Exploring the relationships between HRM and EM: A literature review. International Journal of Human Resource Management, 34(3), 567-589. Ta</w:t>
      </w:r>
      <w:r>
        <w:rPr>
          <w:rFonts w:ascii="Times New Roman Bold" w:hAnsi="Times New Roman Bold" w:cs="Times New Roman Bold"/>
          <w:b/>
          <w:bCs/>
          <w:sz w:val="28"/>
          <w:szCs w:val="28"/>
        </w:rPr>
        <w:t>ylor &amp; Francis, United Kingdom.</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 xml:space="preserve">Anjana, N. (2023). Green HR initiatives: Enhancing productivity and engagement. Journal of Business Research, 142, </w:t>
      </w:r>
      <w:r>
        <w:rPr>
          <w:rFonts w:ascii="Times New Roman Bold" w:hAnsi="Times New Roman Bold" w:cs="Times New Roman Bold"/>
          <w:b/>
          <w:bCs/>
          <w:sz w:val="28"/>
          <w:szCs w:val="28"/>
        </w:rPr>
        <w:t>123-134. Elsevier, Netherlands.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Author Unknown. (2024). Engagement with green human resource management practices in Bangladeshi commercial banks. Bangladesh Journal of Business Studies, 10(3), 78-92. U</w:t>
      </w:r>
      <w:r>
        <w:rPr>
          <w:rFonts w:ascii="Times New Roman Bold" w:hAnsi="Times New Roman Bold" w:cs="Times New Roman Bold"/>
          <w:b/>
          <w:bCs/>
          <w:sz w:val="28"/>
          <w:szCs w:val="28"/>
        </w:rPr>
        <w:t>niversity Press Limited, Dhaka.</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Author Unknown. (2024). Effects of green human resource management practices on environmental sustainability: A case study of Kenyatta University. African Journal of Environmental Science and Technology, 18(4), 112-1</w:t>
      </w:r>
      <w:r>
        <w:rPr>
          <w:rFonts w:ascii="Times New Roman Bold" w:hAnsi="Times New Roman Bold" w:cs="Times New Roman Bold"/>
          <w:b/>
          <w:bCs/>
          <w:sz w:val="28"/>
          <w:szCs w:val="28"/>
        </w:rPr>
        <w:t>30. Academic Journals, Nairobi.</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Author Unknown. (2024). Green human resource management practices and environmental performance in Jordanian health service organizations. Journal of Health Management, 12(1), 23-39</w:t>
      </w:r>
      <w:r>
        <w:rPr>
          <w:rFonts w:ascii="Times New Roman Bold" w:hAnsi="Times New Roman Bold" w:cs="Times New Roman Bold"/>
          <w:b/>
          <w:bCs/>
          <w:sz w:val="28"/>
          <w:szCs w:val="28"/>
        </w:rPr>
        <w:t>. Sage Publications, New Delhi.</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Author Unknown. (2024). The impact of green human resource management practices on sustainability in Saudi Arabia. International Journal of Environmental Management, 15(2),</w:t>
      </w:r>
      <w:r>
        <w:rPr>
          <w:rFonts w:ascii="Times New Roman Bold" w:hAnsi="Times New Roman Bold" w:cs="Times New Roman Bold"/>
          <w:b/>
          <w:bCs/>
          <w:sz w:val="28"/>
          <w:szCs w:val="28"/>
        </w:rPr>
        <w:t xml:space="preserve"> 45-67. Academic Press, London.</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Backhaus, K. (2022). Evaluating employers: The role of corporate social responsibility. Journal of Business Ethics, 178(4), 9</w:t>
      </w:r>
      <w:r>
        <w:rPr>
          <w:rFonts w:ascii="Times New Roman Bold" w:hAnsi="Times New Roman Bold" w:cs="Times New Roman Bold"/>
          <w:b/>
          <w:bCs/>
          <w:sz w:val="28"/>
          <w:szCs w:val="28"/>
        </w:rPr>
        <w:t>87-1002. Springer, Netherlands.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Bansal, P., &amp; Gao, J. (2023). Corporate environmental strategies: A review and future directi</w:t>
      </w:r>
      <w:r>
        <w:rPr>
          <w:rFonts w:ascii="Times New Roman Bold" w:hAnsi="Times New Roman Bold" w:cs="Times New Roman Bold"/>
          <w:b/>
          <w:bCs/>
          <w:sz w:val="28"/>
          <w:szCs w:val="28"/>
        </w:rPr>
        <w:t>ons. Routledge, United Kingdom.</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 xml:space="preserve">Behrend, T. S. (2022). Sustainability and job seekers: The impact of corporate environmental responsibility. Journal of Business Research, 142, </w:t>
      </w:r>
      <w:r>
        <w:rPr>
          <w:rFonts w:ascii="Times New Roman Bold" w:hAnsi="Times New Roman Bold" w:cs="Times New Roman Bold"/>
          <w:b/>
          <w:bCs/>
          <w:sz w:val="28"/>
          <w:szCs w:val="28"/>
        </w:rPr>
        <w:t>123-134. Elsevier, Netherlands.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lastRenderedPageBreak/>
        <w:t>Bombiak, E., &amp; Marciniuk-Kluska, A. (2023). The human factor in environmental management. Environmental Science &amp; Policy, 132</w:t>
      </w:r>
      <w:r>
        <w:rPr>
          <w:rFonts w:ascii="Times New Roman Bold" w:hAnsi="Times New Roman Bold" w:cs="Times New Roman Bold"/>
          <w:b/>
          <w:bCs/>
          <w:sz w:val="28"/>
          <w:szCs w:val="28"/>
        </w:rPr>
        <w:t>, 45-56. Elsevier, Netherlands.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Brown, C. (2022). Cultivating versatile workers: The role of training in i</w:t>
      </w:r>
      <w:r>
        <w:rPr>
          <w:rFonts w:ascii="Times New Roman Bold" w:hAnsi="Times New Roman Bold" w:cs="Times New Roman Bold"/>
          <w:b/>
          <w:bCs/>
          <w:sz w:val="28"/>
          <w:szCs w:val="28"/>
        </w:rPr>
        <w:t>nnovation. Routledge, New York.</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 xml:space="preserve">Dwyer, L., et al. (2022). Voluntary environmental practices and firm competitiveness. Journal of Business Research, 142, </w:t>
      </w:r>
      <w:r>
        <w:rPr>
          <w:rFonts w:ascii="Times New Roman Bold" w:hAnsi="Times New Roman Bold" w:cs="Times New Roman Bold"/>
          <w:b/>
          <w:bCs/>
          <w:sz w:val="28"/>
          <w:szCs w:val="28"/>
        </w:rPr>
        <w:t>123-134. Elsevier, Netherlands.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Garcia, D. (2023). Exploratory learning and organizational performance: Strategies fo</w:t>
      </w:r>
      <w:r>
        <w:rPr>
          <w:rFonts w:ascii="Times New Roman Bold" w:hAnsi="Times New Roman Bold" w:cs="Times New Roman Bold"/>
          <w:b/>
          <w:bCs/>
          <w:sz w:val="28"/>
          <w:szCs w:val="28"/>
        </w:rPr>
        <w:t>r innovation. Springer, Berlin.</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Gerhart, B. (2023). Human resource management and environmental sustainability. Human Resource M</w:t>
      </w:r>
      <w:r>
        <w:rPr>
          <w:rFonts w:ascii="Times New Roman Bold" w:hAnsi="Times New Roman Bold" w:cs="Times New Roman Bold"/>
          <w:b/>
          <w:bCs/>
          <w:sz w:val="28"/>
          <w:szCs w:val="28"/>
        </w:rPr>
        <w:t>anagement Review, 33(1), 45-58.</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Hoffman, A. J., &amp; Bansal, P. (2022). The role of corporate sustainability in competitive advantage. Cambridge Un</w:t>
      </w:r>
      <w:r>
        <w:rPr>
          <w:rFonts w:ascii="Times New Roman Bold" w:hAnsi="Times New Roman Bold" w:cs="Times New Roman Bold"/>
          <w:b/>
          <w:bCs/>
          <w:sz w:val="28"/>
          <w:szCs w:val="28"/>
        </w:rPr>
        <w:t>iversity Press, United Kingdom.</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Hart, S. L., &amp; Milstein, M. B. (2021). Creating sustainable value. Academy of Management Perspectives, 35(1), 1-18. Academ</w:t>
      </w:r>
      <w:r>
        <w:rPr>
          <w:rFonts w:ascii="Times New Roman Bold" w:hAnsi="Times New Roman Bold" w:cs="Times New Roman Bold"/>
          <w:b/>
          <w:bCs/>
          <w:sz w:val="28"/>
          <w:szCs w:val="28"/>
        </w:rPr>
        <w:t>y of Management, United States.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Huselid, M. A., &amp; Becker, B. E. (2023). The impact of HR practices on organizational performance. Academy of Management Perspectives, 37(</w:t>
      </w:r>
      <w:r>
        <w:rPr>
          <w:rFonts w:ascii="Times New Roman Bold" w:hAnsi="Times New Roman Bold" w:cs="Times New Roman Bold"/>
          <w:b/>
          <w:bCs/>
          <w:sz w:val="28"/>
          <w:szCs w:val="28"/>
        </w:rPr>
        <w:t>1), 67-82.</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 xml:space="preserve">Jabbour, C. J. C. (2022). Green human resource management: A new approach to sustainability. Journal of Cleaner Production, 330, </w:t>
      </w:r>
      <w:r>
        <w:rPr>
          <w:rFonts w:ascii="Times New Roman Bold" w:hAnsi="Times New Roman Bold" w:cs="Times New Roman Bold"/>
          <w:b/>
          <w:bCs/>
          <w:sz w:val="28"/>
          <w:szCs w:val="28"/>
        </w:rPr>
        <w:t>129-145. Elsevier, Netherlands.</w:t>
      </w:r>
    </w:p>
    <w:p w:rsidR="00E314BA" w:rsidRDefault="00E314BA" w:rsidP="00E314B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 xml:space="preserve">Jabbour, C. J. C., Santos, F. C. A., &amp; Naganos, M. (2023). Green human resource management: A comprehensive review. Journal of Cleaner Production, 330, </w:t>
      </w:r>
      <w:r>
        <w:rPr>
          <w:rFonts w:ascii="Times New Roman Bold" w:hAnsi="Times New Roman Bold" w:cs="Times New Roman Bold"/>
          <w:b/>
          <w:bCs/>
          <w:sz w:val="28"/>
          <w:szCs w:val="28"/>
        </w:rPr>
        <w:t>129-145. Elsevier, Netherlands.</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Joonhyun, K., &amp; Jinsoo, K. (2023). The interplay of human resources and environmental management. International Journal of Human Resource Management, 34(3), 567-589. Ta</w:t>
      </w:r>
      <w:r w:rsidR="00E36B2A">
        <w:rPr>
          <w:rFonts w:ascii="Times New Roman Bold" w:hAnsi="Times New Roman Bold" w:cs="Times New Roman Bold"/>
          <w:b/>
          <w:bCs/>
          <w:sz w:val="28"/>
          <w:szCs w:val="28"/>
        </w:rPr>
        <w:t>ylor &amp; Francis, United Kingdom.</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Lii, Y. S., &amp; Lee, M. S. (2023). The impact of corporate environmental actions on reputation. Corporate Social Responsibility and Environmental Management, 30(1), 1-15. Wiley, United Kingdom.</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lastRenderedPageBreak/>
        <w:t xml:space="preserve">Mandip, M. (2022). Integrating environmental management into human resource practices. Journal of Environmental Management, 300, </w:t>
      </w:r>
      <w:r w:rsidR="00E36B2A">
        <w:rPr>
          <w:rFonts w:ascii="Times New Roman Bold" w:hAnsi="Times New Roman Bold" w:cs="Times New Roman Bold"/>
          <w:b/>
          <w:bCs/>
          <w:sz w:val="28"/>
          <w:szCs w:val="28"/>
        </w:rPr>
        <w:t>113-125. Elsevier, Netherlands.</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Martín-de-Castro, G., et al. (2023). Sustainable development and human resources: A new paradigm. Sustainability, 15(</w:t>
      </w:r>
      <w:r w:rsidR="00E36B2A">
        <w:rPr>
          <w:rFonts w:ascii="Times New Roman Bold" w:hAnsi="Times New Roman Bold" w:cs="Times New Roman Bold"/>
          <w:b/>
          <w:bCs/>
          <w:sz w:val="28"/>
          <w:szCs w:val="28"/>
        </w:rPr>
        <w:t>2), 456-470. MDPI, Switzerland.</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Muster, V., &amp; Schrader, U. (2023). Green HRM and the triple-bottom-line: A sustainable approach. Journal of Cl</w:t>
      </w:r>
      <w:r w:rsidR="00E36B2A">
        <w:rPr>
          <w:rFonts w:ascii="Times New Roman Bold" w:hAnsi="Times New Roman Bold" w:cs="Times New Roman Bold"/>
          <w:b/>
          <w:bCs/>
          <w:sz w:val="28"/>
          <w:szCs w:val="28"/>
        </w:rPr>
        <w:t>eaner Production, 250, 119-130.</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Renwick, D. W. S. (2008). Green HRM: A review, process model, and research agenda. University of Sheffield Management</w:t>
      </w:r>
      <w:r w:rsidR="00E36B2A">
        <w:rPr>
          <w:rFonts w:ascii="Times New Roman Bold" w:hAnsi="Times New Roman Bold" w:cs="Times New Roman Bold"/>
          <w:b/>
          <w:bCs/>
          <w:sz w:val="28"/>
          <w:szCs w:val="28"/>
        </w:rPr>
        <w:t xml:space="preserve"> School Discussion Paper No. 1.</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Renwick, D. W. S. (2023). Green human resource management: A review and future directions. International Journal of Management Reviews, 25(1</w:t>
      </w:r>
      <w:r w:rsidR="00E36B2A">
        <w:rPr>
          <w:rFonts w:ascii="Times New Roman Bold" w:hAnsi="Times New Roman Bold" w:cs="Times New Roman Bold"/>
          <w:b/>
          <w:bCs/>
          <w:sz w:val="28"/>
          <w:szCs w:val="28"/>
        </w:rPr>
        <w:t>), 1-20. Wiley, United Kingdom.</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Schuler, R. S., &amp; Jackson, S. E. (2023). Strategic human resource management: A key to organizational success. International Journal of Human Resou</w:t>
      </w:r>
      <w:r w:rsidR="00E36B2A">
        <w:rPr>
          <w:rFonts w:ascii="Times New Roman Bold" w:hAnsi="Times New Roman Bold" w:cs="Times New Roman Bold"/>
          <w:b/>
          <w:bCs/>
          <w:sz w:val="28"/>
          <w:szCs w:val="28"/>
        </w:rPr>
        <w:t>rce Management, 34(4), 567-589.</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Skowroński, P. (2022). Sustainable development in management: New quality and</w:t>
      </w:r>
      <w:r w:rsidR="00E36B2A">
        <w:rPr>
          <w:rFonts w:ascii="Times New Roman Bold" w:hAnsi="Times New Roman Bold" w:cs="Times New Roman Bold"/>
          <w:b/>
          <w:bCs/>
          <w:sz w:val="28"/>
          <w:szCs w:val="28"/>
        </w:rPr>
        <w:t xml:space="preserve"> challenges. Springer, Germany.</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Smaliukienė, R., &amp; Monn, M. (2022). Green human resource management: A key to sustainable development. Journal of Business Ethics, 178(4), 987-1002. Spring</w:t>
      </w:r>
      <w:r w:rsidR="00E36B2A">
        <w:rPr>
          <w:rFonts w:ascii="Times New Roman Bold" w:hAnsi="Times New Roman Bold" w:cs="Times New Roman Bold"/>
          <w:b/>
          <w:bCs/>
          <w:sz w:val="28"/>
          <w:szCs w:val="28"/>
        </w:rPr>
        <w:t>er, Netherlands.</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Smith, A., &amp; Jones, B. (2023). Enhancing employee competencies: A focus on training and development</w:t>
      </w:r>
      <w:r w:rsidR="00E36B2A">
        <w:rPr>
          <w:rFonts w:ascii="Times New Roman Bold" w:hAnsi="Times New Roman Bold" w:cs="Times New Roman Bold"/>
          <w:b/>
          <w:bCs/>
          <w:sz w:val="28"/>
          <w:szCs w:val="28"/>
        </w:rPr>
        <w:t>. Greenleaf Publishing, London.</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Wei, L., &amp; Lau, C. (2023). The importance of HRM in achieving competitive advantage. Asian Business &amp; Mana</w:t>
      </w:r>
      <w:r w:rsidR="00E36B2A">
        <w:rPr>
          <w:rFonts w:ascii="Times New Roman Bold" w:hAnsi="Times New Roman Bold" w:cs="Times New Roman Bold"/>
          <w:b/>
          <w:bCs/>
          <w:sz w:val="28"/>
          <w:szCs w:val="28"/>
        </w:rPr>
        <w:t>gement, 22(3), 201-215.</w:t>
      </w:r>
    </w:p>
    <w:p w:rsidR="00E36B2A" w:rsidRDefault="00E314BA" w:rsidP="00E36B2A">
      <w:pPr>
        <w:jc w:val="both"/>
        <w:rPr>
          <w:rFonts w:ascii="Times New Roman Bold" w:hAnsi="Times New Roman Bold" w:cs="Times New Roman Bold"/>
          <w:b/>
          <w:bCs/>
          <w:sz w:val="28"/>
          <w:szCs w:val="28"/>
        </w:rPr>
      </w:pPr>
      <w:r w:rsidRPr="00E314BA">
        <w:rPr>
          <w:rFonts w:ascii="Times New Roman Bold" w:hAnsi="Times New Roman Bold" w:cs="Times New Roman Bold"/>
          <w:b/>
          <w:bCs/>
          <w:sz w:val="28"/>
          <w:szCs w:val="28"/>
        </w:rPr>
        <w:t>Williamson, I. (2021). Corporate social responsibility and employee perceptions. Journal of Business Ethics, 178(4), 987-1002. Springer, Netherlands.</w:t>
      </w:r>
    </w:p>
    <w:p w:rsidR="00E36B2A" w:rsidRDefault="00E36B2A" w:rsidP="00E36B2A">
      <w:pPr>
        <w:jc w:val="both"/>
        <w:rPr>
          <w:rFonts w:ascii="Times New Roman Bold" w:hAnsi="Times New Roman Bold" w:cs="Times New Roman Bold"/>
          <w:b/>
          <w:bCs/>
          <w:sz w:val="28"/>
          <w:szCs w:val="28"/>
        </w:rPr>
      </w:pPr>
    </w:p>
    <w:p w:rsidR="00E36B2A" w:rsidRDefault="00E36B2A" w:rsidP="00E36B2A">
      <w:pPr>
        <w:jc w:val="both"/>
        <w:rPr>
          <w:rFonts w:ascii="Times New Roman Bold" w:hAnsi="Times New Roman Bold" w:cs="Times New Roman Bold"/>
          <w:b/>
          <w:bCs/>
          <w:sz w:val="28"/>
          <w:szCs w:val="28"/>
        </w:rPr>
      </w:pPr>
    </w:p>
    <w:p w:rsidR="002E671C" w:rsidRDefault="00E36B2A" w:rsidP="00E36B2A">
      <w:pPr>
        <w:jc w:val="both"/>
        <w:rPr>
          <w:rFonts w:ascii="Times New Roman Bold" w:hAnsi="Times New Roman Bold" w:cs="Times New Roman Bold"/>
          <w:b/>
          <w:bCs/>
          <w:sz w:val="28"/>
          <w:szCs w:val="28"/>
        </w:rPr>
      </w:pPr>
      <w:r>
        <w:rPr>
          <w:rFonts w:ascii="Times New Roman Bold" w:hAnsi="Times New Roman Bold" w:cs="Times New Roman Bold"/>
          <w:b/>
          <w:bCs/>
          <w:sz w:val="28"/>
          <w:szCs w:val="28"/>
        </w:rPr>
        <w:lastRenderedPageBreak/>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sidR="002C5934">
        <w:rPr>
          <w:rFonts w:ascii="Times New Roman Bold" w:hAnsi="Times New Roman Bold" w:cs="Times New Roman Bold"/>
          <w:b/>
          <w:bCs/>
          <w:sz w:val="28"/>
          <w:szCs w:val="28"/>
        </w:rPr>
        <w:t>Department of Business Administration</w:t>
      </w:r>
      <w:r>
        <w:rPr>
          <w:rFonts w:ascii="Times New Roman Bold" w:hAnsi="Times New Roman Bold" w:cs="Times New Roman Bold"/>
          <w:b/>
          <w:bCs/>
          <w:sz w:val="28"/>
          <w:szCs w:val="28"/>
        </w:rPr>
        <w:tab/>
      </w:r>
      <w:r w:rsidR="002C5934">
        <w:rPr>
          <w:rFonts w:ascii="Times New Roman Bold" w:hAnsi="Times New Roman Bold" w:cs="Times New Roman Bold"/>
          <w:b/>
          <w:bCs/>
          <w:sz w:val="28"/>
          <w:szCs w:val="28"/>
        </w:rPr>
        <w:t xml:space="preserve"> </w:t>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Pr>
          <w:rFonts w:ascii="Times New Roman Bold" w:hAnsi="Times New Roman Bold" w:cs="Times New Roman Bold"/>
          <w:b/>
          <w:bCs/>
          <w:sz w:val="28"/>
          <w:szCs w:val="28"/>
        </w:rPr>
        <w:tab/>
      </w:r>
      <w:r w:rsidR="002C5934">
        <w:rPr>
          <w:rFonts w:ascii="Times New Roman Bold" w:hAnsi="Times New Roman Bold" w:cs="Times New Roman Bold"/>
          <w:b/>
          <w:bCs/>
          <w:sz w:val="28"/>
          <w:szCs w:val="28"/>
        </w:rPr>
        <w:t>Kwara State Polytechnic</w:t>
      </w:r>
    </w:p>
    <w:p w:rsidR="002E671C" w:rsidRDefault="002C5934">
      <w:pPr>
        <w:ind w:left="4320"/>
        <w:rPr>
          <w:rFonts w:ascii="Times New Roman Bold" w:hAnsi="Times New Roman Bold" w:cs="Times New Roman Bold"/>
          <w:b/>
          <w:bCs/>
          <w:sz w:val="28"/>
          <w:szCs w:val="28"/>
        </w:rPr>
      </w:pPr>
      <w:r>
        <w:rPr>
          <w:rFonts w:ascii="Times New Roman Bold" w:hAnsi="Times New Roman Bold" w:cs="Times New Roman Bold"/>
          <w:b/>
          <w:bCs/>
          <w:sz w:val="28"/>
          <w:szCs w:val="28"/>
        </w:rPr>
        <w:t xml:space="preserve">  Ilorin.</w:t>
      </w:r>
    </w:p>
    <w:p w:rsidR="002E671C" w:rsidRDefault="002E671C">
      <w:pPr>
        <w:jc w:val="cente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E671C" w:rsidRDefault="002C5934">
      <w:pPr>
        <w:rPr>
          <w:rFonts w:ascii="Times New Roman" w:hAnsi="Times New Roman" w:cs="Times New Roman"/>
          <w:sz w:val="28"/>
          <w:szCs w:val="28"/>
        </w:rPr>
      </w:pPr>
      <w:r>
        <w:rPr>
          <w:rFonts w:ascii="Times New Roman" w:hAnsi="Times New Roman" w:cs="Times New Roman"/>
          <w:sz w:val="28"/>
          <w:szCs w:val="28"/>
        </w:rPr>
        <w:t>Dear Sir/Madam,</w:t>
      </w:r>
    </w:p>
    <w:p w:rsidR="002E671C" w:rsidRDefault="002C593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Research Project</w:t>
      </w:r>
    </w:p>
    <w:p w:rsidR="00EE2BB2" w:rsidRPr="0050179A" w:rsidRDefault="002C5934" w:rsidP="0050179A">
      <w:pPr>
        <w:spacing w:line="480" w:lineRule="auto"/>
        <w:jc w:val="center"/>
      </w:pPr>
      <w:r>
        <w:rPr>
          <w:rFonts w:ascii="Times New Roman" w:hAnsi="Times New Roman" w:cs="Times New Roman"/>
          <w:sz w:val="28"/>
          <w:szCs w:val="28"/>
        </w:rPr>
        <w:t xml:space="preserve">I am an Undergraduate student of the Kwara State Polytechnic above. I am currently carrying out a research titled </w:t>
      </w:r>
      <w:r>
        <w:rPr>
          <w:rFonts w:ascii="Times New Roman" w:hAnsi="Times New Roman" w:cs="Times New Roman"/>
          <w:b/>
          <w:bCs/>
          <w:sz w:val="28"/>
          <w:szCs w:val="28"/>
        </w:rPr>
        <w:t>“</w:t>
      </w:r>
      <w:bookmarkStart w:id="1" w:name="_GoBack"/>
      <w:r w:rsidR="002144B5" w:rsidRPr="006269F6">
        <w:rPr>
          <w:rFonts w:ascii="Times New Roman" w:hAnsi="Times New Roman" w:cs="Times New Roman"/>
          <w:b/>
          <w:sz w:val="32"/>
          <w:szCs w:val="32"/>
        </w:rPr>
        <w:t>Impact  Of Green Human Resource Management Practices On Organizational Performance: An Insight From  Guaranty Trust Bank, Ilorin Kwara State</w:t>
      </w:r>
      <w:r w:rsidR="002144B5">
        <w:t>.</w:t>
      </w:r>
      <w:bookmarkEnd w:id="1"/>
      <w:r w:rsidR="0050179A">
        <w:t xml:space="preserve"> </w:t>
      </w:r>
      <w:r w:rsidR="00EE2BB2" w:rsidRPr="00EE2BB2">
        <w:rPr>
          <w:rFonts w:ascii="Times New Roman" w:hAnsi="Times New Roman" w:cs="Times New Roman"/>
          <w:sz w:val="28"/>
          <w:szCs w:val="28"/>
        </w:rPr>
        <w:t>The questionnaire attached to this letter is intended to extract pertinent information. In this context, I would appreciate your help and cooperation in getting the necessary information by completing the questionnaire as objectively as possible.</w:t>
      </w:r>
    </w:p>
    <w:p w:rsidR="00EE2BB2" w:rsidRDefault="00EE2BB2" w:rsidP="00EE2BB2">
      <w:pPr>
        <w:rPr>
          <w:rFonts w:ascii="Times New Roman" w:hAnsi="Times New Roman" w:cs="Times New Roman"/>
          <w:sz w:val="28"/>
          <w:szCs w:val="28"/>
        </w:rPr>
      </w:pPr>
      <w:r w:rsidRPr="00EE2BB2">
        <w:rPr>
          <w:rFonts w:ascii="Times New Roman" w:hAnsi="Times New Roman" w:cs="Times New Roman"/>
          <w:sz w:val="28"/>
          <w:szCs w:val="28"/>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EE2BB2" w:rsidRDefault="00EE2BB2" w:rsidP="00EE2BB2">
      <w:pPr>
        <w:rPr>
          <w:rFonts w:ascii="Times New Roman" w:hAnsi="Times New Roman" w:cs="Times New Roman"/>
          <w:sz w:val="28"/>
          <w:szCs w:val="28"/>
        </w:rPr>
      </w:pPr>
    </w:p>
    <w:p w:rsidR="002E671C" w:rsidRDefault="002C5934">
      <w:pPr>
        <w:rPr>
          <w:rFonts w:ascii="Times New Roman" w:hAnsi="Times New Roman" w:cs="Times New Roman"/>
          <w:sz w:val="28"/>
          <w:szCs w:val="28"/>
        </w:rPr>
      </w:pPr>
      <w:r>
        <w:rPr>
          <w:rFonts w:ascii="Times New Roman" w:hAnsi="Times New Roman" w:cs="Times New Roman"/>
          <w:sz w:val="28"/>
          <w:szCs w:val="28"/>
        </w:rPr>
        <w:t>Yours faithfully,</w:t>
      </w:r>
    </w:p>
    <w:p w:rsidR="002E671C" w:rsidRDefault="002E671C">
      <w:pPr>
        <w:rPr>
          <w:rFonts w:ascii="Times New Roman" w:hAnsi="Times New Roman" w:cs="Times New Roman"/>
          <w:sz w:val="28"/>
          <w:szCs w:val="28"/>
        </w:rPr>
      </w:pPr>
    </w:p>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Section A: DEMOGRAPHIC PROFILE</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Gender (a) Male (  )  (b) Female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Age Range (a) 21–30 years (  )</w:t>
      </w:r>
      <w:r>
        <w:rPr>
          <w:rFonts w:ascii="Times New Roman" w:hAnsi="Times New Roman" w:cs="Times New Roman"/>
          <w:sz w:val="28"/>
          <w:szCs w:val="28"/>
        </w:rPr>
        <w:tab/>
        <w:t>(b) 31–40 years (  )  (c) 41–50 years (  ) (d) 51–60 years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lastRenderedPageBreak/>
        <w:t>Religion (a) Islam (  )  (b) Christianity (  )</w:t>
      </w:r>
      <w:r>
        <w:rPr>
          <w:rFonts w:ascii="Times New Roman" w:hAnsi="Times New Roman" w:cs="Times New Roman"/>
          <w:sz w:val="28"/>
          <w:szCs w:val="28"/>
        </w:rPr>
        <w:tab/>
        <w:t>(c) Traditional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Marital Status (a) Single (  )  (b) Married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(a) Education Diploma or associate degree (  )  (b) Bachelor’s degree (  ) (c) Master’s degree (  )</w:t>
      </w:r>
      <w:r>
        <w:rPr>
          <w:rFonts w:ascii="Times New Roman" w:hAnsi="Times New Roman" w:cs="Times New Roman"/>
          <w:sz w:val="28"/>
          <w:szCs w:val="28"/>
        </w:rPr>
        <w:tab/>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Current Role (a) Managerial (  )</w:t>
      </w:r>
      <w:r>
        <w:rPr>
          <w:rFonts w:ascii="Times New Roman" w:hAnsi="Times New Roman" w:cs="Times New Roman"/>
          <w:sz w:val="28"/>
          <w:szCs w:val="28"/>
        </w:rPr>
        <w:tab/>
        <w:t>(b) Non-managerial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Tenure in the current organization (a) 3–5 years (  )   (b ) 6–8 years (  )        (c) 8–10 years (  )</w:t>
      </w:r>
      <w:r>
        <w:rPr>
          <w:rFonts w:ascii="Times New Roman" w:hAnsi="Times New Roman" w:cs="Times New Roman"/>
          <w:sz w:val="28"/>
          <w:szCs w:val="28"/>
        </w:rPr>
        <w:tab/>
        <w:t>(d) More than 10 years (  )</w:t>
      </w:r>
    </w:p>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Section B</w:t>
      </w:r>
    </w:p>
    <w:p w:rsidR="002E671C" w:rsidRDefault="002C5934">
      <w:pPr>
        <w:rPr>
          <w:rFonts w:ascii="Times New Roman" w:hAnsi="Times New Roman" w:cs="Times New Roman"/>
          <w:sz w:val="28"/>
          <w:szCs w:val="28"/>
        </w:rPr>
      </w:pPr>
      <w:r>
        <w:rPr>
          <w:rFonts w:ascii="Times New Roman" w:hAnsi="Times New Roman" w:cs="Times New Roman"/>
          <w:sz w:val="28"/>
          <w:szCs w:val="28"/>
        </w:rPr>
        <w:t>Instruction: Kindly respond to the items as you deemed appropriate with a tic that is most suitable item (s) from option boxes provided (√) on each question using the following keys.</w:t>
      </w:r>
    </w:p>
    <w:p w:rsidR="002E671C" w:rsidRDefault="002C5934">
      <w:pPr>
        <w:rPr>
          <w:rFonts w:ascii="Times New Roman" w:hAnsi="Times New Roman" w:cs="Times New Roman"/>
          <w:sz w:val="28"/>
          <w:szCs w:val="28"/>
        </w:rPr>
      </w:pPr>
      <w:r>
        <w:rPr>
          <w:rFonts w:ascii="Times New Roman" w:hAnsi="Times New Roman" w:cs="Times New Roman"/>
          <w:sz w:val="28"/>
          <w:szCs w:val="28"/>
        </w:rPr>
        <w:t>SA: Strongly Agree, A: Agree, U: Undecided D: Disagree, SD: Strongly Disagree</w:t>
      </w:r>
    </w:p>
    <w:tbl>
      <w:tblPr>
        <w:tblStyle w:val="TableGrid"/>
        <w:tblW w:w="9350" w:type="dxa"/>
        <w:tblLayout w:type="fixed"/>
        <w:tblLook w:val="04A0" w:firstRow="1" w:lastRow="0" w:firstColumn="1" w:lastColumn="0" w:noHBand="0" w:noVBand="1"/>
      </w:tblPr>
      <w:tblGrid>
        <w:gridCol w:w="652"/>
        <w:gridCol w:w="6283"/>
        <w:gridCol w:w="574"/>
        <w:gridCol w:w="422"/>
        <w:gridCol w:w="422"/>
        <w:gridCol w:w="423"/>
        <w:gridCol w:w="574"/>
      </w:tblGrid>
      <w:tr w:rsidR="002E671C">
        <w:tc>
          <w:tcPr>
            <w:tcW w:w="652" w:type="dxa"/>
          </w:tcPr>
          <w:p w:rsidR="002E671C" w:rsidRDefault="002C5934">
            <w:pPr>
              <w:jc w:val="center"/>
              <w:rPr>
                <w:rFonts w:ascii="Times New Roman" w:hAnsi="Times New Roman" w:cs="Times New Roman"/>
                <w:b/>
                <w:bCs/>
                <w:sz w:val="28"/>
                <w:szCs w:val="28"/>
              </w:rPr>
            </w:pPr>
            <w:r>
              <w:rPr>
                <w:rFonts w:ascii="Times New Roman" w:hAnsi="Times New Roman" w:cs="Times New Roman"/>
                <w:b/>
                <w:bCs/>
                <w:sz w:val="28"/>
                <w:szCs w:val="28"/>
              </w:rPr>
              <w:t>S/N</w:t>
            </w:r>
          </w:p>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To examine the influence of GHRM practices on the Organizational Effectiveness of GTBank</w:t>
            </w: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U</w:t>
            </w:r>
          </w:p>
        </w:tc>
        <w:tc>
          <w:tcPr>
            <w:tcW w:w="42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D</w:t>
            </w:r>
          </w:p>
        </w:tc>
        <w:tc>
          <w:tcPr>
            <w:tcW w:w="574" w:type="dxa"/>
          </w:tcPr>
          <w:p w:rsidR="002E671C" w:rsidRDefault="002C5934">
            <w:pPr>
              <w:jc w:val="center"/>
              <w:rPr>
                <w:rFonts w:ascii="Times New Roman" w:hAnsi="Times New Roman" w:cs="Times New Roman"/>
                <w:b/>
                <w:bCs/>
                <w:sz w:val="28"/>
                <w:szCs w:val="28"/>
              </w:rPr>
            </w:pPr>
            <w:r>
              <w:rPr>
                <w:rFonts w:ascii="Times New Roman" w:hAnsi="Times New Roman" w:cs="Times New Roman"/>
                <w:b/>
                <w:bCs/>
                <w:sz w:val="28"/>
                <w:szCs w:val="28"/>
              </w:rPr>
              <w:t>SD</w:t>
            </w: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8.</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recruitment and selection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9.</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management of organizational culture</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10.</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performance management and appraisal</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11.</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employee empowerment and participation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12.</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reward and compensation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13.</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training and development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B</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To assess the relationship between GHRM practices and Organizational Competitiveness of GTBank</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14.</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job design and analysis are properly practiced in your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15.</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human resource planning is involved in your organizational decision making</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16.</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follows green recruitment and selection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S/N</w:t>
            </w:r>
          </w:p>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U</w:t>
            </w:r>
          </w:p>
        </w:tc>
        <w:tc>
          <w:tcPr>
            <w:tcW w:w="42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D</w:t>
            </w: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SD</w:t>
            </w: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17.</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induction is applied in your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18.</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emphasizes on green performance management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19.</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 xml:space="preserve">Your organization focuses on green training and </w:t>
            </w:r>
            <w:r>
              <w:rPr>
                <w:rFonts w:ascii="Times New Roman" w:hAnsi="Times New Roman" w:cs="Times New Roman"/>
                <w:sz w:val="28"/>
                <w:szCs w:val="28"/>
              </w:rPr>
              <w:lastRenderedPageBreak/>
              <w:t>development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lastRenderedPageBreak/>
              <w:t>20.</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emphasizes on green reward and compensation management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21.</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health and safety management are properly practiced in your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22.</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maintains green employee discipline management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23.</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develops green employee relations</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C</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To evaluate the roles of GHRM practices on Organizational Resilience of GTBank</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24.</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Promote social responsibility towards environment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25.</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Better environmental effectiveness of the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26.</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 xml:space="preserve">Creating a competitive advantage </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27.</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Increase employee loyalty and retention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28.</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Attract and retain green top talent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29.</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Increase profitability and reduce cost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30.</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Reduction in environmental impact of the company</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31.</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Create a culture of having concern for the wellbeing and health of fellow workers</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32.</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 xml:space="preserve">Helps in achieving higher employee job satisfaction and commitment </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33.</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Encourage employees through training and compensation to reduce the use of environmental damaging materials</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bl>
    <w:p w:rsidR="002E671C" w:rsidRDefault="002E671C">
      <w:pP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Section C: Hypothetical Questions</w:t>
      </w:r>
    </w:p>
    <w:tbl>
      <w:tblPr>
        <w:tblStyle w:val="TableGrid"/>
        <w:tblW w:w="9365" w:type="dxa"/>
        <w:tblLayout w:type="fixed"/>
        <w:tblLook w:val="04A0" w:firstRow="1" w:lastRow="0" w:firstColumn="1" w:lastColumn="0" w:noHBand="0" w:noVBand="1"/>
      </w:tblPr>
      <w:tblGrid>
        <w:gridCol w:w="704"/>
        <w:gridCol w:w="6237"/>
        <w:gridCol w:w="574"/>
        <w:gridCol w:w="425"/>
        <w:gridCol w:w="426"/>
        <w:gridCol w:w="425"/>
        <w:gridCol w:w="574"/>
      </w:tblGrid>
      <w:tr w:rsidR="002E671C">
        <w:tc>
          <w:tcPr>
            <w:tcW w:w="704" w:type="dxa"/>
          </w:tcPr>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S/N</w:t>
            </w:r>
          </w:p>
          <w:p w:rsidR="002E671C" w:rsidRDefault="002E671C">
            <w:pPr>
              <w:jc w:val="center"/>
              <w:rPr>
                <w:rFonts w:ascii="Times New Roman" w:hAnsi="Times New Roman" w:cs="Times New Roman"/>
                <w:sz w:val="28"/>
                <w:szCs w:val="28"/>
              </w:rPr>
            </w:pPr>
          </w:p>
        </w:tc>
        <w:tc>
          <w:tcPr>
            <w:tcW w:w="6237" w:type="dxa"/>
          </w:tcPr>
          <w:p w:rsidR="002E671C" w:rsidRDefault="002E671C">
            <w:pPr>
              <w:rPr>
                <w:rFonts w:ascii="Times New Roman" w:hAnsi="Times New Roman" w:cs="Times New Roman"/>
                <w:sz w:val="28"/>
                <w:szCs w:val="28"/>
              </w:rPr>
            </w:pP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SA</w:t>
            </w:r>
          </w:p>
        </w:tc>
        <w:tc>
          <w:tcPr>
            <w:tcW w:w="425"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426" w:type="dxa"/>
          </w:tcPr>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U</w:t>
            </w:r>
          </w:p>
        </w:tc>
        <w:tc>
          <w:tcPr>
            <w:tcW w:w="425"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D</w:t>
            </w:r>
          </w:p>
        </w:tc>
        <w:tc>
          <w:tcPr>
            <w:tcW w:w="574" w:type="dxa"/>
          </w:tcPr>
          <w:p w:rsidR="002E671C" w:rsidRDefault="002C5934">
            <w:pPr>
              <w:jc w:val="center"/>
              <w:rPr>
                <w:rFonts w:ascii="Times New Roman" w:hAnsi="Times New Roman" w:cs="Times New Roman"/>
                <w:b/>
                <w:bCs/>
                <w:sz w:val="28"/>
                <w:szCs w:val="28"/>
              </w:rPr>
            </w:pPr>
            <w:r>
              <w:rPr>
                <w:rFonts w:ascii="Times New Roman" w:hAnsi="Times New Roman" w:cs="Times New Roman"/>
                <w:b/>
                <w:bCs/>
                <w:sz w:val="28"/>
                <w:szCs w:val="28"/>
              </w:rPr>
              <w:t>SD</w:t>
            </w:r>
          </w:p>
        </w:tc>
      </w:tr>
      <w:tr w:rsidR="002E671C">
        <w:tc>
          <w:tcPr>
            <w:tcW w:w="704"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34.</w:t>
            </w:r>
          </w:p>
        </w:tc>
        <w:tc>
          <w:tcPr>
            <w:tcW w:w="6237"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Human Resource Management practices does not have any influence on the organizational effectiveness of GTB</w:t>
            </w:r>
          </w:p>
        </w:tc>
        <w:tc>
          <w:tcPr>
            <w:tcW w:w="574"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426"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704"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35.</w:t>
            </w:r>
          </w:p>
        </w:tc>
        <w:tc>
          <w:tcPr>
            <w:tcW w:w="6237"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 xml:space="preserve">There is no relationship between Green Human </w:t>
            </w:r>
            <w:r>
              <w:rPr>
                <w:rFonts w:ascii="Times New Roman" w:hAnsi="Times New Roman" w:cs="Times New Roman"/>
                <w:sz w:val="28"/>
                <w:szCs w:val="28"/>
              </w:rPr>
              <w:lastRenderedPageBreak/>
              <w:t>Resource Management practices and organizational competitiveness of GTB</w:t>
            </w:r>
          </w:p>
        </w:tc>
        <w:tc>
          <w:tcPr>
            <w:tcW w:w="574"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426"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704"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lastRenderedPageBreak/>
              <w:t>36.</w:t>
            </w:r>
          </w:p>
        </w:tc>
        <w:tc>
          <w:tcPr>
            <w:tcW w:w="6237"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Human Resource Management practices has no role on organizational resilience of GTB</w:t>
            </w:r>
          </w:p>
        </w:tc>
        <w:tc>
          <w:tcPr>
            <w:tcW w:w="574"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426"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bl>
    <w:p w:rsidR="002E671C" w:rsidRDefault="002E671C">
      <w:pPr>
        <w:rPr>
          <w:rFonts w:ascii="Times New Roman" w:hAnsi="Times New Roman" w:cs="Times New Roman"/>
          <w:b/>
          <w:bCs/>
          <w:sz w:val="28"/>
          <w:szCs w:val="28"/>
        </w:rPr>
      </w:pPr>
    </w:p>
    <w:p w:rsidR="002E671C" w:rsidRDefault="002E671C">
      <w:pPr>
        <w:spacing w:line="480" w:lineRule="auto"/>
        <w:jc w:val="both"/>
        <w:rPr>
          <w:rFonts w:ascii="Times New Roman" w:hAnsi="Times New Roman" w:cs="Times New Roman"/>
          <w:sz w:val="24"/>
          <w:szCs w:val="24"/>
        </w:rPr>
      </w:pPr>
    </w:p>
    <w:sectPr w:rsidR="002E671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CB" w:rsidRDefault="009117CB">
      <w:pPr>
        <w:spacing w:after="0" w:line="240" w:lineRule="auto"/>
      </w:pPr>
      <w:r>
        <w:separator/>
      </w:r>
    </w:p>
  </w:endnote>
  <w:endnote w:type="continuationSeparator" w:id="0">
    <w:p w:rsidR="009117CB" w:rsidRDefault="0091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00"/>
    <w:family w:val="roman"/>
    <w:pitch w:val="default"/>
    <w:sig w:usb0="00000000" w:usb1="00000000" w:usb2="00000001" w:usb3="00000000" w:csb0="400001BF" w:csb1="DFF7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45562"/>
    </w:sdtPr>
    <w:sdtContent>
      <w:p w:rsidR="008439DD" w:rsidRDefault="008439DD">
        <w:pPr>
          <w:pStyle w:val="Footer"/>
          <w:jc w:val="center"/>
        </w:pPr>
        <w:r>
          <w:fldChar w:fldCharType="begin"/>
        </w:r>
        <w:r>
          <w:instrText xml:space="preserve"> PAGE   \* MERGEFORMAT </w:instrText>
        </w:r>
        <w:r>
          <w:fldChar w:fldCharType="separate"/>
        </w:r>
        <w:r w:rsidR="002144B5">
          <w:rPr>
            <w:noProof/>
          </w:rPr>
          <w:t>69</w:t>
        </w:r>
        <w:r>
          <w:fldChar w:fldCharType="end"/>
        </w:r>
      </w:p>
    </w:sdtContent>
  </w:sdt>
  <w:p w:rsidR="008439DD" w:rsidRDefault="00843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CB" w:rsidRDefault="009117CB">
      <w:pPr>
        <w:spacing w:after="0" w:line="240" w:lineRule="auto"/>
      </w:pPr>
      <w:r>
        <w:separator/>
      </w:r>
    </w:p>
  </w:footnote>
  <w:footnote w:type="continuationSeparator" w:id="0">
    <w:p w:rsidR="009117CB" w:rsidRDefault="00911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34123"/>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C38AF"/>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num w:numId="1">
    <w:abstractNumId w:val="3"/>
  </w:num>
  <w:num w:numId="2">
    <w:abstractNumId w:val="7"/>
  </w:num>
  <w:num w:numId="3">
    <w:abstractNumId w:val="6"/>
  </w:num>
  <w:num w:numId="4">
    <w:abstractNumId w:val="5"/>
  </w:num>
  <w:num w:numId="5">
    <w:abstractNumId w:val="0"/>
  </w:num>
  <w:num w:numId="6">
    <w:abstractNumId w:val="8"/>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1C"/>
    <w:rsid w:val="000E07B3"/>
    <w:rsid w:val="00135704"/>
    <w:rsid w:val="00171AE5"/>
    <w:rsid w:val="001E5906"/>
    <w:rsid w:val="002144B5"/>
    <w:rsid w:val="002448D1"/>
    <w:rsid w:val="00266629"/>
    <w:rsid w:val="002A7DF9"/>
    <w:rsid w:val="002C5934"/>
    <w:rsid w:val="002E671C"/>
    <w:rsid w:val="002F06A0"/>
    <w:rsid w:val="00300578"/>
    <w:rsid w:val="00355AB5"/>
    <w:rsid w:val="003B61A0"/>
    <w:rsid w:val="00467FC5"/>
    <w:rsid w:val="004A2A25"/>
    <w:rsid w:val="004F119F"/>
    <w:rsid w:val="0050179A"/>
    <w:rsid w:val="00541105"/>
    <w:rsid w:val="005954E7"/>
    <w:rsid w:val="005D7349"/>
    <w:rsid w:val="005E42EE"/>
    <w:rsid w:val="005F592B"/>
    <w:rsid w:val="006269F6"/>
    <w:rsid w:val="006356DD"/>
    <w:rsid w:val="006462FB"/>
    <w:rsid w:val="00684C48"/>
    <w:rsid w:val="006C5CD2"/>
    <w:rsid w:val="00717CE3"/>
    <w:rsid w:val="00726894"/>
    <w:rsid w:val="00727F66"/>
    <w:rsid w:val="007927B6"/>
    <w:rsid w:val="007A386C"/>
    <w:rsid w:val="007D77D2"/>
    <w:rsid w:val="008439DD"/>
    <w:rsid w:val="00856048"/>
    <w:rsid w:val="00867D0D"/>
    <w:rsid w:val="008C6835"/>
    <w:rsid w:val="009117CB"/>
    <w:rsid w:val="00927619"/>
    <w:rsid w:val="009617EB"/>
    <w:rsid w:val="009E4992"/>
    <w:rsid w:val="00A37AE7"/>
    <w:rsid w:val="00AA2000"/>
    <w:rsid w:val="00B00A9F"/>
    <w:rsid w:val="00B22816"/>
    <w:rsid w:val="00B33E36"/>
    <w:rsid w:val="00B63660"/>
    <w:rsid w:val="00B7655B"/>
    <w:rsid w:val="00B9714E"/>
    <w:rsid w:val="00BE1B34"/>
    <w:rsid w:val="00C42C7D"/>
    <w:rsid w:val="00C9422C"/>
    <w:rsid w:val="00CD0BE1"/>
    <w:rsid w:val="00CF387B"/>
    <w:rsid w:val="00D06D68"/>
    <w:rsid w:val="00D632A0"/>
    <w:rsid w:val="00DD4C88"/>
    <w:rsid w:val="00DD6A33"/>
    <w:rsid w:val="00E314BA"/>
    <w:rsid w:val="00E367C0"/>
    <w:rsid w:val="00E36B2A"/>
    <w:rsid w:val="00E757AC"/>
    <w:rsid w:val="00EE2BB2"/>
    <w:rsid w:val="00EE6BB2"/>
    <w:rsid w:val="00EF56BA"/>
    <w:rsid w:val="00F07985"/>
    <w:rsid w:val="00FB14DF"/>
    <w:rsid w:val="00FC2271"/>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0856">
      <w:bodyDiv w:val="1"/>
      <w:marLeft w:val="0"/>
      <w:marRight w:val="0"/>
      <w:marTop w:val="0"/>
      <w:marBottom w:val="0"/>
      <w:divBdr>
        <w:top w:val="none" w:sz="0" w:space="0" w:color="auto"/>
        <w:left w:val="none" w:sz="0" w:space="0" w:color="auto"/>
        <w:bottom w:val="none" w:sz="0" w:space="0" w:color="auto"/>
        <w:right w:val="none" w:sz="0" w:space="0" w:color="auto"/>
      </w:divBdr>
    </w:div>
    <w:div w:id="172114144">
      <w:bodyDiv w:val="1"/>
      <w:marLeft w:val="0"/>
      <w:marRight w:val="0"/>
      <w:marTop w:val="0"/>
      <w:marBottom w:val="0"/>
      <w:divBdr>
        <w:top w:val="none" w:sz="0" w:space="0" w:color="auto"/>
        <w:left w:val="none" w:sz="0" w:space="0" w:color="auto"/>
        <w:bottom w:val="none" w:sz="0" w:space="0" w:color="auto"/>
        <w:right w:val="none" w:sz="0" w:space="0" w:color="auto"/>
      </w:divBdr>
    </w:div>
    <w:div w:id="177357693">
      <w:bodyDiv w:val="1"/>
      <w:marLeft w:val="0"/>
      <w:marRight w:val="0"/>
      <w:marTop w:val="0"/>
      <w:marBottom w:val="0"/>
      <w:divBdr>
        <w:top w:val="none" w:sz="0" w:space="0" w:color="auto"/>
        <w:left w:val="none" w:sz="0" w:space="0" w:color="auto"/>
        <w:bottom w:val="none" w:sz="0" w:space="0" w:color="auto"/>
        <w:right w:val="none" w:sz="0" w:space="0" w:color="auto"/>
      </w:divBdr>
    </w:div>
    <w:div w:id="210388109">
      <w:bodyDiv w:val="1"/>
      <w:marLeft w:val="0"/>
      <w:marRight w:val="0"/>
      <w:marTop w:val="0"/>
      <w:marBottom w:val="0"/>
      <w:divBdr>
        <w:top w:val="none" w:sz="0" w:space="0" w:color="auto"/>
        <w:left w:val="none" w:sz="0" w:space="0" w:color="auto"/>
        <w:bottom w:val="none" w:sz="0" w:space="0" w:color="auto"/>
        <w:right w:val="none" w:sz="0" w:space="0" w:color="auto"/>
      </w:divBdr>
    </w:div>
    <w:div w:id="212885176">
      <w:bodyDiv w:val="1"/>
      <w:marLeft w:val="0"/>
      <w:marRight w:val="0"/>
      <w:marTop w:val="0"/>
      <w:marBottom w:val="0"/>
      <w:divBdr>
        <w:top w:val="none" w:sz="0" w:space="0" w:color="auto"/>
        <w:left w:val="none" w:sz="0" w:space="0" w:color="auto"/>
        <w:bottom w:val="none" w:sz="0" w:space="0" w:color="auto"/>
        <w:right w:val="none" w:sz="0" w:space="0" w:color="auto"/>
      </w:divBdr>
    </w:div>
    <w:div w:id="427434488">
      <w:bodyDiv w:val="1"/>
      <w:marLeft w:val="0"/>
      <w:marRight w:val="0"/>
      <w:marTop w:val="0"/>
      <w:marBottom w:val="0"/>
      <w:divBdr>
        <w:top w:val="none" w:sz="0" w:space="0" w:color="auto"/>
        <w:left w:val="none" w:sz="0" w:space="0" w:color="auto"/>
        <w:bottom w:val="none" w:sz="0" w:space="0" w:color="auto"/>
        <w:right w:val="none" w:sz="0" w:space="0" w:color="auto"/>
      </w:divBdr>
    </w:div>
    <w:div w:id="456072555">
      <w:bodyDiv w:val="1"/>
      <w:marLeft w:val="0"/>
      <w:marRight w:val="0"/>
      <w:marTop w:val="0"/>
      <w:marBottom w:val="0"/>
      <w:divBdr>
        <w:top w:val="none" w:sz="0" w:space="0" w:color="auto"/>
        <w:left w:val="none" w:sz="0" w:space="0" w:color="auto"/>
        <w:bottom w:val="none" w:sz="0" w:space="0" w:color="auto"/>
        <w:right w:val="none" w:sz="0" w:space="0" w:color="auto"/>
      </w:divBdr>
      <w:divsChild>
        <w:div w:id="461122914">
          <w:marLeft w:val="0"/>
          <w:marRight w:val="0"/>
          <w:marTop w:val="0"/>
          <w:marBottom w:val="0"/>
          <w:divBdr>
            <w:top w:val="none" w:sz="0" w:space="0" w:color="auto"/>
            <w:left w:val="none" w:sz="0" w:space="0" w:color="auto"/>
            <w:bottom w:val="none" w:sz="0" w:space="0" w:color="auto"/>
            <w:right w:val="none" w:sz="0" w:space="0" w:color="auto"/>
          </w:divBdr>
          <w:divsChild>
            <w:div w:id="865799983">
              <w:marLeft w:val="0"/>
              <w:marRight w:val="0"/>
              <w:marTop w:val="0"/>
              <w:marBottom w:val="0"/>
              <w:divBdr>
                <w:top w:val="none" w:sz="0" w:space="0" w:color="auto"/>
                <w:left w:val="none" w:sz="0" w:space="0" w:color="auto"/>
                <w:bottom w:val="none" w:sz="0" w:space="0" w:color="auto"/>
                <w:right w:val="none" w:sz="0" w:space="0" w:color="auto"/>
              </w:divBdr>
              <w:divsChild>
                <w:div w:id="1956793848">
                  <w:marLeft w:val="0"/>
                  <w:marRight w:val="0"/>
                  <w:marTop w:val="0"/>
                  <w:marBottom w:val="0"/>
                  <w:divBdr>
                    <w:top w:val="none" w:sz="0" w:space="0" w:color="auto"/>
                    <w:left w:val="none" w:sz="0" w:space="0" w:color="auto"/>
                    <w:bottom w:val="none" w:sz="0" w:space="0" w:color="auto"/>
                    <w:right w:val="none" w:sz="0" w:space="0" w:color="auto"/>
                  </w:divBdr>
                  <w:divsChild>
                    <w:div w:id="1965844443">
                      <w:marLeft w:val="0"/>
                      <w:marRight w:val="0"/>
                      <w:marTop w:val="0"/>
                      <w:marBottom w:val="0"/>
                      <w:divBdr>
                        <w:top w:val="none" w:sz="0" w:space="0" w:color="auto"/>
                        <w:left w:val="none" w:sz="0" w:space="0" w:color="auto"/>
                        <w:bottom w:val="none" w:sz="0" w:space="0" w:color="auto"/>
                        <w:right w:val="none" w:sz="0" w:space="0" w:color="auto"/>
                      </w:divBdr>
                      <w:divsChild>
                        <w:div w:id="1820026934">
                          <w:marLeft w:val="0"/>
                          <w:marRight w:val="0"/>
                          <w:marTop w:val="0"/>
                          <w:marBottom w:val="0"/>
                          <w:divBdr>
                            <w:top w:val="none" w:sz="0" w:space="0" w:color="auto"/>
                            <w:left w:val="none" w:sz="0" w:space="0" w:color="auto"/>
                            <w:bottom w:val="none" w:sz="0" w:space="0" w:color="auto"/>
                            <w:right w:val="none" w:sz="0" w:space="0" w:color="auto"/>
                          </w:divBdr>
                          <w:divsChild>
                            <w:div w:id="228729284">
                              <w:marLeft w:val="0"/>
                              <w:marRight w:val="0"/>
                              <w:marTop w:val="0"/>
                              <w:marBottom w:val="0"/>
                              <w:divBdr>
                                <w:top w:val="none" w:sz="0" w:space="0" w:color="auto"/>
                                <w:left w:val="none" w:sz="0" w:space="0" w:color="auto"/>
                                <w:bottom w:val="none" w:sz="0" w:space="0" w:color="auto"/>
                                <w:right w:val="none" w:sz="0" w:space="0" w:color="auto"/>
                              </w:divBdr>
                              <w:divsChild>
                                <w:div w:id="910772112">
                                  <w:marLeft w:val="0"/>
                                  <w:marRight w:val="0"/>
                                  <w:marTop w:val="0"/>
                                  <w:marBottom w:val="0"/>
                                  <w:divBdr>
                                    <w:top w:val="none" w:sz="0" w:space="0" w:color="auto"/>
                                    <w:left w:val="none" w:sz="0" w:space="0" w:color="auto"/>
                                    <w:bottom w:val="none" w:sz="0" w:space="0" w:color="auto"/>
                                    <w:right w:val="none" w:sz="0" w:space="0" w:color="auto"/>
                                  </w:divBdr>
                                  <w:divsChild>
                                    <w:div w:id="1853572502">
                                      <w:marLeft w:val="0"/>
                                      <w:marRight w:val="0"/>
                                      <w:marTop w:val="0"/>
                                      <w:marBottom w:val="0"/>
                                      <w:divBdr>
                                        <w:top w:val="none" w:sz="0" w:space="0" w:color="auto"/>
                                        <w:left w:val="none" w:sz="0" w:space="0" w:color="auto"/>
                                        <w:bottom w:val="none" w:sz="0" w:space="0" w:color="auto"/>
                                        <w:right w:val="none" w:sz="0" w:space="0" w:color="auto"/>
                                      </w:divBdr>
                                      <w:divsChild>
                                        <w:div w:id="1934315115">
                                          <w:marLeft w:val="0"/>
                                          <w:marRight w:val="0"/>
                                          <w:marTop w:val="0"/>
                                          <w:marBottom w:val="0"/>
                                          <w:divBdr>
                                            <w:top w:val="none" w:sz="0" w:space="0" w:color="auto"/>
                                            <w:left w:val="none" w:sz="0" w:space="0" w:color="auto"/>
                                            <w:bottom w:val="none" w:sz="0" w:space="0" w:color="auto"/>
                                            <w:right w:val="none" w:sz="0" w:space="0" w:color="auto"/>
                                          </w:divBdr>
                                          <w:divsChild>
                                            <w:div w:id="1709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381538">
      <w:bodyDiv w:val="1"/>
      <w:marLeft w:val="0"/>
      <w:marRight w:val="0"/>
      <w:marTop w:val="0"/>
      <w:marBottom w:val="0"/>
      <w:divBdr>
        <w:top w:val="none" w:sz="0" w:space="0" w:color="auto"/>
        <w:left w:val="none" w:sz="0" w:space="0" w:color="auto"/>
        <w:bottom w:val="none" w:sz="0" w:space="0" w:color="auto"/>
        <w:right w:val="none" w:sz="0" w:space="0" w:color="auto"/>
      </w:divBdr>
    </w:div>
    <w:div w:id="596014087">
      <w:bodyDiv w:val="1"/>
      <w:marLeft w:val="0"/>
      <w:marRight w:val="0"/>
      <w:marTop w:val="0"/>
      <w:marBottom w:val="0"/>
      <w:divBdr>
        <w:top w:val="none" w:sz="0" w:space="0" w:color="auto"/>
        <w:left w:val="none" w:sz="0" w:space="0" w:color="auto"/>
        <w:bottom w:val="none" w:sz="0" w:space="0" w:color="auto"/>
        <w:right w:val="none" w:sz="0" w:space="0" w:color="auto"/>
      </w:divBdr>
    </w:div>
    <w:div w:id="683896740">
      <w:bodyDiv w:val="1"/>
      <w:marLeft w:val="0"/>
      <w:marRight w:val="0"/>
      <w:marTop w:val="0"/>
      <w:marBottom w:val="0"/>
      <w:divBdr>
        <w:top w:val="none" w:sz="0" w:space="0" w:color="auto"/>
        <w:left w:val="none" w:sz="0" w:space="0" w:color="auto"/>
        <w:bottom w:val="none" w:sz="0" w:space="0" w:color="auto"/>
        <w:right w:val="none" w:sz="0" w:space="0" w:color="auto"/>
      </w:divBdr>
    </w:div>
    <w:div w:id="741485701">
      <w:bodyDiv w:val="1"/>
      <w:marLeft w:val="0"/>
      <w:marRight w:val="0"/>
      <w:marTop w:val="0"/>
      <w:marBottom w:val="0"/>
      <w:divBdr>
        <w:top w:val="none" w:sz="0" w:space="0" w:color="auto"/>
        <w:left w:val="none" w:sz="0" w:space="0" w:color="auto"/>
        <w:bottom w:val="none" w:sz="0" w:space="0" w:color="auto"/>
        <w:right w:val="none" w:sz="0" w:space="0" w:color="auto"/>
      </w:divBdr>
      <w:divsChild>
        <w:div w:id="1270551765">
          <w:marLeft w:val="0"/>
          <w:marRight w:val="0"/>
          <w:marTop w:val="0"/>
          <w:marBottom w:val="0"/>
          <w:divBdr>
            <w:top w:val="none" w:sz="0" w:space="0" w:color="auto"/>
            <w:left w:val="none" w:sz="0" w:space="0" w:color="auto"/>
            <w:bottom w:val="none" w:sz="0" w:space="0" w:color="auto"/>
            <w:right w:val="none" w:sz="0" w:space="0" w:color="auto"/>
          </w:divBdr>
          <w:divsChild>
            <w:div w:id="600840132">
              <w:marLeft w:val="0"/>
              <w:marRight w:val="0"/>
              <w:marTop w:val="0"/>
              <w:marBottom w:val="0"/>
              <w:divBdr>
                <w:top w:val="none" w:sz="0" w:space="0" w:color="auto"/>
                <w:left w:val="none" w:sz="0" w:space="0" w:color="auto"/>
                <w:bottom w:val="none" w:sz="0" w:space="0" w:color="auto"/>
                <w:right w:val="none" w:sz="0" w:space="0" w:color="auto"/>
              </w:divBdr>
              <w:divsChild>
                <w:div w:id="1428960761">
                  <w:marLeft w:val="0"/>
                  <w:marRight w:val="0"/>
                  <w:marTop w:val="0"/>
                  <w:marBottom w:val="0"/>
                  <w:divBdr>
                    <w:top w:val="none" w:sz="0" w:space="0" w:color="auto"/>
                    <w:left w:val="none" w:sz="0" w:space="0" w:color="auto"/>
                    <w:bottom w:val="none" w:sz="0" w:space="0" w:color="auto"/>
                    <w:right w:val="none" w:sz="0" w:space="0" w:color="auto"/>
                  </w:divBdr>
                  <w:divsChild>
                    <w:div w:id="1797723103">
                      <w:marLeft w:val="0"/>
                      <w:marRight w:val="0"/>
                      <w:marTop w:val="0"/>
                      <w:marBottom w:val="0"/>
                      <w:divBdr>
                        <w:top w:val="none" w:sz="0" w:space="0" w:color="auto"/>
                        <w:left w:val="none" w:sz="0" w:space="0" w:color="auto"/>
                        <w:bottom w:val="none" w:sz="0" w:space="0" w:color="auto"/>
                        <w:right w:val="none" w:sz="0" w:space="0" w:color="auto"/>
                      </w:divBdr>
                      <w:divsChild>
                        <w:div w:id="769355760">
                          <w:marLeft w:val="0"/>
                          <w:marRight w:val="0"/>
                          <w:marTop w:val="0"/>
                          <w:marBottom w:val="0"/>
                          <w:divBdr>
                            <w:top w:val="none" w:sz="0" w:space="0" w:color="auto"/>
                            <w:left w:val="none" w:sz="0" w:space="0" w:color="auto"/>
                            <w:bottom w:val="none" w:sz="0" w:space="0" w:color="auto"/>
                            <w:right w:val="none" w:sz="0" w:space="0" w:color="auto"/>
                          </w:divBdr>
                          <w:divsChild>
                            <w:div w:id="1244029109">
                              <w:marLeft w:val="0"/>
                              <w:marRight w:val="0"/>
                              <w:marTop w:val="0"/>
                              <w:marBottom w:val="0"/>
                              <w:divBdr>
                                <w:top w:val="none" w:sz="0" w:space="0" w:color="auto"/>
                                <w:left w:val="none" w:sz="0" w:space="0" w:color="auto"/>
                                <w:bottom w:val="none" w:sz="0" w:space="0" w:color="auto"/>
                                <w:right w:val="none" w:sz="0" w:space="0" w:color="auto"/>
                              </w:divBdr>
                              <w:divsChild>
                                <w:div w:id="298607782">
                                  <w:marLeft w:val="0"/>
                                  <w:marRight w:val="0"/>
                                  <w:marTop w:val="0"/>
                                  <w:marBottom w:val="0"/>
                                  <w:divBdr>
                                    <w:top w:val="none" w:sz="0" w:space="0" w:color="auto"/>
                                    <w:left w:val="none" w:sz="0" w:space="0" w:color="auto"/>
                                    <w:bottom w:val="none" w:sz="0" w:space="0" w:color="auto"/>
                                    <w:right w:val="none" w:sz="0" w:space="0" w:color="auto"/>
                                  </w:divBdr>
                                  <w:divsChild>
                                    <w:div w:id="793405054">
                                      <w:marLeft w:val="0"/>
                                      <w:marRight w:val="0"/>
                                      <w:marTop w:val="0"/>
                                      <w:marBottom w:val="0"/>
                                      <w:divBdr>
                                        <w:top w:val="none" w:sz="0" w:space="0" w:color="auto"/>
                                        <w:left w:val="none" w:sz="0" w:space="0" w:color="auto"/>
                                        <w:bottom w:val="none" w:sz="0" w:space="0" w:color="auto"/>
                                        <w:right w:val="none" w:sz="0" w:space="0" w:color="auto"/>
                                      </w:divBdr>
                                      <w:divsChild>
                                        <w:div w:id="388647005">
                                          <w:marLeft w:val="0"/>
                                          <w:marRight w:val="0"/>
                                          <w:marTop w:val="0"/>
                                          <w:marBottom w:val="0"/>
                                          <w:divBdr>
                                            <w:top w:val="none" w:sz="0" w:space="0" w:color="auto"/>
                                            <w:left w:val="none" w:sz="0" w:space="0" w:color="auto"/>
                                            <w:bottom w:val="none" w:sz="0" w:space="0" w:color="auto"/>
                                            <w:right w:val="none" w:sz="0" w:space="0" w:color="auto"/>
                                          </w:divBdr>
                                          <w:divsChild>
                                            <w:div w:id="231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15157">
      <w:bodyDiv w:val="1"/>
      <w:marLeft w:val="0"/>
      <w:marRight w:val="0"/>
      <w:marTop w:val="0"/>
      <w:marBottom w:val="0"/>
      <w:divBdr>
        <w:top w:val="none" w:sz="0" w:space="0" w:color="auto"/>
        <w:left w:val="none" w:sz="0" w:space="0" w:color="auto"/>
        <w:bottom w:val="none" w:sz="0" w:space="0" w:color="auto"/>
        <w:right w:val="none" w:sz="0" w:space="0" w:color="auto"/>
      </w:divBdr>
    </w:div>
    <w:div w:id="936521974">
      <w:bodyDiv w:val="1"/>
      <w:marLeft w:val="0"/>
      <w:marRight w:val="0"/>
      <w:marTop w:val="0"/>
      <w:marBottom w:val="0"/>
      <w:divBdr>
        <w:top w:val="none" w:sz="0" w:space="0" w:color="auto"/>
        <w:left w:val="none" w:sz="0" w:space="0" w:color="auto"/>
        <w:bottom w:val="none" w:sz="0" w:space="0" w:color="auto"/>
        <w:right w:val="none" w:sz="0" w:space="0" w:color="auto"/>
      </w:divBdr>
    </w:div>
    <w:div w:id="1004940982">
      <w:bodyDiv w:val="1"/>
      <w:marLeft w:val="0"/>
      <w:marRight w:val="0"/>
      <w:marTop w:val="0"/>
      <w:marBottom w:val="0"/>
      <w:divBdr>
        <w:top w:val="none" w:sz="0" w:space="0" w:color="auto"/>
        <w:left w:val="none" w:sz="0" w:space="0" w:color="auto"/>
        <w:bottom w:val="none" w:sz="0" w:space="0" w:color="auto"/>
        <w:right w:val="none" w:sz="0" w:space="0" w:color="auto"/>
      </w:divBdr>
    </w:div>
    <w:div w:id="1018849862">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28550418">
      <w:bodyDiv w:val="1"/>
      <w:marLeft w:val="0"/>
      <w:marRight w:val="0"/>
      <w:marTop w:val="0"/>
      <w:marBottom w:val="0"/>
      <w:divBdr>
        <w:top w:val="none" w:sz="0" w:space="0" w:color="auto"/>
        <w:left w:val="none" w:sz="0" w:space="0" w:color="auto"/>
        <w:bottom w:val="none" w:sz="0" w:space="0" w:color="auto"/>
        <w:right w:val="none" w:sz="0" w:space="0" w:color="auto"/>
      </w:divBdr>
      <w:divsChild>
        <w:div w:id="1373993230">
          <w:marLeft w:val="0"/>
          <w:marRight w:val="0"/>
          <w:marTop w:val="0"/>
          <w:marBottom w:val="0"/>
          <w:divBdr>
            <w:top w:val="none" w:sz="0" w:space="0" w:color="auto"/>
            <w:left w:val="none" w:sz="0" w:space="0" w:color="auto"/>
            <w:bottom w:val="none" w:sz="0" w:space="0" w:color="auto"/>
            <w:right w:val="none" w:sz="0" w:space="0" w:color="auto"/>
          </w:divBdr>
          <w:divsChild>
            <w:div w:id="279842502">
              <w:marLeft w:val="0"/>
              <w:marRight w:val="0"/>
              <w:marTop w:val="0"/>
              <w:marBottom w:val="0"/>
              <w:divBdr>
                <w:top w:val="none" w:sz="0" w:space="0" w:color="auto"/>
                <w:left w:val="none" w:sz="0" w:space="0" w:color="auto"/>
                <w:bottom w:val="none" w:sz="0" w:space="0" w:color="auto"/>
                <w:right w:val="none" w:sz="0" w:space="0" w:color="auto"/>
              </w:divBdr>
              <w:divsChild>
                <w:div w:id="1554538059">
                  <w:marLeft w:val="0"/>
                  <w:marRight w:val="0"/>
                  <w:marTop w:val="0"/>
                  <w:marBottom w:val="0"/>
                  <w:divBdr>
                    <w:top w:val="none" w:sz="0" w:space="0" w:color="auto"/>
                    <w:left w:val="none" w:sz="0" w:space="0" w:color="auto"/>
                    <w:bottom w:val="none" w:sz="0" w:space="0" w:color="auto"/>
                    <w:right w:val="none" w:sz="0" w:space="0" w:color="auto"/>
                  </w:divBdr>
                  <w:divsChild>
                    <w:div w:id="690649619">
                      <w:marLeft w:val="0"/>
                      <w:marRight w:val="0"/>
                      <w:marTop w:val="0"/>
                      <w:marBottom w:val="0"/>
                      <w:divBdr>
                        <w:top w:val="none" w:sz="0" w:space="0" w:color="auto"/>
                        <w:left w:val="none" w:sz="0" w:space="0" w:color="auto"/>
                        <w:bottom w:val="none" w:sz="0" w:space="0" w:color="auto"/>
                        <w:right w:val="none" w:sz="0" w:space="0" w:color="auto"/>
                      </w:divBdr>
                      <w:divsChild>
                        <w:div w:id="418452185">
                          <w:marLeft w:val="0"/>
                          <w:marRight w:val="0"/>
                          <w:marTop w:val="0"/>
                          <w:marBottom w:val="0"/>
                          <w:divBdr>
                            <w:top w:val="none" w:sz="0" w:space="0" w:color="auto"/>
                            <w:left w:val="none" w:sz="0" w:space="0" w:color="auto"/>
                            <w:bottom w:val="none" w:sz="0" w:space="0" w:color="auto"/>
                            <w:right w:val="none" w:sz="0" w:space="0" w:color="auto"/>
                          </w:divBdr>
                          <w:divsChild>
                            <w:div w:id="422529820">
                              <w:marLeft w:val="0"/>
                              <w:marRight w:val="0"/>
                              <w:marTop w:val="0"/>
                              <w:marBottom w:val="0"/>
                              <w:divBdr>
                                <w:top w:val="none" w:sz="0" w:space="0" w:color="auto"/>
                                <w:left w:val="none" w:sz="0" w:space="0" w:color="auto"/>
                                <w:bottom w:val="none" w:sz="0" w:space="0" w:color="auto"/>
                                <w:right w:val="none" w:sz="0" w:space="0" w:color="auto"/>
                              </w:divBdr>
                              <w:divsChild>
                                <w:div w:id="1206261956">
                                  <w:marLeft w:val="0"/>
                                  <w:marRight w:val="0"/>
                                  <w:marTop w:val="0"/>
                                  <w:marBottom w:val="0"/>
                                  <w:divBdr>
                                    <w:top w:val="none" w:sz="0" w:space="0" w:color="auto"/>
                                    <w:left w:val="none" w:sz="0" w:space="0" w:color="auto"/>
                                    <w:bottom w:val="none" w:sz="0" w:space="0" w:color="auto"/>
                                    <w:right w:val="none" w:sz="0" w:space="0" w:color="auto"/>
                                  </w:divBdr>
                                  <w:divsChild>
                                    <w:div w:id="1114129948">
                                      <w:marLeft w:val="0"/>
                                      <w:marRight w:val="0"/>
                                      <w:marTop w:val="0"/>
                                      <w:marBottom w:val="0"/>
                                      <w:divBdr>
                                        <w:top w:val="none" w:sz="0" w:space="0" w:color="auto"/>
                                        <w:left w:val="none" w:sz="0" w:space="0" w:color="auto"/>
                                        <w:bottom w:val="none" w:sz="0" w:space="0" w:color="auto"/>
                                        <w:right w:val="none" w:sz="0" w:space="0" w:color="auto"/>
                                      </w:divBdr>
                                      <w:divsChild>
                                        <w:div w:id="1834754946">
                                          <w:marLeft w:val="0"/>
                                          <w:marRight w:val="0"/>
                                          <w:marTop w:val="0"/>
                                          <w:marBottom w:val="0"/>
                                          <w:divBdr>
                                            <w:top w:val="none" w:sz="0" w:space="0" w:color="auto"/>
                                            <w:left w:val="none" w:sz="0" w:space="0" w:color="auto"/>
                                            <w:bottom w:val="none" w:sz="0" w:space="0" w:color="auto"/>
                                            <w:right w:val="none" w:sz="0" w:space="0" w:color="auto"/>
                                          </w:divBdr>
                                          <w:divsChild>
                                            <w:div w:id="15972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173370">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82095768">
      <w:bodyDiv w:val="1"/>
      <w:marLeft w:val="0"/>
      <w:marRight w:val="0"/>
      <w:marTop w:val="0"/>
      <w:marBottom w:val="0"/>
      <w:divBdr>
        <w:top w:val="none" w:sz="0" w:space="0" w:color="auto"/>
        <w:left w:val="none" w:sz="0" w:space="0" w:color="auto"/>
        <w:bottom w:val="none" w:sz="0" w:space="0" w:color="auto"/>
        <w:right w:val="none" w:sz="0" w:space="0" w:color="auto"/>
      </w:divBdr>
    </w:div>
    <w:div w:id="1387410707">
      <w:bodyDiv w:val="1"/>
      <w:marLeft w:val="0"/>
      <w:marRight w:val="0"/>
      <w:marTop w:val="0"/>
      <w:marBottom w:val="0"/>
      <w:divBdr>
        <w:top w:val="none" w:sz="0" w:space="0" w:color="auto"/>
        <w:left w:val="none" w:sz="0" w:space="0" w:color="auto"/>
        <w:bottom w:val="none" w:sz="0" w:space="0" w:color="auto"/>
        <w:right w:val="none" w:sz="0" w:space="0" w:color="auto"/>
      </w:divBdr>
      <w:divsChild>
        <w:div w:id="1288195049">
          <w:marLeft w:val="0"/>
          <w:marRight w:val="0"/>
          <w:marTop w:val="0"/>
          <w:marBottom w:val="0"/>
          <w:divBdr>
            <w:top w:val="none" w:sz="0" w:space="0" w:color="auto"/>
            <w:left w:val="none" w:sz="0" w:space="0" w:color="auto"/>
            <w:bottom w:val="none" w:sz="0" w:space="0" w:color="auto"/>
            <w:right w:val="none" w:sz="0" w:space="0" w:color="auto"/>
          </w:divBdr>
          <w:divsChild>
            <w:div w:id="1880894859">
              <w:marLeft w:val="0"/>
              <w:marRight w:val="0"/>
              <w:marTop w:val="0"/>
              <w:marBottom w:val="0"/>
              <w:divBdr>
                <w:top w:val="none" w:sz="0" w:space="0" w:color="auto"/>
                <w:left w:val="none" w:sz="0" w:space="0" w:color="auto"/>
                <w:bottom w:val="none" w:sz="0" w:space="0" w:color="auto"/>
                <w:right w:val="none" w:sz="0" w:space="0" w:color="auto"/>
              </w:divBdr>
              <w:divsChild>
                <w:div w:id="128862122">
                  <w:marLeft w:val="0"/>
                  <w:marRight w:val="0"/>
                  <w:marTop w:val="0"/>
                  <w:marBottom w:val="0"/>
                  <w:divBdr>
                    <w:top w:val="none" w:sz="0" w:space="0" w:color="auto"/>
                    <w:left w:val="none" w:sz="0" w:space="0" w:color="auto"/>
                    <w:bottom w:val="none" w:sz="0" w:space="0" w:color="auto"/>
                    <w:right w:val="none" w:sz="0" w:space="0" w:color="auto"/>
                  </w:divBdr>
                  <w:divsChild>
                    <w:div w:id="2139644064">
                      <w:marLeft w:val="0"/>
                      <w:marRight w:val="0"/>
                      <w:marTop w:val="0"/>
                      <w:marBottom w:val="0"/>
                      <w:divBdr>
                        <w:top w:val="none" w:sz="0" w:space="0" w:color="auto"/>
                        <w:left w:val="none" w:sz="0" w:space="0" w:color="auto"/>
                        <w:bottom w:val="none" w:sz="0" w:space="0" w:color="auto"/>
                        <w:right w:val="none" w:sz="0" w:space="0" w:color="auto"/>
                      </w:divBdr>
                      <w:divsChild>
                        <w:div w:id="1623070271">
                          <w:marLeft w:val="0"/>
                          <w:marRight w:val="0"/>
                          <w:marTop w:val="0"/>
                          <w:marBottom w:val="0"/>
                          <w:divBdr>
                            <w:top w:val="none" w:sz="0" w:space="0" w:color="auto"/>
                            <w:left w:val="none" w:sz="0" w:space="0" w:color="auto"/>
                            <w:bottom w:val="none" w:sz="0" w:space="0" w:color="auto"/>
                            <w:right w:val="none" w:sz="0" w:space="0" w:color="auto"/>
                          </w:divBdr>
                          <w:divsChild>
                            <w:div w:id="128596772">
                              <w:marLeft w:val="0"/>
                              <w:marRight w:val="0"/>
                              <w:marTop w:val="0"/>
                              <w:marBottom w:val="0"/>
                              <w:divBdr>
                                <w:top w:val="none" w:sz="0" w:space="0" w:color="auto"/>
                                <w:left w:val="none" w:sz="0" w:space="0" w:color="auto"/>
                                <w:bottom w:val="none" w:sz="0" w:space="0" w:color="auto"/>
                                <w:right w:val="none" w:sz="0" w:space="0" w:color="auto"/>
                              </w:divBdr>
                              <w:divsChild>
                                <w:div w:id="393740615">
                                  <w:marLeft w:val="0"/>
                                  <w:marRight w:val="0"/>
                                  <w:marTop w:val="0"/>
                                  <w:marBottom w:val="0"/>
                                  <w:divBdr>
                                    <w:top w:val="none" w:sz="0" w:space="0" w:color="auto"/>
                                    <w:left w:val="none" w:sz="0" w:space="0" w:color="auto"/>
                                    <w:bottom w:val="none" w:sz="0" w:space="0" w:color="auto"/>
                                    <w:right w:val="none" w:sz="0" w:space="0" w:color="auto"/>
                                  </w:divBdr>
                                  <w:divsChild>
                                    <w:div w:id="2005862414">
                                      <w:marLeft w:val="0"/>
                                      <w:marRight w:val="0"/>
                                      <w:marTop w:val="0"/>
                                      <w:marBottom w:val="0"/>
                                      <w:divBdr>
                                        <w:top w:val="none" w:sz="0" w:space="0" w:color="auto"/>
                                        <w:left w:val="none" w:sz="0" w:space="0" w:color="auto"/>
                                        <w:bottom w:val="none" w:sz="0" w:space="0" w:color="auto"/>
                                        <w:right w:val="none" w:sz="0" w:space="0" w:color="auto"/>
                                      </w:divBdr>
                                      <w:divsChild>
                                        <w:div w:id="893002110">
                                          <w:marLeft w:val="0"/>
                                          <w:marRight w:val="0"/>
                                          <w:marTop w:val="0"/>
                                          <w:marBottom w:val="0"/>
                                          <w:divBdr>
                                            <w:top w:val="none" w:sz="0" w:space="0" w:color="auto"/>
                                            <w:left w:val="none" w:sz="0" w:space="0" w:color="auto"/>
                                            <w:bottom w:val="none" w:sz="0" w:space="0" w:color="auto"/>
                                            <w:right w:val="none" w:sz="0" w:space="0" w:color="auto"/>
                                          </w:divBdr>
                                          <w:divsChild>
                                            <w:div w:id="1661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833820">
      <w:bodyDiv w:val="1"/>
      <w:marLeft w:val="0"/>
      <w:marRight w:val="0"/>
      <w:marTop w:val="0"/>
      <w:marBottom w:val="0"/>
      <w:divBdr>
        <w:top w:val="none" w:sz="0" w:space="0" w:color="auto"/>
        <w:left w:val="none" w:sz="0" w:space="0" w:color="auto"/>
        <w:bottom w:val="none" w:sz="0" w:space="0" w:color="auto"/>
        <w:right w:val="none" w:sz="0" w:space="0" w:color="auto"/>
      </w:divBdr>
    </w:div>
    <w:div w:id="1623537529">
      <w:bodyDiv w:val="1"/>
      <w:marLeft w:val="0"/>
      <w:marRight w:val="0"/>
      <w:marTop w:val="0"/>
      <w:marBottom w:val="0"/>
      <w:divBdr>
        <w:top w:val="none" w:sz="0" w:space="0" w:color="auto"/>
        <w:left w:val="none" w:sz="0" w:space="0" w:color="auto"/>
        <w:bottom w:val="none" w:sz="0" w:space="0" w:color="auto"/>
        <w:right w:val="none" w:sz="0" w:space="0" w:color="auto"/>
      </w:divBdr>
      <w:divsChild>
        <w:div w:id="973753015">
          <w:marLeft w:val="0"/>
          <w:marRight w:val="0"/>
          <w:marTop w:val="0"/>
          <w:marBottom w:val="0"/>
          <w:divBdr>
            <w:top w:val="none" w:sz="0" w:space="0" w:color="auto"/>
            <w:left w:val="none" w:sz="0" w:space="0" w:color="auto"/>
            <w:bottom w:val="none" w:sz="0" w:space="0" w:color="auto"/>
            <w:right w:val="none" w:sz="0" w:space="0" w:color="auto"/>
          </w:divBdr>
          <w:divsChild>
            <w:div w:id="315039968">
              <w:marLeft w:val="0"/>
              <w:marRight w:val="0"/>
              <w:marTop w:val="0"/>
              <w:marBottom w:val="0"/>
              <w:divBdr>
                <w:top w:val="none" w:sz="0" w:space="0" w:color="auto"/>
                <w:left w:val="none" w:sz="0" w:space="0" w:color="auto"/>
                <w:bottom w:val="none" w:sz="0" w:space="0" w:color="auto"/>
                <w:right w:val="none" w:sz="0" w:space="0" w:color="auto"/>
              </w:divBdr>
              <w:divsChild>
                <w:div w:id="1989555671">
                  <w:marLeft w:val="0"/>
                  <w:marRight w:val="0"/>
                  <w:marTop w:val="0"/>
                  <w:marBottom w:val="0"/>
                  <w:divBdr>
                    <w:top w:val="none" w:sz="0" w:space="0" w:color="auto"/>
                    <w:left w:val="none" w:sz="0" w:space="0" w:color="auto"/>
                    <w:bottom w:val="none" w:sz="0" w:space="0" w:color="auto"/>
                    <w:right w:val="none" w:sz="0" w:space="0" w:color="auto"/>
                  </w:divBdr>
                  <w:divsChild>
                    <w:div w:id="1313870716">
                      <w:marLeft w:val="0"/>
                      <w:marRight w:val="0"/>
                      <w:marTop w:val="0"/>
                      <w:marBottom w:val="0"/>
                      <w:divBdr>
                        <w:top w:val="none" w:sz="0" w:space="0" w:color="auto"/>
                        <w:left w:val="none" w:sz="0" w:space="0" w:color="auto"/>
                        <w:bottom w:val="none" w:sz="0" w:space="0" w:color="auto"/>
                        <w:right w:val="none" w:sz="0" w:space="0" w:color="auto"/>
                      </w:divBdr>
                      <w:divsChild>
                        <w:div w:id="816799129">
                          <w:marLeft w:val="0"/>
                          <w:marRight w:val="0"/>
                          <w:marTop w:val="0"/>
                          <w:marBottom w:val="0"/>
                          <w:divBdr>
                            <w:top w:val="none" w:sz="0" w:space="0" w:color="auto"/>
                            <w:left w:val="none" w:sz="0" w:space="0" w:color="auto"/>
                            <w:bottom w:val="none" w:sz="0" w:space="0" w:color="auto"/>
                            <w:right w:val="none" w:sz="0" w:space="0" w:color="auto"/>
                          </w:divBdr>
                          <w:divsChild>
                            <w:div w:id="1016617271">
                              <w:marLeft w:val="0"/>
                              <w:marRight w:val="0"/>
                              <w:marTop w:val="0"/>
                              <w:marBottom w:val="0"/>
                              <w:divBdr>
                                <w:top w:val="none" w:sz="0" w:space="0" w:color="auto"/>
                                <w:left w:val="none" w:sz="0" w:space="0" w:color="auto"/>
                                <w:bottom w:val="none" w:sz="0" w:space="0" w:color="auto"/>
                                <w:right w:val="none" w:sz="0" w:space="0" w:color="auto"/>
                              </w:divBdr>
                              <w:divsChild>
                                <w:div w:id="1974169179">
                                  <w:marLeft w:val="0"/>
                                  <w:marRight w:val="0"/>
                                  <w:marTop w:val="0"/>
                                  <w:marBottom w:val="0"/>
                                  <w:divBdr>
                                    <w:top w:val="none" w:sz="0" w:space="0" w:color="auto"/>
                                    <w:left w:val="none" w:sz="0" w:space="0" w:color="auto"/>
                                    <w:bottom w:val="none" w:sz="0" w:space="0" w:color="auto"/>
                                    <w:right w:val="none" w:sz="0" w:space="0" w:color="auto"/>
                                  </w:divBdr>
                                  <w:divsChild>
                                    <w:div w:id="1207375503">
                                      <w:marLeft w:val="0"/>
                                      <w:marRight w:val="0"/>
                                      <w:marTop w:val="0"/>
                                      <w:marBottom w:val="0"/>
                                      <w:divBdr>
                                        <w:top w:val="none" w:sz="0" w:space="0" w:color="auto"/>
                                        <w:left w:val="none" w:sz="0" w:space="0" w:color="auto"/>
                                        <w:bottom w:val="none" w:sz="0" w:space="0" w:color="auto"/>
                                        <w:right w:val="none" w:sz="0" w:space="0" w:color="auto"/>
                                      </w:divBdr>
                                      <w:divsChild>
                                        <w:div w:id="1550919651">
                                          <w:marLeft w:val="0"/>
                                          <w:marRight w:val="0"/>
                                          <w:marTop w:val="0"/>
                                          <w:marBottom w:val="0"/>
                                          <w:divBdr>
                                            <w:top w:val="none" w:sz="0" w:space="0" w:color="auto"/>
                                            <w:left w:val="none" w:sz="0" w:space="0" w:color="auto"/>
                                            <w:bottom w:val="none" w:sz="0" w:space="0" w:color="auto"/>
                                            <w:right w:val="none" w:sz="0" w:space="0" w:color="auto"/>
                                          </w:divBdr>
                                          <w:divsChild>
                                            <w:div w:id="60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1872">
      <w:bodyDiv w:val="1"/>
      <w:marLeft w:val="0"/>
      <w:marRight w:val="0"/>
      <w:marTop w:val="0"/>
      <w:marBottom w:val="0"/>
      <w:divBdr>
        <w:top w:val="none" w:sz="0" w:space="0" w:color="auto"/>
        <w:left w:val="none" w:sz="0" w:space="0" w:color="auto"/>
        <w:bottom w:val="none" w:sz="0" w:space="0" w:color="auto"/>
        <w:right w:val="none" w:sz="0" w:space="0" w:color="auto"/>
      </w:divBdr>
    </w:div>
    <w:div w:id="1925531107">
      <w:bodyDiv w:val="1"/>
      <w:marLeft w:val="0"/>
      <w:marRight w:val="0"/>
      <w:marTop w:val="0"/>
      <w:marBottom w:val="0"/>
      <w:divBdr>
        <w:top w:val="none" w:sz="0" w:space="0" w:color="auto"/>
        <w:left w:val="none" w:sz="0" w:space="0" w:color="auto"/>
        <w:bottom w:val="none" w:sz="0" w:space="0" w:color="auto"/>
        <w:right w:val="none" w:sz="0" w:space="0" w:color="auto"/>
      </w:divBdr>
    </w:div>
    <w:div w:id="192892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70</Pages>
  <Words>16132</Words>
  <Characters>91959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Dr. POPOOLA T. A</cp:lastModifiedBy>
  <cp:revision>32</cp:revision>
  <dcterms:created xsi:type="dcterms:W3CDTF">2022-12-31T15:59:00Z</dcterms:created>
  <dcterms:modified xsi:type="dcterms:W3CDTF">2024-12-22T11:09:00Z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