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F8" w:rsidRDefault="008D2DF8" w:rsidP="008D2DF8">
      <w:pPr>
        <w:spacing w:after="267" w:line="480" w:lineRule="auto"/>
        <w:ind w:left="2891"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CHAPTER FOUR </w:t>
      </w:r>
    </w:p>
    <w:p w:rsidR="008D2DF8" w:rsidRDefault="008D2DF8" w:rsidP="008D2DF8">
      <w:pPr>
        <w:spacing w:after="267" w:line="480" w:lineRule="auto"/>
        <w:ind w:left="2170"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DATA PRESENTATION AND ANALYSIS </w:t>
      </w:r>
    </w:p>
    <w:p w:rsidR="008D2DF8" w:rsidRDefault="008D2DF8" w:rsidP="008D2DF8">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INTRODUCTION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This chapter is concerned with the presentation, analysis, and interpretation of data gathered from the responses to the administered questionnaire. The respondent’s demographic data and the analysis of the respondents to the research questions were also explicitly highlighted below </w:t>
      </w:r>
    </w:p>
    <w:p w:rsidR="008D2DF8" w:rsidRDefault="008D2DF8" w:rsidP="008D2DF8">
      <w:pPr>
        <w:keepNext/>
        <w:keepLines/>
        <w:spacing w:after="268"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PRESENTATION OF DATA </w:t>
      </w:r>
    </w:p>
    <w:p w:rsidR="008D2DF8" w:rsidRDefault="008D2DF8" w:rsidP="008D2DF8">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4.2 </w:t>
      </w:r>
      <w:r>
        <w:rPr>
          <w:rFonts w:ascii="Times New Roman" w:eastAsia="Times New Roman" w:hAnsi="Times New Roman" w:cs="Times New Roman"/>
          <w:b/>
          <w:color w:val="000000"/>
          <w:sz w:val="28"/>
        </w:rPr>
        <w:tab/>
        <w:t xml:space="preserve">Data Analysis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 total of 285 questionnaire copies were self-administered to the respondents at Mandate market. 200 copies were dully filled and adopted for the study while 85 were not returned and dully filled for the study.  </w:t>
      </w:r>
    </w:p>
    <w:p w:rsidR="008D2DF8" w:rsidRDefault="008D2DF8" w:rsidP="008D2DF8">
      <w:pPr>
        <w:keepNext/>
        <w:keepLines/>
        <w:spacing w:after="267"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4.1: Distribution of respondents by demographic data </w:t>
      </w:r>
    </w:p>
    <w:p w:rsidR="008D2DF8" w:rsidRDefault="008D2DF8" w:rsidP="008D2DF8">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table 4.1 below shows that, 40% of the respondents were male and 60% of the respondent was female. The distribution of the respondents by age indicated that 2% are below 20years, 21% are 20-29years, 30-49years are 28% while 51% are age 50years above. </w:t>
      </w:r>
    </w:p>
    <w:p w:rsidR="008D2DF8" w:rsidRDefault="008D2DF8" w:rsidP="008D2DF8">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The analysis on occupation shows that, 54% of the respondents are traders, 5% rare cleaners, Market Management/Official are 22% while others are 20%. It further shows that, none of the sampled respondents fall into the category of no formal education, 2% have primary education, 41% possession secondary education while 58% batched tertiary education.  </w:t>
      </w:r>
    </w:p>
    <w:p w:rsidR="008D2DF8" w:rsidRDefault="008D2DF8" w:rsidP="008D2DF8">
      <w:pPr>
        <w:keepNext/>
        <w:keepLines/>
        <w:spacing w:after="0"/>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Table 4.1 Demographic characteristics of the respondents</w:t>
      </w:r>
    </w:p>
    <w:tbl>
      <w:tblPr>
        <w:tblW w:w="0" w:type="auto"/>
        <w:tblInd w:w="46" w:type="dxa"/>
        <w:tblCellMar>
          <w:left w:w="10" w:type="dxa"/>
          <w:right w:w="10" w:type="dxa"/>
        </w:tblCellMar>
        <w:tblLook w:val="0000"/>
      </w:tblPr>
      <w:tblGrid>
        <w:gridCol w:w="3627"/>
        <w:gridCol w:w="2729"/>
        <w:gridCol w:w="3010"/>
      </w:tblGrid>
      <w:tr w:rsidR="008D2DF8" w:rsidTr="00A701B5">
        <w:tblPrEx>
          <w:tblCellMar>
            <w:top w:w="0" w:type="dxa"/>
            <w:bottom w:w="0" w:type="dxa"/>
          </w:tblCellMar>
        </w:tblPrEx>
        <w:trPr>
          <w:trHeight w:val="411"/>
        </w:trPr>
        <w:tc>
          <w:tcPr>
            <w:tcW w:w="3627"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b/>
                <w:color w:val="000000"/>
                <w:sz w:val="28"/>
              </w:rPr>
              <w:t xml:space="preserve">Demographic Variable  </w:t>
            </w:r>
          </w:p>
        </w:tc>
        <w:tc>
          <w:tcPr>
            <w:tcW w:w="272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b/>
                <w:color w:val="000000"/>
                <w:sz w:val="28"/>
              </w:rPr>
              <w:t xml:space="preserve">Frequency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767"/>
        </w:trPr>
        <w:tc>
          <w:tcPr>
            <w:tcW w:w="3627"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Gender  </w:t>
            </w:r>
          </w:p>
          <w:p w:rsidR="008D2DF8" w:rsidRDefault="008D2DF8" w:rsidP="00A701B5">
            <w:pPr>
              <w:spacing w:after="0"/>
              <w:ind w:left="122"/>
            </w:pPr>
            <w:r>
              <w:rPr>
                <w:rFonts w:ascii="Times New Roman" w:eastAsia="Times New Roman" w:hAnsi="Times New Roman" w:cs="Times New Roman"/>
                <w:color w:val="000000"/>
                <w:sz w:val="28"/>
              </w:rPr>
              <w:t xml:space="preserve">Male  </w:t>
            </w:r>
          </w:p>
        </w:tc>
        <w:tc>
          <w:tcPr>
            <w:tcW w:w="2729"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80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40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Female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120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60 </w:t>
            </w:r>
          </w:p>
        </w:tc>
      </w:tr>
      <w:tr w:rsidR="008D2DF8" w:rsidTr="00A701B5">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Age  </w:t>
            </w:r>
          </w:p>
          <w:p w:rsidR="008D2DF8" w:rsidRDefault="008D2DF8" w:rsidP="00A701B5">
            <w:pPr>
              <w:spacing w:after="0"/>
              <w:ind w:left="122"/>
            </w:pPr>
            <w:r>
              <w:rPr>
                <w:rFonts w:ascii="Times New Roman" w:eastAsia="Times New Roman" w:hAnsi="Times New Roman" w:cs="Times New Roman"/>
                <w:color w:val="000000"/>
                <w:sz w:val="28"/>
              </w:rPr>
              <w:t xml:space="preserve">Below 20years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2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20-29years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41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21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30-49years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55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28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50years above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102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51 </w:t>
            </w:r>
          </w:p>
        </w:tc>
      </w:tr>
      <w:tr w:rsidR="008D2DF8" w:rsidTr="00A701B5">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Occupation  </w:t>
            </w:r>
          </w:p>
          <w:p w:rsidR="008D2DF8" w:rsidRDefault="008D2DF8" w:rsidP="00A701B5">
            <w:pPr>
              <w:spacing w:after="0"/>
              <w:ind w:left="122"/>
            </w:pPr>
            <w:r>
              <w:rPr>
                <w:rFonts w:ascii="Times New Roman" w:eastAsia="Times New Roman" w:hAnsi="Times New Roman" w:cs="Times New Roman"/>
                <w:color w:val="000000"/>
                <w:sz w:val="28"/>
              </w:rPr>
              <w:t xml:space="preserve">Trader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107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54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Cleaner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10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5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Market Management/Official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43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22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Others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40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20 </w:t>
            </w:r>
          </w:p>
        </w:tc>
      </w:tr>
      <w:tr w:rsidR="008D2DF8" w:rsidTr="00A701B5">
        <w:tblPrEx>
          <w:tblCellMar>
            <w:top w:w="0" w:type="dxa"/>
            <w:bottom w:w="0" w:type="dxa"/>
          </w:tblCellMar>
        </w:tblPrEx>
        <w:trPr>
          <w:trHeight w:val="828"/>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Level of Education  </w:t>
            </w:r>
          </w:p>
          <w:p w:rsidR="008D2DF8" w:rsidRDefault="008D2DF8" w:rsidP="00A701B5">
            <w:pPr>
              <w:spacing w:after="0"/>
              <w:ind w:left="122"/>
            </w:pPr>
            <w:r>
              <w:rPr>
                <w:rFonts w:ascii="Times New Roman" w:eastAsia="Times New Roman" w:hAnsi="Times New Roman" w:cs="Times New Roman"/>
                <w:color w:val="000000"/>
                <w:sz w:val="28"/>
              </w:rPr>
              <w:t xml:space="preserve">No formal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rPr>
                <w:rFonts w:ascii="Times New Roman" w:eastAsia="Times New Roman" w:hAnsi="Times New Roman" w:cs="Times New Roman"/>
                <w:color w:val="000000"/>
                <w:sz w:val="28"/>
              </w:rPr>
            </w:pPr>
          </w:p>
          <w:p w:rsidR="008D2DF8" w:rsidRDefault="008D2DF8" w:rsidP="00A701B5">
            <w:pPr>
              <w:spacing w:after="0"/>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Primary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2 </w:t>
            </w:r>
          </w:p>
        </w:tc>
      </w:tr>
      <w:tr w:rsidR="008D2DF8" w:rsidTr="00A701B5">
        <w:tblPrEx>
          <w:tblCellMar>
            <w:top w:w="0" w:type="dxa"/>
            <w:bottom w:w="0" w:type="dxa"/>
          </w:tblCellMar>
        </w:tblPrEx>
        <w:trPr>
          <w:trHeight w:val="414"/>
        </w:trPr>
        <w:tc>
          <w:tcPr>
            <w:tcW w:w="3627"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Secondary education  </w:t>
            </w:r>
          </w:p>
        </w:tc>
        <w:tc>
          <w:tcPr>
            <w:tcW w:w="2729"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81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41 </w:t>
            </w:r>
          </w:p>
        </w:tc>
      </w:tr>
      <w:tr w:rsidR="008D2DF8" w:rsidTr="00A701B5">
        <w:tblPrEx>
          <w:tblCellMar>
            <w:top w:w="0" w:type="dxa"/>
            <w:bottom w:w="0" w:type="dxa"/>
          </w:tblCellMar>
        </w:tblPrEx>
        <w:trPr>
          <w:trHeight w:val="484"/>
        </w:trPr>
        <w:tc>
          <w:tcPr>
            <w:tcW w:w="3627"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ind w:left="122"/>
            </w:pPr>
            <w:r>
              <w:rPr>
                <w:rFonts w:ascii="Times New Roman" w:eastAsia="Times New Roman" w:hAnsi="Times New Roman" w:cs="Times New Roman"/>
                <w:color w:val="000000"/>
                <w:sz w:val="28"/>
              </w:rPr>
              <w:t xml:space="preserve">Tertiary education  </w:t>
            </w:r>
          </w:p>
        </w:tc>
        <w:tc>
          <w:tcPr>
            <w:tcW w:w="2729"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115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pPr>
            <w:r>
              <w:rPr>
                <w:rFonts w:ascii="Times New Roman" w:eastAsia="Times New Roman" w:hAnsi="Times New Roman" w:cs="Times New Roman"/>
                <w:color w:val="000000"/>
                <w:sz w:val="28"/>
              </w:rPr>
              <w:t xml:space="preserve">58 </w:t>
            </w:r>
          </w:p>
        </w:tc>
      </w:tr>
    </w:tbl>
    <w:p w:rsidR="008D2DF8" w:rsidRDefault="008D2DF8" w:rsidP="008D2DF8">
      <w:pPr>
        <w:keepNext/>
        <w:keepLines/>
        <w:spacing w:after="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ind w:right="3"/>
        <w:jc w:val="both"/>
        <w:rPr>
          <w:rFonts w:ascii="Times New Roman" w:eastAsia="Times New Roman" w:hAnsi="Times New Roman" w:cs="Times New Roman"/>
          <w:color w:val="000000"/>
          <w:sz w:val="28"/>
        </w:rPr>
      </w:pPr>
    </w:p>
    <w:p w:rsidR="008D2DF8" w:rsidRDefault="008D2DF8" w:rsidP="008D2DF8">
      <w:pPr>
        <w:spacing w:after="0"/>
        <w:ind w:right="3"/>
        <w:jc w:val="both"/>
        <w:rPr>
          <w:rFonts w:ascii="Times New Roman" w:eastAsia="Times New Roman" w:hAnsi="Times New Roman" w:cs="Times New Roman"/>
          <w:color w:val="000000"/>
          <w:sz w:val="28"/>
        </w:rPr>
      </w:pPr>
    </w:p>
    <w:p w:rsidR="008D2DF8" w:rsidRDefault="008D2DF8" w:rsidP="008D2DF8">
      <w:pPr>
        <w:spacing w:after="0" w:line="480" w:lineRule="auto"/>
        <w:ind w:right="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The table provides a detailed overview of the demographic characteristics of the respondents, highlighting their gender, age, occupation, and educational background. Women constitute the majority, accounting for 60% of the respondents, while men make up 40%. This indicates a gender distribution that skews slightly more toward females.</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In terms of age, the respondents are predominantly older, with more than half (51%) aged 50 years and above. Those in the 30–49 age range comprise 28%, while the younger groups, particularly those under 20 years and those aged 20–29 years, account for 2% and 21% of the respondents, respectively. This suggests that the survey was conducted among a more mature population. </w:t>
      </w:r>
    </w:p>
    <w:p w:rsidR="008D2DF8" w:rsidRDefault="008D2DF8" w:rsidP="008D2DF8">
      <w:pPr>
        <w:spacing w:after="28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Occupationally, the largest group among the respondents are traders, making up 54%. Market management officials follow, representing 22%, while a smaller proportion are cleaners (5%) and others in unspecified roles (20%). This occupational distribution points to a strong representation of individuals engaged in trade and market activities, which may align with the context of the survey. </w:t>
      </w:r>
    </w:p>
    <w:p w:rsidR="008D2DF8" w:rsidRDefault="008D2DF8" w:rsidP="008D2DF8">
      <w:pPr>
        <w:spacing w:after="28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Education levels among the respondents are notably high, with no one reporting a lack of formal education. The majority (58%) have tertiary education, and an additional 41% have completed secondary education. Only a small fraction (2%) attained primary education as their highest level. This indicates that the </w:t>
      </w:r>
      <w:r>
        <w:rPr>
          <w:rFonts w:ascii="Times New Roman" w:eastAsia="Times New Roman" w:hAnsi="Times New Roman" w:cs="Times New Roman"/>
          <w:color w:val="000000"/>
          <w:sz w:val="28"/>
        </w:rPr>
        <w:lastRenderedPageBreak/>
        <w:t xml:space="preserve">respondents are relatively well-educated, which could influence their perspectives and responses. </w:t>
      </w:r>
    </w:p>
    <w:p w:rsidR="008D2DF8" w:rsidRDefault="008D2DF8" w:rsidP="008D2DF8">
      <w:pPr>
        <w:spacing w:after="279"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Overall, the demographic profile shows a predominance of educated, older women, many of whom are traders, suggesting a specific socioeconomic and cultural backdrop to the survey.  </w:t>
      </w:r>
    </w:p>
    <w:p w:rsidR="008D2DF8" w:rsidRDefault="008D2DF8" w:rsidP="008D2DF8">
      <w:pPr>
        <w:spacing w:after="278"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SECTION B: WASTE GENERATION AND HANDLING  </w:t>
      </w:r>
    </w:p>
    <w:p w:rsidR="008D2DF8" w:rsidRDefault="008D2DF8" w:rsidP="008D2DF8">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4.2: Distribution of respondents view on the type of waste they generate at mandate market  </w:t>
      </w:r>
    </w:p>
    <w:tbl>
      <w:tblPr>
        <w:tblW w:w="0" w:type="auto"/>
        <w:tblInd w:w="46" w:type="dxa"/>
        <w:tblCellMar>
          <w:left w:w="10" w:type="dxa"/>
          <w:right w:w="10" w:type="dxa"/>
        </w:tblCellMar>
        <w:tblLook w:val="0000"/>
      </w:tblPr>
      <w:tblGrid>
        <w:gridCol w:w="2935"/>
        <w:gridCol w:w="2816"/>
        <w:gridCol w:w="2708"/>
      </w:tblGrid>
      <w:tr w:rsidR="008D2DF8" w:rsidTr="00A701B5">
        <w:tblPrEx>
          <w:tblCellMar>
            <w:top w:w="0" w:type="dxa"/>
            <w:bottom w:w="0" w:type="dxa"/>
          </w:tblCellMar>
        </w:tblPrEx>
        <w:trPr>
          <w:trHeight w:val="422"/>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Responses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Frequency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2909"/>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Organic waste  </w:t>
            </w:r>
          </w:p>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Plastic waste  </w:t>
            </w:r>
          </w:p>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Paper waste  </w:t>
            </w:r>
          </w:p>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Glass waste  </w:t>
            </w:r>
          </w:p>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Metal waste  </w:t>
            </w:r>
          </w:p>
          <w:p w:rsidR="008D2DF8" w:rsidRDefault="008D2DF8" w:rsidP="00A701B5">
            <w:pPr>
              <w:spacing w:after="0" w:line="36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Hazardous waste  </w:t>
            </w:r>
          </w:p>
          <w:p w:rsidR="008D2DF8" w:rsidRDefault="008D2DF8" w:rsidP="00A701B5">
            <w:pPr>
              <w:spacing w:after="0" w:line="360" w:lineRule="auto"/>
              <w:ind w:left="122"/>
            </w:pPr>
            <w:r>
              <w:rPr>
                <w:rFonts w:ascii="Times New Roman" w:eastAsia="Times New Roman" w:hAnsi="Times New Roman" w:cs="Times New Roman"/>
                <w:color w:val="000000"/>
                <w:sz w:val="28"/>
              </w:rPr>
              <w:t xml:space="preserve">Others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170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pPr>
            <w:r>
              <w:rPr>
                <w:rFonts w:ascii="Times New Roman" w:eastAsia="Times New Roman" w:hAnsi="Times New Roman" w:cs="Times New Roman"/>
                <w:color w:val="000000"/>
                <w:sz w:val="28"/>
              </w:rPr>
              <w:t xml:space="preserve">10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85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360" w:lineRule="auto"/>
            </w:pPr>
            <w:r>
              <w:rPr>
                <w:rFonts w:ascii="Times New Roman" w:eastAsia="Times New Roman" w:hAnsi="Times New Roman" w:cs="Times New Roman"/>
                <w:color w:val="000000"/>
                <w:sz w:val="28"/>
              </w:rPr>
              <w:t xml:space="preserve">5 </w:t>
            </w:r>
          </w:p>
        </w:tc>
      </w:tr>
      <w:tr w:rsidR="008D2DF8" w:rsidTr="00A701B5">
        <w:tblPrEx>
          <w:tblCellMar>
            <w:top w:w="0" w:type="dxa"/>
            <w:bottom w:w="0" w:type="dxa"/>
          </w:tblCellMar>
        </w:tblPrEx>
        <w:trPr>
          <w:trHeight w:val="425"/>
        </w:trPr>
        <w:tc>
          <w:tcPr>
            <w:tcW w:w="2935"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Total </w:t>
            </w:r>
          </w:p>
        </w:tc>
        <w:tc>
          <w:tcPr>
            <w:tcW w:w="2816"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200 </w:t>
            </w:r>
          </w:p>
        </w:tc>
        <w:tc>
          <w:tcPr>
            <w:tcW w:w="270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0"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above analysis shows that 85% of respondents at the market affirmed that organic waste is the type of waste they generate at mandate market while 5% said other waste that are not specified above. This shows that 85% of the respondents affirmed that the major type of waste they generates at the market is organic waste.   </w:t>
      </w:r>
    </w:p>
    <w:p w:rsidR="008D2DF8" w:rsidRDefault="008D2DF8" w:rsidP="008D2DF8">
      <w:pPr>
        <w:spacing w:after="0" w:line="48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Table 4.3: Distribution of respondents view on how they dispose waste.  </w:t>
      </w:r>
    </w:p>
    <w:tbl>
      <w:tblPr>
        <w:tblW w:w="0" w:type="auto"/>
        <w:tblInd w:w="46" w:type="dxa"/>
        <w:tblCellMar>
          <w:left w:w="10" w:type="dxa"/>
          <w:right w:w="10" w:type="dxa"/>
        </w:tblCellMar>
        <w:tblLook w:val="0000"/>
      </w:tblPr>
      <w:tblGrid>
        <w:gridCol w:w="3181"/>
        <w:gridCol w:w="3060"/>
        <w:gridCol w:w="2952"/>
      </w:tblGrid>
      <w:tr w:rsidR="008D2DF8" w:rsidTr="00A701B5">
        <w:tblPrEx>
          <w:tblCellMar>
            <w:top w:w="0" w:type="dxa"/>
            <w:bottom w:w="0" w:type="dxa"/>
          </w:tblCellMar>
        </w:tblPrEx>
        <w:trPr>
          <w:trHeight w:val="422"/>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2081"/>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112"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Dumping in open space </w:t>
            </w:r>
          </w:p>
          <w:p w:rsidR="008D2DF8" w:rsidRDefault="008D2DF8" w:rsidP="00A701B5">
            <w:pPr>
              <w:spacing w:after="115"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Using waste bins </w:t>
            </w:r>
          </w:p>
          <w:p w:rsidR="008D2DF8" w:rsidRDefault="008D2DF8" w:rsidP="00A701B5">
            <w:pPr>
              <w:spacing w:after="112"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Burning  </w:t>
            </w:r>
          </w:p>
          <w:p w:rsidR="008D2DF8" w:rsidRDefault="008D2DF8" w:rsidP="00A701B5">
            <w:pPr>
              <w:spacing w:after="115" w:line="480" w:lineRule="auto"/>
              <w:ind w:left="122"/>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Composing  </w:t>
            </w:r>
          </w:p>
          <w:p w:rsidR="008D2DF8" w:rsidRDefault="008D2DF8" w:rsidP="00A701B5">
            <w:pPr>
              <w:spacing w:after="0" w:line="480" w:lineRule="auto"/>
              <w:ind w:left="122"/>
            </w:pPr>
            <w:r>
              <w:rPr>
                <w:rFonts w:ascii="Times New Roman" w:eastAsia="Times New Roman" w:hAnsi="Times New Roman" w:cs="Times New Roman"/>
                <w:color w:val="000000"/>
                <w:sz w:val="28"/>
              </w:rPr>
              <w:t xml:space="preserve">Others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184 </w:t>
            </w:r>
          </w:p>
          <w:p w:rsidR="008D2DF8" w:rsidRDefault="008D2DF8" w:rsidP="00A701B5">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14 </w:t>
            </w:r>
          </w:p>
          <w:p w:rsidR="008D2DF8" w:rsidRDefault="008D2DF8" w:rsidP="00A701B5">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2 </w:t>
            </w:r>
          </w:p>
          <w:p w:rsidR="008D2DF8" w:rsidRDefault="008D2DF8" w:rsidP="00A701B5">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92 </w:t>
            </w:r>
          </w:p>
          <w:p w:rsidR="008D2DF8" w:rsidRDefault="008D2DF8" w:rsidP="00A701B5">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7 </w:t>
            </w:r>
          </w:p>
          <w:p w:rsidR="008D2DF8" w:rsidRDefault="008D2DF8" w:rsidP="00A701B5">
            <w:pPr>
              <w:spacing w:after="112"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w:t>
            </w:r>
          </w:p>
          <w:p w:rsidR="008D2DF8" w:rsidRDefault="008D2DF8" w:rsidP="00A701B5">
            <w:pPr>
              <w:spacing w:after="115"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0 </w:t>
            </w:r>
          </w:p>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25"/>
        </w:trPr>
        <w:tc>
          <w:tcPr>
            <w:tcW w:w="3181"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06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2952"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Table 4.3 above shows that 92% of the respondents stated that they are dumping their waste in open spaces while 1% said they are burning their wastes. This shows that 92% which represent majority of the respondents are dumping in wastes in open space. </w:t>
      </w: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b/>
          <w:color w:val="000000"/>
          <w:sz w:val="28"/>
        </w:rPr>
      </w:pPr>
    </w:p>
    <w:p w:rsidR="008D2DF8" w:rsidRDefault="008D2DF8" w:rsidP="008D2DF8">
      <w:pPr>
        <w:spacing w:after="0" w:line="48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Table 4.4: Distribution of respondents view on how often they dispose their waste.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Daily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101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50.5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Weekly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92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46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Monthly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7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3.5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i/>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keepNext/>
        <w:keepLines/>
        <w:spacing w:after="0" w:line="360" w:lineRule="auto"/>
        <w:ind w:left="-5" w:hanging="10"/>
        <w:jc w:val="both"/>
        <w:rPr>
          <w:rFonts w:ascii="Times New Roman" w:eastAsia="Times New Roman" w:hAnsi="Times New Roman" w:cs="Times New Roman"/>
          <w:b/>
          <w:color w:val="000000"/>
          <w:sz w:val="28"/>
        </w:rPr>
      </w:pPr>
      <w:r>
        <w:rPr>
          <w:rFonts w:ascii="Times New Roman" w:eastAsia="Times New Roman" w:hAnsi="Times New Roman" w:cs="Times New Roman"/>
          <w:color w:val="000000"/>
          <w:sz w:val="28"/>
        </w:rPr>
        <w:t xml:space="preserve">Table 4.4 shows that, 50.5% of the respondents said they disposed their wastes daily while 3.5% said others. This shows that majority of the sampled respondents disposed their waste on daily basis. </w:t>
      </w:r>
      <w:r>
        <w:rPr>
          <w:rFonts w:ascii="Times New Roman" w:eastAsia="Times New Roman" w:hAnsi="Times New Roman" w:cs="Times New Roman"/>
          <w:b/>
          <w:color w:val="000000"/>
          <w:sz w:val="28"/>
        </w:rPr>
        <w:t xml:space="preserve"> </w:t>
      </w:r>
    </w:p>
    <w:p w:rsidR="008D2DF8" w:rsidRDefault="008D2DF8" w:rsidP="008D2DF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SECTION C: WASTE MANAGEMENT PRACTICES  </w:t>
      </w:r>
    </w:p>
    <w:p w:rsidR="008D2DF8" w:rsidRDefault="008D2DF8" w:rsidP="008D2DF8">
      <w:pPr>
        <w:spacing w:after="0" w:line="48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4.5: Distribution of respondents view on whether there is a designated waste collection point in the market.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200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100 </w:t>
            </w:r>
          </w:p>
        </w:tc>
      </w:tr>
      <w:tr w:rsidR="008D2DF8" w:rsidTr="00A701B5">
        <w:tblPrEx>
          <w:tblCellMar>
            <w:top w:w="0" w:type="dxa"/>
            <w:bottom w:w="0" w:type="dxa"/>
          </w:tblCellMar>
        </w:tblPrEx>
        <w:trPr>
          <w:trHeight w:val="484"/>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lastRenderedPageBreak/>
        <w:t xml:space="preserve">Source: Field Survey, 2025 </w:t>
      </w:r>
    </w:p>
    <w:p w:rsidR="008D2DF8" w:rsidRDefault="008D2DF8" w:rsidP="008D2DF8">
      <w:pPr>
        <w:spacing w:after="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data presented in table 4.5 shows that all the sampled respondents said yes that there is a designated waste collection point in the market.   </w:t>
      </w:r>
    </w:p>
    <w:p w:rsidR="008D2DF8" w:rsidRDefault="008D2DF8" w:rsidP="008D2DF8">
      <w:pPr>
        <w:spacing w:after="0" w:line="36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4.6: Distribution of respondents view on who is responsible for waste collection.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Individual trader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81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40.5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Market management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70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35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tabs>
                <w:tab w:val="center" w:pos="3022"/>
              </w:tabs>
              <w:spacing w:after="0" w:line="360" w:lineRule="auto"/>
            </w:pPr>
            <w:r>
              <w:rPr>
                <w:rFonts w:ascii="Times New Roman" w:eastAsia="Times New Roman" w:hAnsi="Times New Roman" w:cs="Times New Roman"/>
                <w:color w:val="000000"/>
                <w:sz w:val="28"/>
              </w:rPr>
              <w:t xml:space="preserve">Government agency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49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24.5 </w:t>
            </w:r>
          </w:p>
        </w:tc>
      </w:tr>
      <w:tr w:rsidR="008D2DF8" w:rsidTr="00A701B5">
        <w:tblPrEx>
          <w:tblCellMar>
            <w:top w:w="0" w:type="dxa"/>
            <w:bottom w:w="0" w:type="dxa"/>
          </w:tblCellMar>
        </w:tblPrEx>
        <w:trPr>
          <w:trHeight w:val="828"/>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Private waste management company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table 4.6 shows that 40% of the respondents said individual are responsible for waste collection while 24.5% said government agency. This shows that individual is responsible for waste collection </w:t>
      </w:r>
    </w:p>
    <w:p w:rsidR="008D2DF8" w:rsidRDefault="008D2DF8" w:rsidP="008D2DF8">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8D2DF8" w:rsidRDefault="008D2DF8" w:rsidP="008D2DF8">
      <w:pPr>
        <w:spacing w:after="160" w:line="259" w:lineRule="auto"/>
        <w:rPr>
          <w:rFonts w:ascii="Times New Roman" w:eastAsia="Times New Roman" w:hAnsi="Times New Roman" w:cs="Times New Roman"/>
          <w:b/>
          <w:color w:val="000000"/>
          <w:sz w:val="28"/>
        </w:rPr>
      </w:pPr>
    </w:p>
    <w:p w:rsidR="008D2DF8" w:rsidRDefault="008D2DF8" w:rsidP="008D2DF8">
      <w:pPr>
        <w:spacing w:after="0" w:line="48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4.7: Distribution of respondents view on whether waste bins are provided in the market.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lastRenderedPageBreak/>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200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100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0"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all the sampled respondent stated that waste bins are provided in the market.   </w:t>
      </w:r>
    </w:p>
    <w:p w:rsidR="008D2DF8" w:rsidRDefault="008D2DF8" w:rsidP="008D2DF8">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4.8: Distribution of respondents view on how adequate are the waste bins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3"/>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Very adequate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2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Adequate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28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14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tabs>
                <w:tab w:val="center" w:pos="3022"/>
              </w:tabs>
              <w:spacing w:after="0" w:line="360" w:lineRule="auto"/>
            </w:pPr>
            <w:r>
              <w:rPr>
                <w:rFonts w:ascii="Times New Roman" w:eastAsia="Times New Roman" w:hAnsi="Times New Roman" w:cs="Times New Roman"/>
                <w:color w:val="000000"/>
                <w:sz w:val="28"/>
              </w:rPr>
              <w:t xml:space="preserve">Inadequate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170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85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36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1% of the respondents said waste bin in the market are very adequate while 85% said inadequate. This shows that waste bins in the market are inadequate. </w:t>
      </w:r>
    </w:p>
    <w:p w:rsidR="008D2DF8" w:rsidRDefault="008D2DF8" w:rsidP="008D2DF8">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4.9: Distribution of respondents view on how waste are transported from the market to disposal sites.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Wheelbarrows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34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17 </w:t>
            </w:r>
          </w:p>
        </w:tc>
      </w:tr>
      <w:tr w:rsidR="008D2DF8" w:rsidTr="00A701B5">
        <w:tblPrEx>
          <w:tblCellMar>
            <w:top w:w="0" w:type="dxa"/>
            <w:bottom w:w="0" w:type="dxa"/>
          </w:tblCellMar>
        </w:tblPrEx>
        <w:trPr>
          <w:trHeight w:val="413"/>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Trucks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166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83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tabs>
                <w:tab w:val="center" w:pos="3022"/>
              </w:tabs>
              <w:spacing w:after="0" w:line="360" w:lineRule="auto"/>
            </w:pPr>
            <w:r>
              <w:rPr>
                <w:rFonts w:ascii="Times New Roman" w:eastAsia="Times New Roman" w:hAnsi="Times New Roman" w:cs="Times New Roman"/>
                <w:color w:val="000000"/>
                <w:sz w:val="28"/>
              </w:rPr>
              <w:lastRenderedPageBreak/>
              <w:t xml:space="preserve">Carts  </w:t>
            </w:r>
            <w:r>
              <w:rPr>
                <w:rFonts w:ascii="Times New Roman" w:eastAsia="Times New Roman" w:hAnsi="Times New Roman" w:cs="Times New Roman"/>
                <w:color w:val="000000"/>
                <w:sz w:val="28"/>
              </w:rPr>
              <w:tab/>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Others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0" w:line="360" w:lineRule="auto"/>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It was revealed here in table 4.9 that 17% of the sampled respondents said they use wheelbarrows to transport waste from the market to disposal sites while 83% said they are using trucks. This shows that trucks are mostly used to transport waste from the market to disposal sites.  </w:t>
      </w:r>
    </w:p>
    <w:p w:rsidR="008D2DF8" w:rsidRDefault="008D2DF8" w:rsidP="008D2DF8">
      <w:pPr>
        <w:spacing w:after="160" w:line="259"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p>
    <w:p w:rsidR="008D2DF8" w:rsidRDefault="008D2DF8" w:rsidP="008D2DF8">
      <w:pPr>
        <w:spacing w:after="160" w:line="259" w:lineRule="auto"/>
        <w:rPr>
          <w:rFonts w:ascii="Times New Roman" w:eastAsia="Times New Roman" w:hAnsi="Times New Roman" w:cs="Times New Roman"/>
          <w:b/>
          <w:color w:val="000000"/>
          <w:sz w:val="24"/>
        </w:rPr>
      </w:pPr>
    </w:p>
    <w:p w:rsidR="008D2DF8" w:rsidRDefault="008D2DF8" w:rsidP="008D2DF8">
      <w:pPr>
        <w:spacing w:after="160" w:line="48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SECTION D: CHALLENGES IN WASTE MANAGEMENT </w:t>
      </w:r>
    </w:p>
    <w:p w:rsidR="008D2DF8" w:rsidRDefault="008D2DF8" w:rsidP="008D2DF8">
      <w:pPr>
        <w:keepNext/>
        <w:keepLines/>
        <w:spacing w:after="0" w:line="48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Table 4.10: Distribution of respondents view on how on the challenges they face while disposing waste  </w:t>
      </w:r>
    </w:p>
    <w:tbl>
      <w:tblPr>
        <w:tblW w:w="0" w:type="auto"/>
        <w:tblInd w:w="68"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pPr>
            <w:r>
              <w:rPr>
                <w:rFonts w:ascii="Times New Roman" w:eastAsia="Times New Roman" w:hAnsi="Times New Roman" w:cs="Times New Roman"/>
                <w:b/>
                <w:color w:val="000000"/>
                <w:sz w:val="24"/>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Percentage (%) </w:t>
            </w:r>
          </w:p>
        </w:tc>
      </w:tr>
      <w:tr w:rsidR="008D2DF8" w:rsidTr="00A701B5">
        <w:tblPrEx>
          <w:tblCellMar>
            <w:top w:w="0" w:type="dxa"/>
            <w:bottom w:w="0" w:type="dxa"/>
          </w:tblCellMar>
        </w:tblPrEx>
        <w:trPr>
          <w:trHeight w:val="354"/>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pPr>
            <w:r>
              <w:rPr>
                <w:rFonts w:ascii="Times New Roman" w:eastAsia="Times New Roman" w:hAnsi="Times New Roman" w:cs="Times New Roman"/>
                <w:color w:val="000000"/>
                <w:sz w:val="24"/>
              </w:rPr>
              <w:t xml:space="preserve">Lack of waste bins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54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27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pPr>
            <w:r>
              <w:rPr>
                <w:rFonts w:ascii="Times New Roman" w:eastAsia="Times New Roman" w:hAnsi="Times New Roman" w:cs="Times New Roman"/>
                <w:color w:val="000000"/>
                <w:sz w:val="24"/>
              </w:rPr>
              <w:t xml:space="preserve">Poor waste collection service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38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19 </w:t>
            </w:r>
          </w:p>
        </w:tc>
      </w:tr>
      <w:tr w:rsidR="008D2DF8" w:rsidTr="00A701B5">
        <w:tblPrEx>
          <w:tblCellMar>
            <w:top w:w="0" w:type="dxa"/>
            <w:bottom w:w="0" w:type="dxa"/>
          </w:tblCellMar>
        </w:tblPrEx>
        <w:trPr>
          <w:trHeight w:val="828"/>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jc w:val="both"/>
            </w:pPr>
            <w:r>
              <w:rPr>
                <w:rFonts w:ascii="Times New Roman" w:eastAsia="Times New Roman" w:hAnsi="Times New Roman" w:cs="Times New Roman"/>
                <w:color w:val="000000"/>
                <w:sz w:val="24"/>
              </w:rPr>
              <w:t xml:space="preserve">Inadequate awareness on waste management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24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12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pPr>
            <w:r>
              <w:rPr>
                <w:rFonts w:ascii="Times New Roman" w:eastAsia="Times New Roman" w:hAnsi="Times New Roman" w:cs="Times New Roman"/>
                <w:color w:val="000000"/>
                <w:sz w:val="24"/>
              </w:rPr>
              <w:t xml:space="preserve">High cost of waste disposal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0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0 </w:t>
            </w:r>
          </w:p>
        </w:tc>
      </w:tr>
      <w:tr w:rsidR="008D2DF8" w:rsidTr="00A701B5">
        <w:tblPrEx>
          <w:tblCellMar>
            <w:top w:w="0" w:type="dxa"/>
            <w:bottom w:w="0" w:type="dxa"/>
          </w:tblCellMar>
        </w:tblPrEx>
        <w:trPr>
          <w:trHeight w:val="897"/>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jc w:val="both"/>
            </w:pPr>
            <w:r>
              <w:rPr>
                <w:rFonts w:ascii="Times New Roman" w:eastAsia="Times New Roman" w:hAnsi="Times New Roman" w:cs="Times New Roman"/>
                <w:color w:val="000000"/>
                <w:sz w:val="24"/>
              </w:rPr>
              <w:t xml:space="preserve">Others (lack of waster to flush meat blood and other waste)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84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42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ind w:left="122"/>
            </w:pPr>
            <w:r>
              <w:rPr>
                <w:rFonts w:ascii="Times New Roman" w:eastAsia="Times New Roman" w:hAnsi="Times New Roman" w:cs="Times New Roman"/>
                <w:b/>
                <w:color w:val="000000"/>
                <w:sz w:val="24"/>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78" w:type="dxa"/>
              <w:right w:w="78"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color w:val="000000"/>
          <w:sz w:val="24"/>
        </w:rPr>
      </w:pPr>
      <w:r>
        <w:rPr>
          <w:rFonts w:ascii="Times New Roman" w:eastAsia="Times New Roman" w:hAnsi="Times New Roman" w:cs="Times New Roman"/>
          <w:b/>
          <w:i/>
          <w:color w:val="000000"/>
          <w:sz w:val="24"/>
        </w:rPr>
        <w:lastRenderedPageBreak/>
        <w:t xml:space="preserve">Source: Field Survey, 2025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4.10 revealed that 12% of the respondents at mandate market said  that there inadequate awareness on waste management while 42% stated that others challenges like lack water to flush meat blood and other wastes are the challenges they face while disposing waste. This shows that they lack water to flush meat blood and other wastes. </w:t>
      </w:r>
    </w:p>
    <w:p w:rsidR="008D2DF8" w:rsidRDefault="008D2DF8" w:rsidP="008D2DF8">
      <w:pPr>
        <w:spacing w:after="16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8D2DF8" w:rsidRDefault="008D2DF8" w:rsidP="008D2DF8">
      <w:pPr>
        <w:spacing w:after="160" w:line="259" w:lineRule="auto"/>
        <w:rPr>
          <w:rFonts w:ascii="Times New Roman" w:eastAsia="Times New Roman" w:hAnsi="Times New Roman" w:cs="Times New Roman"/>
          <w:b/>
          <w:color w:val="000000"/>
          <w:sz w:val="28"/>
        </w:rPr>
      </w:pPr>
    </w:p>
    <w:p w:rsidR="008D2DF8" w:rsidRDefault="008D2DF8" w:rsidP="008D2DF8">
      <w:pPr>
        <w:keepNext/>
        <w:keepLines/>
        <w:spacing w:after="0" w:line="36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4.11: Distribution of respondents view on whether there are penalties for improper waste disposal in the market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5"/>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143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71.5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57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color w:val="000000"/>
                <w:sz w:val="28"/>
              </w:rPr>
              <w:t xml:space="preserve">28.5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36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36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analysis shows that 71.5% of the respondents said yes while 28.5% said no that there are penalties for improper waste disposal in the market. This shows that there are penalties for improper waste disposal in the market.</w:t>
      </w:r>
    </w:p>
    <w:p w:rsidR="008D2DF8" w:rsidRDefault="008D2DF8" w:rsidP="008D2DF8">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Table 4.12: Distribution of respondents view on how effective are the penalties for improper waste disposal in the market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lastRenderedPageBreak/>
              <w:t xml:space="preserve">Very effective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0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Moderately effective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136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68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Ineffective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64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32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0" w:line="36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table 4.12 revealed that 68% of the respondents said moderately effective while 32% said ineffective. This shows that, majority of the sampled respondents said the penalties for improper waste disposal in the market are moderately effective. </w:t>
      </w:r>
    </w:p>
    <w:p w:rsidR="008D2DF8" w:rsidRDefault="008D2DF8" w:rsidP="008D2DF8">
      <w:pPr>
        <w:keepNext/>
        <w:keepLines/>
        <w:spacing w:after="270" w:line="480" w:lineRule="auto"/>
        <w:ind w:left="14" w:hanging="1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SECTION E: SUGGESTION FOR IMPROVEMENT  </w:t>
      </w:r>
    </w:p>
    <w:p w:rsidR="008D2DF8" w:rsidRDefault="008D2DF8" w:rsidP="008D2DF8">
      <w:pPr>
        <w:spacing w:after="0" w:line="480" w:lineRule="auto"/>
        <w:ind w:left="14" w:hanging="1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Table 4.13: Distribution of respondents view on measures that can improve waste management in the market.  </w:t>
      </w:r>
    </w:p>
    <w:tbl>
      <w:tblPr>
        <w:tblW w:w="0" w:type="auto"/>
        <w:tblInd w:w="46" w:type="dxa"/>
        <w:tblCellMar>
          <w:left w:w="10" w:type="dxa"/>
          <w:right w:w="10" w:type="dxa"/>
        </w:tblCellMar>
        <w:tblLook w:val="0000"/>
      </w:tblPr>
      <w:tblGrid>
        <w:gridCol w:w="3718"/>
        <w:gridCol w:w="2638"/>
        <w:gridCol w:w="3010"/>
      </w:tblGrid>
      <w:tr w:rsidR="008D2DF8" w:rsidTr="00A701B5">
        <w:tblPrEx>
          <w:tblCellMar>
            <w:top w:w="0" w:type="dxa"/>
            <w:bottom w:w="0" w:type="dxa"/>
          </w:tblCellMar>
        </w:tblPrEx>
        <w:trPr>
          <w:trHeight w:val="425"/>
        </w:trPr>
        <w:tc>
          <w:tcPr>
            <w:tcW w:w="37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4"/>
              </w:rPr>
              <w:t xml:space="preserve">Responses </w:t>
            </w:r>
          </w:p>
        </w:tc>
        <w:tc>
          <w:tcPr>
            <w:tcW w:w="26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Percentage (%) </w:t>
            </w:r>
          </w:p>
        </w:tc>
      </w:tr>
      <w:tr w:rsidR="008D2DF8" w:rsidTr="00A701B5">
        <w:tblPrEx>
          <w:tblCellMar>
            <w:top w:w="0" w:type="dxa"/>
            <w:bottom w:w="0" w:type="dxa"/>
          </w:tblCellMar>
        </w:tblPrEx>
        <w:trPr>
          <w:trHeight w:val="769"/>
        </w:trPr>
        <w:tc>
          <w:tcPr>
            <w:tcW w:w="37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115" w:line="480" w:lineRule="auto"/>
              <w:ind w:left="122"/>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Provision of Government </w:t>
            </w:r>
          </w:p>
          <w:p w:rsidR="008D2DF8" w:rsidRDefault="008D2DF8" w:rsidP="00A701B5">
            <w:pPr>
              <w:spacing w:after="0" w:line="480" w:lineRule="auto"/>
              <w:ind w:left="122"/>
            </w:pPr>
            <w:r>
              <w:rPr>
                <w:rFonts w:ascii="Times New Roman" w:eastAsia="Times New Roman" w:hAnsi="Times New Roman" w:cs="Times New Roman"/>
                <w:color w:val="000000"/>
                <w:sz w:val="24"/>
              </w:rPr>
              <w:t xml:space="preserve">Trucks </w:t>
            </w:r>
          </w:p>
        </w:tc>
        <w:tc>
          <w:tcPr>
            <w:tcW w:w="26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126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63 </w:t>
            </w:r>
          </w:p>
        </w:tc>
      </w:tr>
      <w:tr w:rsidR="008D2DF8" w:rsidTr="00A701B5">
        <w:tblPrEx>
          <w:tblCellMar>
            <w:top w:w="0" w:type="dxa"/>
            <w:bottom w:w="0" w:type="dxa"/>
          </w:tblCellMar>
        </w:tblPrEx>
        <w:trPr>
          <w:trHeight w:val="482"/>
        </w:trPr>
        <w:tc>
          <w:tcPr>
            <w:tcW w:w="37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4"/>
              </w:rPr>
              <w:t xml:space="preserve">Provision of insulator  </w:t>
            </w:r>
          </w:p>
        </w:tc>
        <w:tc>
          <w:tcPr>
            <w:tcW w:w="26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74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4"/>
              </w:rPr>
              <w:t xml:space="preserve">37 </w:t>
            </w:r>
          </w:p>
        </w:tc>
      </w:tr>
      <w:tr w:rsidR="008D2DF8" w:rsidTr="00A701B5">
        <w:tblPrEx>
          <w:tblCellMar>
            <w:top w:w="0" w:type="dxa"/>
            <w:bottom w:w="0" w:type="dxa"/>
          </w:tblCellMar>
        </w:tblPrEx>
        <w:trPr>
          <w:trHeight w:val="425"/>
        </w:trPr>
        <w:tc>
          <w:tcPr>
            <w:tcW w:w="37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4"/>
              </w:rPr>
              <w:t xml:space="preserve">Total  </w:t>
            </w:r>
          </w:p>
        </w:tc>
        <w:tc>
          <w:tcPr>
            <w:tcW w:w="26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4"/>
              </w:rPr>
              <w:t xml:space="preserve">100 </w:t>
            </w:r>
          </w:p>
        </w:tc>
      </w:tr>
    </w:tbl>
    <w:p w:rsidR="008D2DF8" w:rsidRDefault="008D2DF8" w:rsidP="008D2DF8">
      <w:pPr>
        <w:keepNext/>
        <w:keepLines/>
        <w:spacing w:after="271" w:line="480" w:lineRule="auto"/>
        <w:rPr>
          <w:rFonts w:ascii="Times New Roman" w:eastAsia="Times New Roman" w:hAnsi="Times New Roman" w:cs="Times New Roman"/>
          <w:b/>
          <w:color w:val="000000"/>
          <w:sz w:val="24"/>
        </w:rPr>
      </w:pPr>
      <w:r>
        <w:rPr>
          <w:rFonts w:ascii="Times New Roman" w:eastAsia="Times New Roman" w:hAnsi="Times New Roman" w:cs="Times New Roman"/>
          <w:b/>
          <w:i/>
          <w:color w:val="000000"/>
          <w:sz w:val="24"/>
        </w:rPr>
        <w:t xml:space="preserve">Source: Field Survey, 2025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shows that, 63% of the respondents said provision of Government Trucks while 37% said insulator. This shows that Government Trucks is an effective measure that can improve waste management in the market.  </w:t>
      </w:r>
    </w:p>
    <w:p w:rsidR="008D2DF8" w:rsidRDefault="008D2DF8" w:rsidP="008D2DF8">
      <w:pPr>
        <w:spacing w:after="0" w:line="48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lastRenderedPageBreak/>
        <w:t xml:space="preserve">Table 4.14: Distribution of respondents view on whether they will be willing to participate in waste management initiative if introduced.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6"/>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Yes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182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91 </w:t>
            </w:r>
          </w:p>
        </w:tc>
      </w:tr>
      <w:tr w:rsidR="008D2DF8" w:rsidTr="00A701B5">
        <w:tblPrEx>
          <w:tblCellMar>
            <w:top w:w="0" w:type="dxa"/>
            <w:bottom w:w="0" w:type="dxa"/>
          </w:tblCellMar>
        </w:tblPrEx>
        <w:trPr>
          <w:trHeight w:val="485"/>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No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18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9 </w:t>
            </w:r>
          </w:p>
        </w:tc>
      </w:tr>
      <w:tr w:rsidR="008D2DF8" w:rsidTr="00A701B5">
        <w:tblPrEx>
          <w:tblCellMar>
            <w:top w:w="0" w:type="dxa"/>
            <w:bottom w:w="0" w:type="dxa"/>
          </w:tblCellMar>
        </w:tblPrEx>
        <w:trPr>
          <w:trHeight w:val="422"/>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t xml:space="preserve">Source: Field Survey, 2025 </w:t>
      </w:r>
    </w:p>
    <w:p w:rsidR="008D2DF8" w:rsidRDefault="008D2DF8" w:rsidP="008D2DF8">
      <w:pPr>
        <w:spacing w:after="160" w:line="48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in table 4.14 above shows that, 91% of the respondents said yes while 9% said no. This shows that, majority of the respondents are willing to participate in waste management initiative if introduced in the market.  </w:t>
      </w:r>
    </w:p>
    <w:p w:rsidR="008D2DF8" w:rsidRDefault="008D2DF8" w:rsidP="008D2DF8">
      <w:pPr>
        <w:spacing w:after="0" w:line="480"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Table 4.15: Distribution of respondents view on the additional information that can help waste management in mandate market.  </w:t>
      </w:r>
    </w:p>
    <w:tbl>
      <w:tblPr>
        <w:tblW w:w="0" w:type="auto"/>
        <w:tblInd w:w="46" w:type="dxa"/>
        <w:tblCellMar>
          <w:left w:w="10" w:type="dxa"/>
          <w:right w:w="10" w:type="dxa"/>
        </w:tblCellMar>
        <w:tblLook w:val="0000"/>
      </w:tblPr>
      <w:tblGrid>
        <w:gridCol w:w="3238"/>
        <w:gridCol w:w="3118"/>
        <w:gridCol w:w="3010"/>
      </w:tblGrid>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Responses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Frequency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Percentage (%) </w:t>
            </w:r>
          </w:p>
        </w:tc>
      </w:tr>
      <w:tr w:rsidR="008D2DF8" w:rsidTr="00A701B5">
        <w:tblPrEx>
          <w:tblCellMar>
            <w:top w:w="0" w:type="dxa"/>
            <w:bottom w:w="0" w:type="dxa"/>
          </w:tblCellMar>
        </w:tblPrEx>
        <w:trPr>
          <w:trHeight w:val="353"/>
        </w:trPr>
        <w:tc>
          <w:tcPr>
            <w:tcW w:w="323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Waste bins  </w:t>
            </w:r>
          </w:p>
        </w:tc>
        <w:tc>
          <w:tcPr>
            <w:tcW w:w="3118"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88 </w:t>
            </w:r>
          </w:p>
        </w:tc>
        <w:tc>
          <w:tcPr>
            <w:tcW w:w="3010" w:type="dxa"/>
            <w:tcBorders>
              <w:top w:val="single" w:sz="4"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44 </w:t>
            </w:r>
          </w:p>
        </w:tc>
      </w:tr>
      <w:tr w:rsidR="008D2DF8" w:rsidTr="00A701B5">
        <w:tblPrEx>
          <w:tblCellMar>
            <w:top w:w="0" w:type="dxa"/>
            <w:bottom w:w="0" w:type="dxa"/>
          </w:tblCellMar>
        </w:tblPrEx>
        <w:trPr>
          <w:trHeight w:val="414"/>
        </w:trPr>
        <w:tc>
          <w:tcPr>
            <w:tcW w:w="323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Market environmental officer  </w:t>
            </w:r>
          </w:p>
        </w:tc>
        <w:tc>
          <w:tcPr>
            <w:tcW w:w="3118"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89 </w:t>
            </w:r>
          </w:p>
        </w:tc>
        <w:tc>
          <w:tcPr>
            <w:tcW w:w="3010" w:type="dxa"/>
            <w:tcBorders>
              <w:top w:val="single" w:sz="0" w:space="0" w:color="000000"/>
              <w:left w:val="single" w:sz="0" w:space="0" w:color="000000"/>
              <w:bottom w:val="single" w:sz="0"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44.5 </w:t>
            </w:r>
          </w:p>
        </w:tc>
      </w:tr>
      <w:tr w:rsidR="008D2DF8" w:rsidTr="00A701B5">
        <w:tblPrEx>
          <w:tblCellMar>
            <w:top w:w="0" w:type="dxa"/>
            <w:bottom w:w="0" w:type="dxa"/>
          </w:tblCellMar>
        </w:tblPrEx>
        <w:trPr>
          <w:trHeight w:val="483"/>
        </w:trPr>
        <w:tc>
          <w:tcPr>
            <w:tcW w:w="323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color w:val="000000"/>
                <w:sz w:val="28"/>
              </w:rPr>
              <w:t xml:space="preserve">Sensitization/ advocacy  </w:t>
            </w:r>
          </w:p>
        </w:tc>
        <w:tc>
          <w:tcPr>
            <w:tcW w:w="3118"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23 </w:t>
            </w:r>
          </w:p>
        </w:tc>
        <w:tc>
          <w:tcPr>
            <w:tcW w:w="3010" w:type="dxa"/>
            <w:tcBorders>
              <w:top w:val="single" w:sz="0"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color w:val="000000"/>
                <w:sz w:val="28"/>
              </w:rPr>
              <w:t xml:space="preserve">11.5 </w:t>
            </w:r>
          </w:p>
        </w:tc>
      </w:tr>
      <w:tr w:rsidR="008D2DF8" w:rsidTr="00A701B5">
        <w:tblPrEx>
          <w:tblCellMar>
            <w:top w:w="0" w:type="dxa"/>
            <w:bottom w:w="0" w:type="dxa"/>
          </w:tblCellMar>
        </w:tblPrEx>
        <w:trPr>
          <w:trHeight w:val="425"/>
        </w:trPr>
        <w:tc>
          <w:tcPr>
            <w:tcW w:w="323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ind w:left="122"/>
            </w:pPr>
            <w:r>
              <w:rPr>
                <w:rFonts w:ascii="Times New Roman" w:eastAsia="Times New Roman" w:hAnsi="Times New Roman" w:cs="Times New Roman"/>
                <w:b/>
                <w:color w:val="000000"/>
                <w:sz w:val="28"/>
              </w:rPr>
              <w:t xml:space="preserve">Total  </w:t>
            </w:r>
          </w:p>
        </w:tc>
        <w:tc>
          <w:tcPr>
            <w:tcW w:w="3118"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200 </w:t>
            </w:r>
          </w:p>
        </w:tc>
        <w:tc>
          <w:tcPr>
            <w:tcW w:w="3010" w:type="dxa"/>
            <w:tcBorders>
              <w:top w:val="single" w:sz="4" w:space="0" w:color="000000"/>
              <w:left w:val="single" w:sz="0" w:space="0" w:color="000000"/>
              <w:bottom w:val="single" w:sz="4" w:space="0" w:color="000000"/>
              <w:right w:val="single" w:sz="0" w:space="0" w:color="000000"/>
            </w:tcBorders>
            <w:shd w:val="clear" w:color="000000" w:fill="FFFFFF"/>
            <w:tcMar>
              <w:left w:w="56" w:type="dxa"/>
              <w:right w:w="56" w:type="dxa"/>
            </w:tcMar>
          </w:tcPr>
          <w:p w:rsidR="008D2DF8" w:rsidRDefault="008D2DF8" w:rsidP="00A701B5">
            <w:pPr>
              <w:spacing w:after="0" w:line="480" w:lineRule="auto"/>
            </w:pPr>
            <w:r>
              <w:rPr>
                <w:rFonts w:ascii="Times New Roman" w:eastAsia="Times New Roman" w:hAnsi="Times New Roman" w:cs="Times New Roman"/>
                <w:b/>
                <w:color w:val="000000"/>
                <w:sz w:val="28"/>
              </w:rPr>
              <w:t xml:space="preserve">100 </w:t>
            </w:r>
          </w:p>
        </w:tc>
      </w:tr>
    </w:tbl>
    <w:p w:rsidR="008D2DF8" w:rsidRDefault="008D2DF8" w:rsidP="008D2DF8">
      <w:pPr>
        <w:keepNext/>
        <w:keepLines/>
        <w:spacing w:after="271" w:line="480" w:lineRule="auto"/>
        <w:ind w:left="-5" w:hanging="10"/>
        <w:rPr>
          <w:rFonts w:ascii="Times New Roman" w:eastAsia="Times New Roman" w:hAnsi="Times New Roman" w:cs="Times New Roman"/>
          <w:b/>
          <w:color w:val="000000"/>
          <w:sz w:val="28"/>
        </w:rPr>
      </w:pPr>
      <w:r>
        <w:rPr>
          <w:rFonts w:ascii="Times New Roman" w:eastAsia="Times New Roman" w:hAnsi="Times New Roman" w:cs="Times New Roman"/>
          <w:b/>
          <w:i/>
          <w:color w:val="000000"/>
          <w:sz w:val="28"/>
        </w:rPr>
        <w:lastRenderedPageBreak/>
        <w:t xml:space="preserve">Source: Field Survey, 2025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further revealed that 44.5% of the respondents stated that the additional information that can aid waste management in the market is the introduction of market environmental officer while 11.5% said Sensitization/ advocacy are needed to enhance effective waste management in mandate market. This shows that majority of the respondents suggested the introduction of market environmental officers as additional information relevant to waste management.  </w:t>
      </w:r>
    </w:p>
    <w:p w:rsidR="008D2DF8" w:rsidRDefault="008D2DF8" w:rsidP="008D2DF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WASTE GENERATION AND HANDLING </w:t>
      </w:r>
    </w:p>
    <w:p w:rsidR="008D2DF8" w:rsidRDefault="008D2DF8" w:rsidP="008D2DF8">
      <w:pPr>
        <w:keepNext/>
        <w:keepLines/>
        <w:spacing w:after="0" w:line="480" w:lineRule="auto"/>
        <w:ind w:left="14" w:hanging="1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above analysis shows that 85% of the respondents affirmed that the major type of waste they generates at the market are organic waste.  This aligned with the discuss of Braimah, (2023) that markets are significant sources of waste, generating large volumes of solid waste daily and it is estimated that urban areas produce about 32 million tons of solid waste annually, with markets contributing a substantial portion. However, only 20-30% of this waste is collected and managed properly.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Added that, majority of the respondents are dumping in wastes in open space. The study further revealed that 50.5% of the respondents disclosed that they disposed their waste on daily basis.  </w:t>
      </w:r>
    </w:p>
    <w:p w:rsidR="008D2DF8" w:rsidRDefault="008D2DF8" w:rsidP="008D2DF8">
      <w:pPr>
        <w:keepNext/>
        <w:keepLines/>
        <w:spacing w:after="0" w:line="480" w:lineRule="auto"/>
        <w:ind w:left="14" w:hanging="1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lastRenderedPageBreak/>
        <w:t xml:space="preserve">WASTE MANAGEMENT PRACTICES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finding on waste management practices states that there is a designated waste collection point in the market and individual are responsible for waste collection.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study further revealed that waste bins are provided in the market but the waste bins are inadequate and trucks are mostly used to transport waste from the market to disposal sites.  </w:t>
      </w:r>
    </w:p>
    <w:p w:rsidR="008D2DF8" w:rsidRDefault="008D2DF8" w:rsidP="008D2DF8">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CHALLENGES IN WASTE MANAGEMENT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further disclosed on the challenges that the market lack water to flush meat blood and other wastes and there are penalties for improper waste disposal in the market but the constraints is that the penalties for improper waste disposal in </w:t>
      </w:r>
    </w:p>
    <w:p w:rsidR="008D2DF8" w:rsidRDefault="008D2DF8" w:rsidP="008D2DF8">
      <w:pPr>
        <w:spacing w:after="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markets are moderately effective. This relates with the suggestion of Braimah, (2023) that many markets lack the necessary waste management infrastructure, ranging from collection points, disposal facilities, and recycling centers. This inadequacy leads to improper waste disposal practices, including open dumping and burning, which exacerbate environmental pollution and health risks.  </w:t>
      </w:r>
    </w:p>
    <w:p w:rsidR="008D2DF8" w:rsidRDefault="008D2DF8" w:rsidP="008D2DF8">
      <w:pPr>
        <w:keepNext/>
        <w:keepLines/>
        <w:spacing w:after="0" w:line="480"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SUGGESTION FOR IMPROVEMENT  </w:t>
      </w:r>
    </w:p>
    <w:p w:rsidR="008D2DF8" w:rsidRDefault="008D2DF8" w:rsidP="008D2DF8">
      <w:pPr>
        <w:spacing w:after="160" w:line="480" w:lineRule="auto"/>
        <w:ind w:left="-1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The analysis at this stage shows that, 63% suggested Government Trucks as effective measures that can improve waste management in the market. This is related to the conclusion of Samuel and Olamide (2016) that effective management of environmental sanitation and solid waste necessitates collaboration among </w:t>
      </w:r>
      <w:r>
        <w:rPr>
          <w:rFonts w:ascii="Times New Roman" w:eastAsia="Times New Roman" w:hAnsi="Times New Roman" w:cs="Times New Roman"/>
          <w:color w:val="000000"/>
          <w:sz w:val="28"/>
        </w:rPr>
        <w:lastRenderedPageBreak/>
        <w:t xml:space="preserve">agencies at the state and local government levels, alongside the involvement of private entities. </w:t>
      </w:r>
    </w:p>
    <w:p w:rsidR="008D2DF8" w:rsidRDefault="008D2DF8" w:rsidP="008D2DF8">
      <w:pPr>
        <w:spacing w:after="160" w:line="480" w:lineRule="auto"/>
        <w:ind w:left="-5"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It was also disclosed that majority of the respondents said they are willing to participate in waste management initiative if introduced in the market and majority of them suggested the introduction of market environmental officers as additional information relevant to waste management. This is in consonance with the study of Amin, Ambali and &amp; Isiaq (2024) on strategies for the implementation of environmental protection regulations towards sustainable waste management in Oyo State which concluded that the Oyo State government treats environmental protection and waste management seriously it addressed through public awareness campaigns and strict law enforcement against violators </w:t>
      </w:r>
    </w:p>
    <w:p w:rsidR="008D2DF8" w:rsidRDefault="008D2DF8" w:rsidP="008D2DF8">
      <w:pPr>
        <w:spacing w:after="160" w:line="259" w:lineRule="auto"/>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 </w:t>
      </w:r>
    </w:p>
    <w:p w:rsidR="002C4BBD" w:rsidRDefault="002C4BBD"/>
    <w:sectPr w:rsidR="002C4BBD" w:rsidSect="002C4B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D2DF8"/>
    <w:rsid w:val="002C4BBD"/>
    <w:rsid w:val="00770B5E"/>
    <w:rsid w:val="008D2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53" w:line="360" w:lineRule="auto"/>
        <w:ind w:left="158" w:right="33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DF8"/>
    <w:pPr>
      <w:spacing w:before="0" w:after="200" w:line="276" w:lineRule="auto"/>
      <w:ind w:left="0" w:right="0"/>
      <w:jc w:val="left"/>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2083</Words>
  <Characters>11874</Characters>
  <Application>Microsoft Office Word</Application>
  <DocSecurity>0</DocSecurity>
  <Lines>98</Lines>
  <Paragraphs>27</Paragraphs>
  <ScaleCrop>false</ScaleCrop>
  <Company/>
  <LinksUpToDate>false</LinksUpToDate>
  <CharactersWithSpaces>13930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2025-09-05T08:12:00Z</dcterms:created>
  <dcterms:modified xsi:type="dcterms:W3CDTF">2025-09-05T08:12:00Z</dcterms:modified>
</cp:coreProperties>
</file>