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200" w:lineRule="auto" w:line="276"/>
        <w:jc w:val="left"/>
        <w:rPr/>
      </w:pPr>
      <w:bookmarkStart w:id="0" w:name="_GoBack"/>
      <w:bookmarkEnd w:id="0"/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FOUR: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RESULTS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DISCUSSION</w:t>
      </w:r>
    </w:p>
    <w:p>
      <w:pPr>
        <w:pStyle w:val="style0"/>
        <w:spacing w:after="200" w:lineRule="auto" w:line="276"/>
        <w:ind w:left="360"/>
        <w:jc w:val="left"/>
        <w:rPr/>
      </w:pPr>
    </w:p>
    <w:p>
      <w:pPr>
        <w:pStyle w:val="style0"/>
        <w:numPr>
          <w:ilvl w:val="0"/>
          <w:numId w:val="0"/>
        </w:numPr>
        <w:spacing w:after="200" w:lineRule="auto" w:line="276"/>
        <w:ind w:left="0" w:leftChars="0" w:firstLine="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outcomes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evaluates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analyzes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implications,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discusses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encountered.</w:t>
      </w:r>
    </w:p>
    <w:p>
      <w:pPr>
        <w:pStyle w:val="style0"/>
        <w:numPr>
          <w:ilvl w:val="0"/>
          <w:numId w:val="0"/>
        </w:numPr>
        <w:spacing w:after="200" w:lineRule="auto" w:line="276"/>
        <w:ind w:left="0" w:leftChars="0" w:firstLine="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4.1 Final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Output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Description</w:t>
      </w:r>
    </w:p>
    <w:p>
      <w:pPr>
        <w:pStyle w:val="style0"/>
        <w:numPr>
          <w:ilvl w:val="0"/>
          <w:numId w:val="0"/>
        </w:numPr>
        <w:spacing w:after="200" w:lineRule="auto" w:line="276"/>
        <w:ind w:left="0" w:leftChars="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4.2 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completed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approximately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1980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x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900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suitable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standard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residential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entryway.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consisted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of:</w:t>
      </w:r>
    </w:p>
    <w:p>
      <w:pPr>
        <w:pStyle w:val="style0"/>
        <w:numPr>
          <w:ilvl w:val="0"/>
          <w:numId w:val="0"/>
        </w:numPr>
        <w:spacing w:after="200" w:lineRule="auto" w:line="276"/>
        <w:ind w:left="0" w:leftChars="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4.3 Two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vertically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aligned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reinforced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horizontal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stiffeners.</w:t>
      </w:r>
    </w:p>
    <w:p>
      <w:pPr>
        <w:pStyle w:val="style0"/>
        <w:numPr>
          <w:ilvl w:val="0"/>
          <w:numId w:val="0"/>
        </w:numPr>
        <w:spacing w:after="200" w:lineRule="auto" w:line="276"/>
        <w:ind w:left="0" w:leftChars="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4.4 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angle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securely.</w:t>
      </w:r>
    </w:p>
    <w:p>
      <w:pPr>
        <w:pStyle w:val="style0"/>
        <w:numPr>
          <w:ilvl w:val="0"/>
          <w:numId w:val="0"/>
        </w:numPr>
        <w:spacing w:after="200" w:lineRule="auto" w:line="276"/>
        <w:ind w:left="0" w:leftChars="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4.5 Heavy-duty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weight</w:t>
      </w:r>
    </w:p>
    <w:p>
      <w:pPr>
        <w:pStyle w:val="style0"/>
        <w:numPr>
          <w:ilvl w:val="0"/>
          <w:numId w:val="0"/>
        </w:numPr>
        <w:spacing w:after="200" w:lineRule="auto" w:line="276"/>
        <w:ind w:left="0" w:leftChars="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4.6 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metallic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handle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lockset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control.</w:t>
      </w:r>
    </w:p>
    <w:p>
      <w:pPr>
        <w:pStyle w:val="style0"/>
        <w:numPr>
          <w:ilvl w:val="0"/>
          <w:numId w:val="0"/>
        </w:numPr>
        <w:spacing w:after="200" w:lineRule="auto" w:line="276"/>
        <w:ind w:left="0" w:leftChars="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4.7 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surface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finish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oxide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enamel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paint.</w:t>
      </w:r>
    </w:p>
    <w:p>
      <w:pPr>
        <w:pStyle w:val="style0"/>
        <w:numPr>
          <w:ilvl w:val="0"/>
          <w:numId w:val="0"/>
        </w:numPr>
        <w:spacing w:after="200" w:lineRule="auto" w:line="276"/>
        <w:ind w:left="0" w:leftChars="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4.8 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smoothly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hinges,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lockset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functioned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properly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installation.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demonstrated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adequate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stiffness,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strength,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aesthetics.</w:t>
      </w:r>
    </w:p>
    <w:p>
      <w:pPr>
        <w:pStyle w:val="style0"/>
        <w:numPr>
          <w:ilvl w:val="0"/>
          <w:numId w:val="0"/>
        </w:numPr>
        <w:spacing w:after="200" w:lineRule="auto" w:line="276"/>
        <w:ind w:left="0" w:leftChars="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4.9 Performance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Evaluation</w:t>
      </w:r>
    </w:p>
    <w:p>
      <w:pPr>
        <w:pStyle w:val="style0"/>
        <w:numPr>
          <w:ilvl w:val="0"/>
          <w:numId w:val="0"/>
        </w:numPr>
        <w:spacing w:after="200" w:lineRule="auto" w:line="276"/>
        <w:ind w:left="0" w:leftChars="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4.10 Criteria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Observation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Integrity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vibration.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Lockset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solid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Aesthetic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Clean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surface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finish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paint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coverage.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withstand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corrosion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Mechanism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Smooth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closing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misalignment.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successfully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specifications.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tested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standard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conditions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suitable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regular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residential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use.</w:t>
      </w:r>
    </w:p>
    <w:p>
      <w:pPr>
        <w:pStyle w:val="style0"/>
        <w:numPr>
          <w:ilvl w:val="0"/>
          <w:numId w:val="0"/>
        </w:numPr>
        <w:spacing w:after="200" w:lineRule="auto" w:line="276"/>
        <w:ind w:left="0" w:leftChars="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numPr>
          <w:ilvl w:val="0"/>
          <w:numId w:val="0"/>
        </w:numPr>
        <w:spacing w:after="200" w:lineRule="auto" w:line="276"/>
        <w:ind w:left="0" w:leftChars="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numPr>
          <w:ilvl w:val="0"/>
          <w:numId w:val="0"/>
        </w:numPr>
        <w:spacing w:after="200" w:lineRule="auto" w:line="276"/>
        <w:ind w:left="0" w:leftChars="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numPr>
          <w:ilvl w:val="0"/>
          <w:numId w:val="0"/>
        </w:numPr>
        <w:spacing w:after="200" w:lineRule="auto" w:line="276"/>
        <w:ind w:left="0" w:leftChars="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numPr>
          <w:ilvl w:val="0"/>
          <w:numId w:val="0"/>
        </w:numPr>
        <w:spacing w:after="200" w:lineRule="auto" w:line="276"/>
        <w:ind w:left="0" w:leftChars="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numPr>
          <w:ilvl w:val="0"/>
          <w:numId w:val="0"/>
        </w:numPr>
        <w:spacing w:after="200" w:lineRule="auto" w:line="276"/>
        <w:ind w:left="0" w:leftChars="0"/>
        <w:jc w:val="both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numPr>
          <w:ilvl w:val="0"/>
          <w:numId w:val="0"/>
        </w:numPr>
        <w:spacing w:after="200" w:lineRule="auto" w:line="276"/>
        <w:ind w:left="0" w:leftChars="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4.11 Cost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</w:p>
    <w:tbl>
      <w:tblPr>
        <w:tblStyle w:val="style154"/>
        <w:tblpPr w:leftFromText="0" w:rightFromText="0" w:topFromText="0" w:bottomFromText="0" w:vertAnchor="text" w:horzAnchor="page" w:tblpX="1711" w:tblpY="1786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718"/>
        <w:gridCol w:w="3112"/>
        <w:gridCol w:w="1915"/>
        <w:gridCol w:w="1915"/>
        <w:gridCol w:w="1916"/>
      </w:tblGrid>
      <w:tr>
        <w:trPr>
          <w:jc w:val="left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S/N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 xml:space="preserve">Item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 xml:space="preserve">Quantity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Unit price(#)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Total(#)</w:t>
            </w:r>
          </w:p>
        </w:tc>
      </w:tr>
      <w:tr>
        <w:tblPrEx/>
        <w:trPr>
          <w:trHeight w:val="467" w:hRule="atLeast"/>
          <w:jc w:val="left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Mild steel sheet (1 guage)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 xml:space="preserve">1 sheet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30,000.00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30,000.00</w:t>
            </w:r>
          </w:p>
        </w:tc>
      </w:tr>
      <w:tr>
        <w:tblPrEx/>
        <w:trPr>
          <w:jc w:val="left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Angle iron (30mm x 30mm)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3 lengths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25,000.00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25,000.00</w:t>
            </w:r>
          </w:p>
        </w:tc>
      </w:tr>
      <w:tr>
        <w:tblPrEx/>
        <w:trPr>
          <w:jc w:val="left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Welding electrodes (E6013)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 xml:space="preserve">1 pack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6,500.00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6,500.00</w:t>
            </w:r>
          </w:p>
        </w:tc>
      </w:tr>
      <w:tr>
        <w:tblPrEx/>
        <w:trPr>
          <w:jc w:val="left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 xml:space="preserve">Lockset and handle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1 set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6,000.00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6,000.00</w:t>
            </w:r>
          </w:p>
        </w:tc>
      </w:tr>
      <w:tr>
        <w:tblPrEx/>
        <w:trPr>
          <w:jc w:val="left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Hinges (Heavy-duty)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 xml:space="preserve">2 pieces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2,500.00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5,000.00</w:t>
            </w:r>
          </w:p>
        </w:tc>
      </w:tr>
      <w:tr>
        <w:tblPrEx/>
        <w:trPr>
          <w:jc w:val="left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 xml:space="preserve">Red oxide primer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 xml:space="preserve">1 liter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3,000.00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3,000.00</w:t>
            </w:r>
          </w:p>
        </w:tc>
      </w:tr>
      <w:tr>
        <w:tblPrEx/>
        <w:trPr>
          <w:jc w:val="left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Enamel paint (Black)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 xml:space="preserve">1 liter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3,000.00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3,000.00</w:t>
            </w:r>
          </w:p>
        </w:tc>
      </w:tr>
      <w:tr>
        <w:tblPrEx/>
        <w:trPr>
          <w:trHeight w:val="635" w:hRule="atLeast"/>
          <w:jc w:val="left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 xml:space="preserve">Grinding and finishing materials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5,000.00</w:t>
            </w:r>
          </w:p>
        </w:tc>
      </w:tr>
      <w:tr>
        <w:tblPrEx/>
        <w:trPr>
          <w:jc w:val="left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Total cost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spacing w:after="200" w:lineRule="auto" w:line="276"/>
              <w:ind w:left="0" w:leftChars="0"/>
              <w:jc w:val="both"/>
              <w:rPr/>
            </w:pPr>
            <w:r>
              <w:rPr>
                <w:lang w:val="en-US"/>
              </w:rPr>
              <w:t>#83,500.00</w:t>
            </w:r>
          </w:p>
        </w:tc>
      </w:tr>
    </w:tbl>
    <w:p>
      <w:pPr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 cost reflects the practical affordability of producing a standard metal door in local workshops compared to imported alternatives which may exceed ₦83,500</w:t>
      </w:r>
    </w:p>
    <w:p>
      <w:pPr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4.12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Encountered</w:t>
      </w:r>
    </w:p>
    <w:p>
      <w:pPr>
        <w:spacing w:after="200" w:lineRule="auto" w:line="276"/>
        <w:ind w:left="360"/>
        <w:jc w:val="left"/>
        <w:rPr/>
      </w:pPr>
    </w:p>
    <w:p>
      <w:pPr>
        <w:spacing w:after="200" w:lineRule="auto" w:line="276"/>
        <w:ind w:left="36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Defects: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Initial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porosity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electrode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angle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contamination;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resolved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cleaning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surfaces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adjusting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parameters.</w:t>
      </w:r>
    </w:p>
    <w:p>
      <w:pPr>
        <w:spacing w:after="200" w:lineRule="auto" w:line="276"/>
        <w:ind w:left="360"/>
        <w:jc w:val="left"/>
        <w:rPr/>
      </w:pPr>
    </w:p>
    <w:p>
      <w:pPr>
        <w:spacing w:after="200" w:lineRule="auto" w:line="276"/>
        <w:ind w:left="36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Handling: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sheets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heavy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teamwork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alignment.</w:t>
      </w:r>
    </w:p>
    <w:p>
      <w:pPr>
        <w:spacing w:after="200" w:lineRule="auto" w:line="276"/>
        <w:ind w:left="360"/>
        <w:jc w:val="left"/>
        <w:rPr/>
      </w:pPr>
    </w:p>
    <w:p>
      <w:pPr>
        <w:spacing w:after="200" w:lineRule="auto" w:line="276"/>
        <w:ind w:left="36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Paint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Drips: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Occurred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enamel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controlled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brushing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mixing.</w:t>
      </w:r>
    </w:p>
    <w:p>
      <w:pPr>
        <w:spacing w:after="200" w:lineRule="auto" w:line="276"/>
        <w:ind w:left="360"/>
        <w:jc w:val="left"/>
        <w:rPr/>
      </w:pPr>
    </w:p>
    <w:p>
      <w:pPr>
        <w:pStyle w:val="style0"/>
        <w:numPr>
          <w:ilvl w:val="0"/>
          <w:numId w:val="0"/>
        </w:numPr>
        <w:spacing w:after="200" w:lineRule="auto" w:line="276"/>
        <w:ind w:left="0" w:leftChars="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Wear: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cutting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blunt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mid-process,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necessitating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replacement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Despite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functional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expectations.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384</Words>
  <Characters>2272</Characters>
  <Application>WPS Office</Application>
  <Paragraphs>103</Paragraphs>
  <CharactersWithSpaces>2600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2025-08-15T10:40:07Z</dcterms:created>
  <dc:creator>itel A665L</dc:creator>
  <lastModifiedBy>itel A665L</lastModifiedBy>
  <dcterms:modified xsi:type="dcterms:W3CDTF">2025-08-15T11:03:15Z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48582b09e63849568c73686a5c54ddfe</vt:lpwstr>
  </property>
</Properties>
</file>