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40" w:rsidRDefault="00151240" w:rsidP="00151240">
      <w:pPr>
        <w:autoSpaceDE w:val="0"/>
        <w:spacing w:before="0" w:beforeAutospacing="0" w:after="0" w:line="480" w:lineRule="auto"/>
        <w:jc w:val="center"/>
        <w:rPr>
          <w:rFonts w:ascii="Times New Roman" w:hAnsi="Times New Roman"/>
          <w:sz w:val="24"/>
          <w:szCs w:val="24"/>
        </w:rPr>
      </w:pPr>
      <w:r>
        <w:rPr>
          <w:rFonts w:ascii="Times New Roman" w:hAnsi="Times New Roman"/>
          <w:b/>
          <w:sz w:val="24"/>
          <w:szCs w:val="24"/>
        </w:rPr>
        <w:t>CHAPTER FOUR</w:t>
      </w:r>
    </w:p>
    <w:p w:rsidR="00151240" w:rsidRPr="001D3552" w:rsidRDefault="00151240" w:rsidP="00151240">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 xml:space="preserve">This chapter presents the data collected from respondents within </w:t>
      </w:r>
      <w:proofErr w:type="spellStart"/>
      <w:r>
        <w:rPr>
          <w:rFonts w:ascii="Times New Roman" w:hAnsi="Times New Roman"/>
          <w:sz w:val="24"/>
          <w:szCs w:val="24"/>
        </w:rPr>
        <w:t>Alhaji</w:t>
      </w:r>
      <w:proofErr w:type="spellEnd"/>
      <w:r>
        <w:rPr>
          <w:rFonts w:ascii="Times New Roman" w:hAnsi="Times New Roman"/>
          <w:sz w:val="24"/>
          <w:szCs w:val="24"/>
        </w:rPr>
        <w:t xml:space="preserve"> </w:t>
      </w:r>
      <w:proofErr w:type="spellStart"/>
      <w:r>
        <w:rPr>
          <w:rFonts w:ascii="Times New Roman" w:hAnsi="Times New Roman"/>
          <w:sz w:val="24"/>
          <w:szCs w:val="24"/>
        </w:rPr>
        <w:t>Oseni</w:t>
      </w:r>
      <w:proofErr w:type="spellEnd"/>
      <w:r>
        <w:rPr>
          <w:rFonts w:ascii="Times New Roman" w:hAnsi="Times New Roman"/>
          <w:sz w:val="24"/>
          <w:szCs w:val="24"/>
        </w:rPr>
        <w:t xml:space="preserve"> </w:t>
      </w:r>
      <w:proofErr w:type="spellStart"/>
      <w:r>
        <w:rPr>
          <w:rFonts w:ascii="Times New Roman" w:hAnsi="Times New Roman"/>
          <w:sz w:val="24"/>
          <w:szCs w:val="24"/>
        </w:rPr>
        <w:t>Olanrewaju</w:t>
      </w:r>
      <w:proofErr w:type="spellEnd"/>
      <w:r>
        <w:rPr>
          <w:rFonts w:ascii="Times New Roman" w:hAnsi="Times New Roman"/>
          <w:sz w:val="24"/>
          <w:szCs w:val="24"/>
        </w:rPr>
        <w:t xml:space="preserve"> Estate regarding the challenges associated with the management and maintenance of the estate. The results are analyzed in line with the research objectives, and the responses are interpreted to provide insight into the current state of the estate.</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 xml:space="preserve">A total of fifty (50) questionnaires were distributed to residents, caretakers, and other stakeholders of </w:t>
      </w:r>
      <w:proofErr w:type="spellStart"/>
      <w:r>
        <w:rPr>
          <w:rFonts w:ascii="Times New Roman" w:hAnsi="Times New Roman"/>
          <w:sz w:val="24"/>
          <w:szCs w:val="24"/>
        </w:rPr>
        <w:t>Alhaji</w:t>
      </w:r>
      <w:proofErr w:type="spellEnd"/>
      <w:r>
        <w:rPr>
          <w:rFonts w:ascii="Times New Roman" w:hAnsi="Times New Roman"/>
          <w:sz w:val="24"/>
          <w:szCs w:val="24"/>
        </w:rPr>
        <w:t xml:space="preserve"> </w:t>
      </w:r>
      <w:proofErr w:type="spellStart"/>
      <w:r>
        <w:rPr>
          <w:rFonts w:ascii="Times New Roman" w:hAnsi="Times New Roman"/>
          <w:sz w:val="24"/>
          <w:szCs w:val="24"/>
        </w:rPr>
        <w:t>Oseni</w:t>
      </w:r>
      <w:proofErr w:type="spellEnd"/>
      <w:r>
        <w:rPr>
          <w:rFonts w:ascii="Times New Roman" w:hAnsi="Times New Roman"/>
          <w:sz w:val="24"/>
          <w:szCs w:val="24"/>
        </w:rPr>
        <w:t xml:space="preserve"> </w:t>
      </w:r>
      <w:proofErr w:type="spellStart"/>
      <w:r>
        <w:rPr>
          <w:rFonts w:ascii="Times New Roman" w:hAnsi="Times New Roman"/>
          <w:sz w:val="24"/>
          <w:szCs w:val="24"/>
        </w:rPr>
        <w:t>Olanrewaju</w:t>
      </w:r>
      <w:proofErr w:type="spellEnd"/>
      <w:r>
        <w:rPr>
          <w:rFonts w:ascii="Times New Roman" w:hAnsi="Times New Roman"/>
          <w:sz w:val="24"/>
          <w:szCs w:val="24"/>
        </w:rPr>
        <w:t xml:space="preserve"> Estate. Out of these, forty-five (45) were correctly filled and returned, representing a 90% response rate. This high return rate indicates a strong interest and concern among residents regarding the state of their living environment.</w:t>
      </w:r>
    </w:p>
    <w:p w:rsidR="00151240" w:rsidRDefault="00151240" w:rsidP="00151240">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54"/>
        <w:gridCol w:w="1832"/>
        <w:gridCol w:w="1590"/>
        <w:gridCol w:w="1590"/>
        <w:gridCol w:w="1216"/>
        <w:gridCol w:w="1045"/>
      </w:tblGrid>
      <w:tr w:rsidR="00151240" w:rsidTr="0082021A">
        <w:tc>
          <w:tcPr>
            <w:tcW w:w="1754"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151240" w:rsidTr="0082021A">
        <w:tc>
          <w:tcPr>
            <w:tcW w:w="1754"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151240" w:rsidRDefault="00151240" w:rsidP="00151240">
      <w:pPr>
        <w:autoSpaceDE w:val="0"/>
        <w:spacing w:before="0" w:beforeAutospacing="0" w:after="0" w:line="480" w:lineRule="auto"/>
        <w:jc w:val="both"/>
        <w:rPr>
          <w:rFonts w:ascii="Times New Roman" w:hAnsi="Times New Roman"/>
          <w:sz w:val="24"/>
          <w:szCs w:val="24"/>
        </w:rPr>
      </w:pPr>
    </w:p>
    <w:p w:rsidR="00151240" w:rsidRPr="00F07E86" w:rsidRDefault="00151240" w:rsidP="00151240">
      <w:pPr>
        <w:autoSpaceDE w:val="0"/>
        <w:spacing w:before="0" w:beforeAutospacing="0" w:after="0" w:line="480" w:lineRule="auto"/>
        <w:jc w:val="both"/>
        <w:rPr>
          <w:rFonts w:ascii="Times New Roman" w:hAnsi="Times New Roman"/>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drawing>
          <wp:anchor distT="0" distB="0" distL="114300" distR="114300" simplePos="0" relativeHeight="251659264"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151240" w:rsidTr="0082021A">
        <w:trPr>
          <w:trHeight w:hRule="exact" w:val="658"/>
        </w:trPr>
        <w:tc>
          <w:tcPr>
            <w:tcW w:w="2737"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151240" w:rsidRPr="00F07E86" w:rsidTr="0082021A">
        <w:trPr>
          <w:trHeight w:val="475"/>
        </w:trPr>
        <w:tc>
          <w:tcPr>
            <w:tcW w:w="2737"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151240" w:rsidRPr="00F07E86" w:rsidTr="0082021A">
        <w:trPr>
          <w:trHeight w:val="475"/>
        </w:trPr>
        <w:tc>
          <w:tcPr>
            <w:tcW w:w="2737"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151240" w:rsidRPr="00F07E86" w:rsidTr="0082021A">
        <w:trPr>
          <w:trHeight w:val="475"/>
        </w:trPr>
        <w:tc>
          <w:tcPr>
            <w:tcW w:w="2737"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151240" w:rsidRPr="00F07E86" w:rsidTr="0082021A">
        <w:trPr>
          <w:trHeight w:val="475"/>
        </w:trPr>
        <w:tc>
          <w:tcPr>
            <w:tcW w:w="2737" w:type="dxa"/>
          </w:tcPr>
          <w:p w:rsidR="00151240" w:rsidRPr="00586C27" w:rsidRDefault="00151240" w:rsidP="0082021A">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151240" w:rsidRPr="00586C27" w:rsidRDefault="00151240" w:rsidP="0082021A">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151240" w:rsidRPr="00586C27" w:rsidRDefault="00151240" w:rsidP="0082021A">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lastRenderedPageBreak/>
        <w:t>Most respondents were civil servants (40%) and business owners (33.3%). This implies a middle-income community with expectations for a moderately maintained residential environment.</w:t>
      </w:r>
    </w:p>
    <w:p w:rsidR="00151240" w:rsidRDefault="00151240" w:rsidP="00151240">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151240" w:rsidTr="0082021A">
        <w:trPr>
          <w:trHeight w:hRule="exact" w:val="658"/>
        </w:trPr>
        <w:tc>
          <w:tcPr>
            <w:tcW w:w="2737"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151240" w:rsidRPr="00F07E86" w:rsidTr="0082021A">
        <w:trPr>
          <w:trHeight w:val="475"/>
        </w:trPr>
        <w:tc>
          <w:tcPr>
            <w:tcW w:w="2737"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151240" w:rsidRPr="00F07E86" w:rsidTr="0082021A">
        <w:trPr>
          <w:trHeight w:val="475"/>
        </w:trPr>
        <w:tc>
          <w:tcPr>
            <w:tcW w:w="2737"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151240" w:rsidTr="0082021A">
        <w:trPr>
          <w:trHeight w:hRule="exact" w:val="658"/>
          <w:jc w:val="center"/>
        </w:trPr>
        <w:tc>
          <w:tcPr>
            <w:tcW w:w="4068"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151240" w:rsidRDefault="00151240" w:rsidP="0082021A">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151240" w:rsidTr="0082021A">
        <w:trPr>
          <w:trHeight w:val="475"/>
          <w:jc w:val="center"/>
        </w:trPr>
        <w:tc>
          <w:tcPr>
            <w:tcW w:w="4068"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151240" w:rsidRPr="00F07E86"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151240" w:rsidTr="0082021A">
        <w:trPr>
          <w:trHeight w:val="475"/>
          <w:jc w:val="center"/>
        </w:trPr>
        <w:tc>
          <w:tcPr>
            <w:tcW w:w="406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151240" w:rsidTr="0082021A">
        <w:trPr>
          <w:trHeight w:val="475"/>
          <w:jc w:val="center"/>
        </w:trPr>
        <w:tc>
          <w:tcPr>
            <w:tcW w:w="406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151240" w:rsidTr="0082021A">
        <w:trPr>
          <w:trHeight w:val="475"/>
          <w:jc w:val="center"/>
        </w:trPr>
        <w:tc>
          <w:tcPr>
            <w:tcW w:w="406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151240" w:rsidTr="0082021A">
        <w:trPr>
          <w:trHeight w:val="475"/>
          <w:jc w:val="center"/>
        </w:trPr>
        <w:tc>
          <w:tcPr>
            <w:tcW w:w="4068"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151240" w:rsidRDefault="00151240" w:rsidP="0082021A">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Default="00151240" w:rsidP="00151240">
      <w:pPr>
        <w:autoSpaceDE w:val="0"/>
        <w:spacing w:before="0" w:beforeAutospacing="0" w:after="0" w:line="480" w:lineRule="auto"/>
        <w:jc w:val="both"/>
        <w:rPr>
          <w:rFonts w:ascii="Times New Roman" w:hAnsi="Times New Roman"/>
          <w:b/>
          <w:sz w:val="24"/>
          <w:szCs w:val="24"/>
        </w:rPr>
      </w:pP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Interpretation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data suggest that infrastructure decay is a major concern for residents. Poor drainage and road networks not only inconvenience residents but also pose health and safety risks, especially during the rainy season. The presence of waste and </w:t>
      </w:r>
      <w:proofErr w:type="spellStart"/>
      <w:r>
        <w:rPr>
          <w:rFonts w:ascii="Times New Roman" w:hAnsi="Times New Roman"/>
          <w:sz w:val="24"/>
          <w:szCs w:val="24"/>
        </w:rPr>
        <w:t>inaderate</w:t>
      </w:r>
      <w:proofErr w:type="spellEnd"/>
      <w:r>
        <w:rPr>
          <w:rFonts w:ascii="Times New Roman" w:hAnsi="Times New Roman"/>
          <w:sz w:val="24"/>
          <w:szCs w:val="24"/>
        </w:rPr>
        <w:t xml:space="preserve"> lighting further reflects poor estate management.</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151240" w:rsidRDefault="00151240" w:rsidP="00151240">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151240" w:rsidRPr="001D3552" w:rsidRDefault="00151240" w:rsidP="00151240">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151240" w:rsidRDefault="00151240" w:rsidP="00151240">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151240" w:rsidRDefault="00151240" w:rsidP="00151240">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Majority of residents are unaware of formal maintenance policies.</w:t>
      </w:r>
    </w:p>
    <w:p w:rsidR="00151240" w:rsidRDefault="00151240" w:rsidP="00151240">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Funding, leadership gaps, and resident apathy are major challenges.</w:t>
      </w:r>
    </w:p>
    <w:p w:rsidR="00151240" w:rsidRDefault="00151240" w:rsidP="00151240">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151240" w:rsidRDefault="00151240" w:rsidP="00151240">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51240"/>
    <w:rsid w:val="00151240"/>
    <w:rsid w:val="00491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40"/>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2025-08-14T08:24:00Z</dcterms:created>
  <dcterms:modified xsi:type="dcterms:W3CDTF">2025-08-14T08:24:00Z</dcterms:modified>
</cp:coreProperties>
</file>