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7FD" w:rsidRPr="007E5434" w:rsidRDefault="008B57FD" w:rsidP="008B57FD">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CHAPTER FOUR</w:t>
      </w:r>
    </w:p>
    <w:p w:rsidR="008B57FD" w:rsidRPr="007E5434" w:rsidRDefault="008B57FD" w:rsidP="008B57F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7E5434">
        <w:rPr>
          <w:rFonts w:ascii="Times New Roman" w:hAnsi="Times New Roman" w:cs="Times New Roman"/>
          <w:b/>
          <w:sz w:val="24"/>
          <w:szCs w:val="24"/>
        </w:rPr>
        <w:t xml:space="preserve">RESULT AND DISCUSSION </w:t>
      </w:r>
    </w:p>
    <w:p w:rsidR="008B57FD" w:rsidRPr="007E5434" w:rsidRDefault="008B57FD" w:rsidP="008B57F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E5434">
        <w:rPr>
          <w:rFonts w:ascii="Times New Roman" w:hAnsi="Times New Roman" w:cs="Times New Roman"/>
          <w:b/>
          <w:sz w:val="24"/>
          <w:szCs w:val="24"/>
        </w:rPr>
        <w:t xml:space="preserve">Results of Heavy Metals Analysis: </w:t>
      </w:r>
    </w:p>
    <w:p w:rsidR="008B57FD" w:rsidRPr="007E5434" w:rsidRDefault="008B57FD" w:rsidP="008B57FD">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The </w:t>
      </w:r>
      <w:proofErr w:type="gramStart"/>
      <w:r w:rsidRPr="007E5434">
        <w:rPr>
          <w:rFonts w:ascii="Times New Roman" w:hAnsi="Times New Roman" w:cs="Times New Roman"/>
          <w:sz w:val="24"/>
          <w:szCs w:val="24"/>
        </w:rPr>
        <w:t>results of the heavy metals of the analyzed samples is</w:t>
      </w:r>
      <w:proofErr w:type="gramEnd"/>
      <w:r w:rsidRPr="007E5434">
        <w:rPr>
          <w:rFonts w:ascii="Times New Roman" w:hAnsi="Times New Roman" w:cs="Times New Roman"/>
          <w:sz w:val="24"/>
          <w:szCs w:val="24"/>
        </w:rPr>
        <w:t xml:space="preserve"> presented in table 5:</w:t>
      </w:r>
    </w:p>
    <w:p w:rsidR="008B57FD" w:rsidRPr="00381BE3" w:rsidRDefault="008B57FD" w:rsidP="008B57FD">
      <w:pPr>
        <w:spacing w:after="0" w:line="480" w:lineRule="auto"/>
        <w:jc w:val="both"/>
        <w:rPr>
          <w:rFonts w:ascii="Times New Roman" w:hAnsi="Times New Roman" w:cs="Times New Roman"/>
          <w:b/>
          <w:sz w:val="24"/>
          <w:szCs w:val="24"/>
        </w:rPr>
      </w:pPr>
      <w:r w:rsidRPr="00381BE3">
        <w:rPr>
          <w:rFonts w:ascii="Times New Roman" w:hAnsi="Times New Roman" w:cs="Times New Roman"/>
          <w:b/>
          <w:sz w:val="24"/>
          <w:szCs w:val="24"/>
        </w:rPr>
        <w:t xml:space="preserve">      Table </w:t>
      </w:r>
      <w:r>
        <w:rPr>
          <w:rFonts w:ascii="Times New Roman" w:hAnsi="Times New Roman" w:cs="Times New Roman"/>
          <w:b/>
          <w:sz w:val="24"/>
          <w:szCs w:val="24"/>
        </w:rPr>
        <w:t>3</w:t>
      </w:r>
      <w:r w:rsidRPr="00381BE3">
        <w:rPr>
          <w:rFonts w:ascii="Times New Roman" w:hAnsi="Times New Roman" w:cs="Times New Roman"/>
          <w:b/>
          <w:sz w:val="24"/>
          <w:szCs w:val="24"/>
        </w:rPr>
        <w:t xml:space="preserve">: </w:t>
      </w:r>
      <w:r>
        <w:rPr>
          <w:rFonts w:ascii="Times New Roman" w:hAnsi="Times New Roman" w:cs="Times New Roman"/>
          <w:b/>
          <w:sz w:val="24"/>
          <w:szCs w:val="24"/>
        </w:rPr>
        <w:t xml:space="preserve">Heavy Metals of water samples </w:t>
      </w:r>
      <w:r w:rsidRPr="00381BE3">
        <w:rPr>
          <w:rFonts w:ascii="Times New Roman" w:hAnsi="Times New Roman" w:cs="Times New Roman"/>
          <w:b/>
          <w:sz w:val="24"/>
          <w:szCs w:val="24"/>
        </w:rPr>
        <w:t>Analysed:</w:t>
      </w:r>
    </w:p>
    <w:tbl>
      <w:tblPr>
        <w:tblStyle w:val="TableGrid"/>
        <w:tblW w:w="9576" w:type="dxa"/>
        <w:tblLook w:val="04A0" w:firstRow="1" w:lastRow="0" w:firstColumn="1" w:lastColumn="0" w:noHBand="0" w:noVBand="1"/>
      </w:tblPr>
      <w:tblGrid>
        <w:gridCol w:w="590"/>
        <w:gridCol w:w="1217"/>
        <w:gridCol w:w="1016"/>
        <w:gridCol w:w="1016"/>
        <w:gridCol w:w="1016"/>
        <w:gridCol w:w="1100"/>
        <w:gridCol w:w="827"/>
        <w:gridCol w:w="1083"/>
        <w:gridCol w:w="1711"/>
      </w:tblGrid>
      <w:tr w:rsidR="008B57FD" w:rsidRPr="00C33F72" w:rsidTr="004D736E">
        <w:tc>
          <w:tcPr>
            <w:tcW w:w="497" w:type="dxa"/>
          </w:tcPr>
          <w:p w:rsidR="008B57FD" w:rsidRPr="00C33F72" w:rsidRDefault="008B57FD" w:rsidP="004D736E">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S/N</w:t>
            </w:r>
          </w:p>
        </w:tc>
        <w:tc>
          <w:tcPr>
            <w:tcW w:w="977" w:type="dxa"/>
          </w:tcPr>
          <w:p w:rsidR="008B57FD" w:rsidRPr="00C33F72" w:rsidRDefault="008B57FD" w:rsidP="004D736E">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 xml:space="preserve">SAMPLE CODE  </w:t>
            </w:r>
          </w:p>
        </w:tc>
        <w:tc>
          <w:tcPr>
            <w:tcW w:w="816" w:type="dxa"/>
          </w:tcPr>
          <w:p w:rsidR="008B57FD" w:rsidRPr="00C33F72" w:rsidRDefault="008B57FD" w:rsidP="004D736E">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CD (MG/L)</w:t>
            </w:r>
          </w:p>
        </w:tc>
        <w:tc>
          <w:tcPr>
            <w:tcW w:w="816" w:type="dxa"/>
          </w:tcPr>
          <w:p w:rsidR="008B57FD" w:rsidRPr="00C33F72" w:rsidRDefault="008B57FD" w:rsidP="004D736E">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CR (MG/L)</w:t>
            </w:r>
          </w:p>
        </w:tc>
        <w:tc>
          <w:tcPr>
            <w:tcW w:w="962" w:type="dxa"/>
          </w:tcPr>
          <w:p w:rsidR="008B57FD" w:rsidRPr="00C33F72" w:rsidRDefault="008B57FD" w:rsidP="004D736E">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NI (MG/L)</w:t>
            </w:r>
          </w:p>
        </w:tc>
        <w:tc>
          <w:tcPr>
            <w:tcW w:w="1260" w:type="dxa"/>
          </w:tcPr>
          <w:p w:rsidR="008B57FD" w:rsidRPr="00C33F72" w:rsidRDefault="008B57FD" w:rsidP="004D736E">
            <w:pPr>
              <w:spacing w:line="480" w:lineRule="auto"/>
              <w:jc w:val="both"/>
              <w:rPr>
                <w:rFonts w:ascii="Times New Roman" w:hAnsi="Times New Roman" w:cs="Times New Roman"/>
                <w:b/>
                <w:sz w:val="24"/>
                <w:szCs w:val="24"/>
              </w:rPr>
            </w:pPr>
            <w:r>
              <w:rPr>
                <w:rFonts w:ascii="Times New Roman" w:hAnsi="Times New Roman" w:cs="Times New Roman"/>
                <w:b/>
                <w:sz w:val="24"/>
                <w:szCs w:val="24"/>
              </w:rPr>
              <w:t>PB</w:t>
            </w:r>
            <w:r w:rsidRPr="00C33F72">
              <w:rPr>
                <w:rFonts w:ascii="Times New Roman" w:hAnsi="Times New Roman" w:cs="Times New Roman"/>
                <w:b/>
                <w:sz w:val="24"/>
                <w:szCs w:val="24"/>
                <w:vertAlign w:val="superscript"/>
              </w:rPr>
              <w:t>2+</w:t>
            </w:r>
            <w:r w:rsidRPr="00C33F72">
              <w:rPr>
                <w:rFonts w:ascii="Times New Roman" w:hAnsi="Times New Roman" w:cs="Times New Roman"/>
                <w:b/>
                <w:sz w:val="24"/>
                <w:szCs w:val="24"/>
              </w:rPr>
              <w:t xml:space="preserve"> (MG/L)</w:t>
            </w:r>
          </w:p>
        </w:tc>
        <w:tc>
          <w:tcPr>
            <w:tcW w:w="900" w:type="dxa"/>
          </w:tcPr>
          <w:p w:rsidR="008B57FD" w:rsidRPr="00C33F72" w:rsidRDefault="008B57FD" w:rsidP="004D736E">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MN</w:t>
            </w:r>
            <w:r w:rsidRPr="00C33F72">
              <w:rPr>
                <w:rFonts w:ascii="Times New Roman" w:hAnsi="Times New Roman" w:cs="Times New Roman"/>
                <w:b/>
                <w:sz w:val="24"/>
                <w:szCs w:val="24"/>
                <w:vertAlign w:val="superscript"/>
              </w:rPr>
              <w:t>2+</w:t>
            </w:r>
          </w:p>
        </w:tc>
        <w:tc>
          <w:tcPr>
            <w:tcW w:w="1080" w:type="dxa"/>
          </w:tcPr>
          <w:p w:rsidR="008B57FD" w:rsidRPr="00C33F72" w:rsidRDefault="008B57FD" w:rsidP="004D736E">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RANGE</w:t>
            </w:r>
          </w:p>
        </w:tc>
        <w:tc>
          <w:tcPr>
            <w:tcW w:w="2268" w:type="dxa"/>
          </w:tcPr>
          <w:p w:rsidR="008B57FD" w:rsidRPr="00C33F72" w:rsidRDefault="008B57FD" w:rsidP="004D736E">
            <w:pPr>
              <w:spacing w:line="480" w:lineRule="auto"/>
              <w:jc w:val="both"/>
              <w:rPr>
                <w:rFonts w:ascii="Times New Roman" w:hAnsi="Times New Roman" w:cs="Times New Roman"/>
                <w:b/>
                <w:sz w:val="24"/>
                <w:szCs w:val="24"/>
              </w:rPr>
            </w:pPr>
            <w:r w:rsidRPr="00C33F72">
              <w:rPr>
                <w:rFonts w:ascii="Times New Roman" w:hAnsi="Times New Roman" w:cs="Times New Roman"/>
                <w:b/>
                <w:sz w:val="24"/>
                <w:szCs w:val="24"/>
              </w:rPr>
              <w:t>AVERAGE</w:t>
            </w:r>
          </w:p>
        </w:tc>
      </w:tr>
      <w:tr w:rsidR="008B57FD" w:rsidRPr="00C33F72" w:rsidTr="004D736E">
        <w:tc>
          <w:tcPr>
            <w:tcW w:w="49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1</w:t>
            </w:r>
          </w:p>
        </w:tc>
        <w:tc>
          <w:tcPr>
            <w:tcW w:w="97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LW1</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0.038</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0.041</w:t>
            </w:r>
          </w:p>
        </w:tc>
        <w:tc>
          <w:tcPr>
            <w:tcW w:w="962"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0.063</w:t>
            </w:r>
          </w:p>
        </w:tc>
        <w:tc>
          <w:tcPr>
            <w:tcW w:w="126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0.019</w:t>
            </w:r>
          </w:p>
        </w:tc>
        <w:tc>
          <w:tcPr>
            <w:tcW w:w="90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0.013</w:t>
            </w:r>
          </w:p>
        </w:tc>
        <w:tc>
          <w:tcPr>
            <w:tcW w:w="1080"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0.035</w:t>
            </w:r>
          </w:p>
        </w:tc>
        <w:tc>
          <w:tcPr>
            <w:tcW w:w="2268"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0.013-0.063</w:t>
            </w:r>
          </w:p>
        </w:tc>
      </w:tr>
      <w:tr w:rsidR="008B57FD" w:rsidRPr="00C33F72" w:rsidTr="004D736E">
        <w:tc>
          <w:tcPr>
            <w:tcW w:w="49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2</w:t>
            </w:r>
          </w:p>
        </w:tc>
        <w:tc>
          <w:tcPr>
            <w:tcW w:w="97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LW2</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0.001</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0.013</w:t>
            </w:r>
          </w:p>
        </w:tc>
        <w:tc>
          <w:tcPr>
            <w:tcW w:w="962"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0.011</w:t>
            </w:r>
          </w:p>
        </w:tc>
        <w:tc>
          <w:tcPr>
            <w:tcW w:w="126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0.001</w:t>
            </w:r>
          </w:p>
        </w:tc>
        <w:tc>
          <w:tcPr>
            <w:tcW w:w="90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0.004</w:t>
            </w:r>
          </w:p>
        </w:tc>
        <w:tc>
          <w:tcPr>
            <w:tcW w:w="1080"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0.006</w:t>
            </w:r>
          </w:p>
        </w:tc>
        <w:tc>
          <w:tcPr>
            <w:tcW w:w="2268"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0.001-0.013</w:t>
            </w:r>
          </w:p>
        </w:tc>
      </w:tr>
      <w:tr w:rsidR="008B57FD" w:rsidRPr="00C33F72" w:rsidTr="004D736E">
        <w:tc>
          <w:tcPr>
            <w:tcW w:w="49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3</w:t>
            </w:r>
          </w:p>
        </w:tc>
        <w:tc>
          <w:tcPr>
            <w:tcW w:w="97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LW3</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0.044</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0.025</w:t>
            </w:r>
          </w:p>
        </w:tc>
        <w:tc>
          <w:tcPr>
            <w:tcW w:w="962"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0.043</w:t>
            </w:r>
          </w:p>
        </w:tc>
        <w:tc>
          <w:tcPr>
            <w:tcW w:w="126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0.003</w:t>
            </w:r>
          </w:p>
        </w:tc>
        <w:tc>
          <w:tcPr>
            <w:tcW w:w="90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0.007</w:t>
            </w:r>
          </w:p>
        </w:tc>
        <w:tc>
          <w:tcPr>
            <w:tcW w:w="1080"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0.024</w:t>
            </w:r>
          </w:p>
        </w:tc>
        <w:tc>
          <w:tcPr>
            <w:tcW w:w="2268"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0.003-0.044</w:t>
            </w:r>
          </w:p>
        </w:tc>
      </w:tr>
      <w:tr w:rsidR="008B57FD" w:rsidRPr="00C33F72" w:rsidTr="004D736E">
        <w:tc>
          <w:tcPr>
            <w:tcW w:w="49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4</w:t>
            </w:r>
          </w:p>
        </w:tc>
        <w:tc>
          <w:tcPr>
            <w:tcW w:w="97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LW4</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0.002</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0.040</w:t>
            </w:r>
          </w:p>
        </w:tc>
        <w:tc>
          <w:tcPr>
            <w:tcW w:w="962"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0.013</w:t>
            </w:r>
          </w:p>
        </w:tc>
        <w:tc>
          <w:tcPr>
            <w:tcW w:w="126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0.006</w:t>
            </w:r>
          </w:p>
        </w:tc>
        <w:tc>
          <w:tcPr>
            <w:tcW w:w="90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0.031</w:t>
            </w:r>
          </w:p>
        </w:tc>
        <w:tc>
          <w:tcPr>
            <w:tcW w:w="1080"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0.018</w:t>
            </w:r>
          </w:p>
        </w:tc>
        <w:tc>
          <w:tcPr>
            <w:tcW w:w="2268"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0.002-0.040</w:t>
            </w:r>
          </w:p>
        </w:tc>
      </w:tr>
      <w:tr w:rsidR="008B57FD" w:rsidRPr="00C33F72" w:rsidTr="004D736E">
        <w:tc>
          <w:tcPr>
            <w:tcW w:w="49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5</w:t>
            </w:r>
          </w:p>
        </w:tc>
        <w:tc>
          <w:tcPr>
            <w:tcW w:w="97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LW5</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0.037</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0.021</w:t>
            </w:r>
          </w:p>
        </w:tc>
        <w:tc>
          <w:tcPr>
            <w:tcW w:w="962"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0.015</w:t>
            </w:r>
          </w:p>
        </w:tc>
        <w:tc>
          <w:tcPr>
            <w:tcW w:w="126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0.018</w:t>
            </w:r>
          </w:p>
        </w:tc>
        <w:tc>
          <w:tcPr>
            <w:tcW w:w="90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0.043</w:t>
            </w:r>
          </w:p>
        </w:tc>
        <w:tc>
          <w:tcPr>
            <w:tcW w:w="1080"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0.027</w:t>
            </w:r>
          </w:p>
        </w:tc>
        <w:tc>
          <w:tcPr>
            <w:tcW w:w="2268"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0.015-0.043</w:t>
            </w:r>
          </w:p>
        </w:tc>
      </w:tr>
      <w:tr w:rsidR="008B57FD" w:rsidRPr="00C33F72" w:rsidTr="004D736E">
        <w:tc>
          <w:tcPr>
            <w:tcW w:w="49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6</w:t>
            </w:r>
          </w:p>
        </w:tc>
        <w:tc>
          <w:tcPr>
            <w:tcW w:w="97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LW6</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0.063</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0.019</w:t>
            </w:r>
          </w:p>
        </w:tc>
        <w:tc>
          <w:tcPr>
            <w:tcW w:w="962"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0.018</w:t>
            </w:r>
          </w:p>
        </w:tc>
        <w:tc>
          <w:tcPr>
            <w:tcW w:w="126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0.002</w:t>
            </w:r>
          </w:p>
        </w:tc>
        <w:tc>
          <w:tcPr>
            <w:tcW w:w="90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0.051</w:t>
            </w:r>
          </w:p>
        </w:tc>
        <w:tc>
          <w:tcPr>
            <w:tcW w:w="1080"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0.031</w:t>
            </w:r>
          </w:p>
        </w:tc>
        <w:tc>
          <w:tcPr>
            <w:tcW w:w="2268"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0.002-0.063</w:t>
            </w:r>
          </w:p>
        </w:tc>
      </w:tr>
      <w:tr w:rsidR="008B57FD" w:rsidRPr="00C33F72" w:rsidTr="004D736E">
        <w:tc>
          <w:tcPr>
            <w:tcW w:w="49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7</w:t>
            </w:r>
          </w:p>
        </w:tc>
        <w:tc>
          <w:tcPr>
            <w:tcW w:w="97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LW7</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0.035</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0.021</w:t>
            </w:r>
          </w:p>
        </w:tc>
        <w:tc>
          <w:tcPr>
            <w:tcW w:w="962"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0.043</w:t>
            </w:r>
          </w:p>
        </w:tc>
        <w:tc>
          <w:tcPr>
            <w:tcW w:w="126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0.004</w:t>
            </w:r>
          </w:p>
        </w:tc>
        <w:tc>
          <w:tcPr>
            <w:tcW w:w="90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0.002</w:t>
            </w:r>
          </w:p>
        </w:tc>
        <w:tc>
          <w:tcPr>
            <w:tcW w:w="1080"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0.021</w:t>
            </w:r>
          </w:p>
        </w:tc>
        <w:tc>
          <w:tcPr>
            <w:tcW w:w="2268"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0.004-0.043</w:t>
            </w:r>
          </w:p>
        </w:tc>
      </w:tr>
      <w:tr w:rsidR="008B57FD" w:rsidRPr="00C33F72" w:rsidTr="004D736E">
        <w:tc>
          <w:tcPr>
            <w:tcW w:w="49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8</w:t>
            </w:r>
          </w:p>
        </w:tc>
        <w:tc>
          <w:tcPr>
            <w:tcW w:w="97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LW8</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0.052</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0.018</w:t>
            </w:r>
          </w:p>
        </w:tc>
        <w:tc>
          <w:tcPr>
            <w:tcW w:w="962"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0.036</w:t>
            </w:r>
          </w:p>
        </w:tc>
        <w:tc>
          <w:tcPr>
            <w:tcW w:w="126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0.017</w:t>
            </w:r>
          </w:p>
        </w:tc>
        <w:tc>
          <w:tcPr>
            <w:tcW w:w="90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0.006</w:t>
            </w:r>
          </w:p>
        </w:tc>
        <w:tc>
          <w:tcPr>
            <w:tcW w:w="1080"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0.119</w:t>
            </w:r>
          </w:p>
        </w:tc>
        <w:tc>
          <w:tcPr>
            <w:tcW w:w="2268"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0.006-0.32</w:t>
            </w:r>
          </w:p>
        </w:tc>
      </w:tr>
      <w:tr w:rsidR="008B57FD" w:rsidRPr="00C33F72" w:rsidTr="004D736E">
        <w:tc>
          <w:tcPr>
            <w:tcW w:w="49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9</w:t>
            </w:r>
          </w:p>
        </w:tc>
        <w:tc>
          <w:tcPr>
            <w:tcW w:w="97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LW9</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0.071</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0.022</w:t>
            </w:r>
          </w:p>
        </w:tc>
        <w:tc>
          <w:tcPr>
            <w:tcW w:w="962"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0.019</w:t>
            </w:r>
          </w:p>
        </w:tc>
        <w:tc>
          <w:tcPr>
            <w:tcW w:w="126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0.019</w:t>
            </w:r>
          </w:p>
        </w:tc>
        <w:tc>
          <w:tcPr>
            <w:tcW w:w="90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0.013</w:t>
            </w:r>
          </w:p>
        </w:tc>
        <w:tc>
          <w:tcPr>
            <w:tcW w:w="1080"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0.029</w:t>
            </w:r>
          </w:p>
        </w:tc>
        <w:tc>
          <w:tcPr>
            <w:tcW w:w="2268"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0.019-0.071</w:t>
            </w:r>
          </w:p>
        </w:tc>
      </w:tr>
      <w:tr w:rsidR="008B57FD" w:rsidRPr="00C33F72" w:rsidTr="004D736E">
        <w:tc>
          <w:tcPr>
            <w:tcW w:w="49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10</w:t>
            </w:r>
          </w:p>
        </w:tc>
        <w:tc>
          <w:tcPr>
            <w:tcW w:w="977"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LW10</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0.043</w:t>
            </w:r>
          </w:p>
        </w:tc>
        <w:tc>
          <w:tcPr>
            <w:tcW w:w="816"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0.027</w:t>
            </w:r>
          </w:p>
        </w:tc>
        <w:tc>
          <w:tcPr>
            <w:tcW w:w="962"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0.015</w:t>
            </w:r>
          </w:p>
        </w:tc>
        <w:tc>
          <w:tcPr>
            <w:tcW w:w="126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0.003</w:t>
            </w:r>
          </w:p>
        </w:tc>
        <w:tc>
          <w:tcPr>
            <w:tcW w:w="900" w:type="dxa"/>
          </w:tcPr>
          <w:p w:rsidR="008B57FD" w:rsidRPr="00C33F72" w:rsidRDefault="008B57FD" w:rsidP="004D736E">
            <w:pPr>
              <w:rPr>
                <w:rFonts w:ascii="Times New Roman" w:hAnsi="Times New Roman" w:cs="Times New Roman"/>
                <w:sz w:val="24"/>
                <w:szCs w:val="24"/>
              </w:rPr>
            </w:pPr>
            <w:r w:rsidRPr="00C33F72">
              <w:rPr>
                <w:rFonts w:ascii="Times New Roman" w:hAnsi="Times New Roman" w:cs="Times New Roman"/>
                <w:sz w:val="24"/>
                <w:szCs w:val="24"/>
              </w:rPr>
              <w:t>0.015</w:t>
            </w:r>
          </w:p>
        </w:tc>
        <w:tc>
          <w:tcPr>
            <w:tcW w:w="1080"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0.021</w:t>
            </w:r>
          </w:p>
        </w:tc>
        <w:tc>
          <w:tcPr>
            <w:tcW w:w="2268" w:type="dxa"/>
          </w:tcPr>
          <w:p w:rsidR="008B57FD" w:rsidRPr="00C33F72" w:rsidRDefault="008B57FD" w:rsidP="004D736E">
            <w:pPr>
              <w:spacing w:line="480" w:lineRule="auto"/>
              <w:jc w:val="both"/>
              <w:rPr>
                <w:rFonts w:ascii="Times New Roman" w:hAnsi="Times New Roman" w:cs="Times New Roman"/>
                <w:sz w:val="24"/>
                <w:szCs w:val="24"/>
              </w:rPr>
            </w:pPr>
            <w:r w:rsidRPr="00C33F72">
              <w:rPr>
                <w:rFonts w:ascii="Times New Roman" w:hAnsi="Times New Roman" w:cs="Times New Roman"/>
                <w:sz w:val="24"/>
                <w:szCs w:val="24"/>
              </w:rPr>
              <w:t>0.003-0.043</w:t>
            </w:r>
          </w:p>
        </w:tc>
      </w:tr>
    </w:tbl>
    <w:p w:rsidR="008B57FD" w:rsidRPr="007E5434" w:rsidRDefault="008B57FD" w:rsidP="008B57FD">
      <w:pPr>
        <w:spacing w:after="0" w:line="480" w:lineRule="auto"/>
        <w:jc w:val="both"/>
        <w:rPr>
          <w:rFonts w:ascii="Times New Roman" w:hAnsi="Times New Roman" w:cs="Times New Roman"/>
          <w:sz w:val="24"/>
          <w:szCs w:val="24"/>
        </w:rPr>
      </w:pPr>
    </w:p>
    <w:p w:rsidR="008B57FD" w:rsidRPr="0089218F" w:rsidRDefault="008B57FD" w:rsidP="008B57FD">
      <w:pPr>
        <w:rPr>
          <w:rFonts w:ascii="Times New Roman" w:hAnsi="Times New Roman" w:cs="Times New Roman"/>
          <w:b/>
          <w:sz w:val="24"/>
          <w:szCs w:val="24"/>
        </w:rPr>
      </w:pPr>
      <w:r w:rsidRPr="0089218F">
        <w:rPr>
          <w:rFonts w:ascii="Times New Roman" w:hAnsi="Times New Roman" w:cs="Times New Roman"/>
          <w:b/>
          <w:sz w:val="24"/>
          <w:szCs w:val="24"/>
        </w:rPr>
        <w:t xml:space="preserve">Table </w:t>
      </w:r>
      <w:r>
        <w:rPr>
          <w:rFonts w:ascii="Times New Roman" w:hAnsi="Times New Roman" w:cs="Times New Roman"/>
          <w:b/>
          <w:sz w:val="24"/>
          <w:szCs w:val="24"/>
        </w:rPr>
        <w:t>4:</w:t>
      </w:r>
      <w:r>
        <w:rPr>
          <w:rFonts w:ascii="Times New Roman" w:hAnsi="Times New Roman" w:cs="Times New Roman"/>
          <w:b/>
          <w:sz w:val="24"/>
          <w:szCs w:val="24"/>
        </w:rPr>
        <w:tab/>
        <w:t xml:space="preserve">Standard Values for Interpretation </w:t>
      </w:r>
      <w:proofErr w:type="gramStart"/>
      <w:r>
        <w:rPr>
          <w:rFonts w:ascii="Times New Roman" w:hAnsi="Times New Roman" w:cs="Times New Roman"/>
          <w:b/>
          <w:sz w:val="24"/>
          <w:szCs w:val="24"/>
        </w:rPr>
        <w:t>of  Water</w:t>
      </w:r>
      <w:proofErr w:type="gramEnd"/>
      <w:r>
        <w:rPr>
          <w:rFonts w:ascii="Times New Roman" w:hAnsi="Times New Roman" w:cs="Times New Roman"/>
          <w:b/>
          <w:sz w:val="24"/>
          <w:szCs w:val="24"/>
        </w:rPr>
        <w:t xml:space="preserve">  Samples</w:t>
      </w:r>
    </w:p>
    <w:tbl>
      <w:tblPr>
        <w:tblStyle w:val="TableGrid"/>
        <w:tblW w:w="0" w:type="auto"/>
        <w:tblLook w:val="04A0" w:firstRow="1" w:lastRow="0" w:firstColumn="1" w:lastColumn="0" w:noHBand="0" w:noVBand="1"/>
      </w:tblPr>
      <w:tblGrid>
        <w:gridCol w:w="1598"/>
        <w:gridCol w:w="1518"/>
        <w:gridCol w:w="1518"/>
        <w:gridCol w:w="1518"/>
        <w:gridCol w:w="1518"/>
        <w:gridCol w:w="1346"/>
      </w:tblGrid>
      <w:tr w:rsidR="008B57FD" w:rsidTr="004D736E">
        <w:tc>
          <w:tcPr>
            <w:tcW w:w="1598" w:type="dxa"/>
          </w:tcPr>
          <w:p w:rsidR="008B57FD" w:rsidRPr="00E25934" w:rsidRDefault="008B57FD" w:rsidP="004D736E">
            <w:pPr>
              <w:spacing w:line="360" w:lineRule="auto"/>
              <w:jc w:val="both"/>
              <w:rPr>
                <w:rFonts w:asciiTheme="majorBidi" w:hAnsiTheme="majorBidi" w:cstheme="majorBidi"/>
                <w:sz w:val="24"/>
                <w:szCs w:val="24"/>
              </w:rPr>
            </w:pPr>
          </w:p>
        </w:tc>
        <w:tc>
          <w:tcPr>
            <w:tcW w:w="1518"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Cd</w:t>
            </w:r>
          </w:p>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Cr</w:t>
            </w:r>
          </w:p>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Ni</w:t>
            </w:r>
          </w:p>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518"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Pb</w:t>
            </w:r>
            <w:r w:rsidRPr="00E25934">
              <w:rPr>
                <w:rFonts w:asciiTheme="majorBidi" w:hAnsiTheme="majorBidi" w:cstheme="majorBidi"/>
                <w:sz w:val="24"/>
                <w:szCs w:val="24"/>
                <w:vertAlign w:val="superscript"/>
              </w:rPr>
              <w:t>2+</w:t>
            </w:r>
          </w:p>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c>
          <w:tcPr>
            <w:tcW w:w="1346"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Mn</w:t>
            </w:r>
            <w:r w:rsidRPr="00E25934">
              <w:rPr>
                <w:rFonts w:asciiTheme="majorBidi" w:hAnsiTheme="majorBidi" w:cstheme="majorBidi"/>
                <w:sz w:val="24"/>
                <w:szCs w:val="24"/>
                <w:vertAlign w:val="superscript"/>
              </w:rPr>
              <w:t>2+</w:t>
            </w:r>
          </w:p>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(mg/l)</w:t>
            </w:r>
          </w:p>
        </w:tc>
      </w:tr>
      <w:tr w:rsidR="008B57FD" w:rsidTr="004D736E">
        <w:tc>
          <w:tcPr>
            <w:tcW w:w="1598"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NSDWQ</w:t>
            </w:r>
          </w:p>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(2007)</w:t>
            </w:r>
          </w:p>
        </w:tc>
        <w:tc>
          <w:tcPr>
            <w:tcW w:w="1518"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0.003</w:t>
            </w:r>
          </w:p>
        </w:tc>
        <w:tc>
          <w:tcPr>
            <w:tcW w:w="1518"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0.05</w:t>
            </w:r>
          </w:p>
        </w:tc>
        <w:tc>
          <w:tcPr>
            <w:tcW w:w="1518"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0.02</w:t>
            </w:r>
          </w:p>
        </w:tc>
        <w:tc>
          <w:tcPr>
            <w:tcW w:w="1518"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0.01</w:t>
            </w:r>
          </w:p>
        </w:tc>
        <w:tc>
          <w:tcPr>
            <w:tcW w:w="1346"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0.20</w:t>
            </w:r>
          </w:p>
        </w:tc>
      </w:tr>
      <w:tr w:rsidR="008B57FD" w:rsidTr="004D736E">
        <w:tc>
          <w:tcPr>
            <w:tcW w:w="1598"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WHO (2012)</w:t>
            </w:r>
          </w:p>
        </w:tc>
        <w:tc>
          <w:tcPr>
            <w:tcW w:w="1518"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0.003</w:t>
            </w:r>
          </w:p>
        </w:tc>
        <w:tc>
          <w:tcPr>
            <w:tcW w:w="1518"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0.05</w:t>
            </w:r>
          </w:p>
        </w:tc>
        <w:tc>
          <w:tcPr>
            <w:tcW w:w="1518"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0.02</w:t>
            </w:r>
          </w:p>
        </w:tc>
        <w:tc>
          <w:tcPr>
            <w:tcW w:w="1518"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0.01</w:t>
            </w:r>
          </w:p>
        </w:tc>
        <w:tc>
          <w:tcPr>
            <w:tcW w:w="1346" w:type="dxa"/>
          </w:tcPr>
          <w:p w:rsidR="008B57FD" w:rsidRPr="00E25934" w:rsidRDefault="008B57FD" w:rsidP="004D736E">
            <w:pPr>
              <w:spacing w:line="360" w:lineRule="auto"/>
              <w:jc w:val="both"/>
              <w:rPr>
                <w:rFonts w:asciiTheme="majorBidi" w:hAnsiTheme="majorBidi" w:cstheme="majorBidi"/>
                <w:sz w:val="24"/>
                <w:szCs w:val="24"/>
              </w:rPr>
            </w:pPr>
            <w:r w:rsidRPr="00E25934">
              <w:rPr>
                <w:rFonts w:asciiTheme="majorBidi" w:hAnsiTheme="majorBidi" w:cstheme="majorBidi"/>
                <w:sz w:val="24"/>
                <w:szCs w:val="24"/>
              </w:rPr>
              <w:t>0.20</w:t>
            </w:r>
          </w:p>
        </w:tc>
      </w:tr>
    </w:tbl>
    <w:p w:rsidR="008B57FD" w:rsidRDefault="008B57FD" w:rsidP="008B57FD">
      <w:pPr>
        <w:spacing w:after="0" w:line="480" w:lineRule="auto"/>
        <w:jc w:val="both"/>
        <w:rPr>
          <w:rFonts w:ascii="Times New Roman" w:hAnsi="Times New Roman" w:cs="Times New Roman"/>
          <w:b/>
          <w:sz w:val="24"/>
          <w:szCs w:val="24"/>
        </w:rPr>
      </w:pPr>
    </w:p>
    <w:p w:rsidR="008B57FD" w:rsidRDefault="008B57FD" w:rsidP="008B57F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4.1.1</w:t>
      </w:r>
      <w:r>
        <w:rPr>
          <w:rFonts w:ascii="Times New Roman" w:hAnsi="Times New Roman" w:cs="Times New Roman"/>
          <w:b/>
          <w:sz w:val="24"/>
          <w:szCs w:val="24"/>
        </w:rPr>
        <w:tab/>
        <w:t>Cadmium (Cd)</w:t>
      </w:r>
    </w:p>
    <w:p w:rsidR="008B57FD" w:rsidRPr="00034085" w:rsidRDefault="008B57FD" w:rsidP="008B57FD">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 xml:space="preserve"> Cadmium levels in most of the samples exceeded the WHO (World Health organization) drinking water limit of 0.003mg/l) except LW2 and </w:t>
      </w:r>
      <w:r w:rsidRPr="000624FF">
        <w:rPr>
          <w:rFonts w:ascii="Times New Roman" w:hAnsi="Times New Roman" w:cs="Times New Roman"/>
          <w:b/>
          <w:sz w:val="24"/>
          <w:szCs w:val="24"/>
        </w:rPr>
        <w:t>LW4</w:t>
      </w:r>
      <w:r w:rsidRPr="007E5434">
        <w:rPr>
          <w:rFonts w:ascii="Times New Roman" w:hAnsi="Times New Roman" w:cs="Times New Roman"/>
          <w:sz w:val="24"/>
          <w:szCs w:val="24"/>
        </w:rPr>
        <w:t>. The highest concentration was observed in L</w:t>
      </w:r>
      <w:r>
        <w:rPr>
          <w:rFonts w:ascii="Times New Roman" w:hAnsi="Times New Roman" w:cs="Times New Roman"/>
          <w:sz w:val="24"/>
          <w:szCs w:val="24"/>
        </w:rPr>
        <w:t>W9 (0.71mg/l) followed by LW6 (</w:t>
      </w:r>
      <w:r w:rsidRPr="007E5434">
        <w:rPr>
          <w:rFonts w:ascii="Times New Roman" w:hAnsi="Times New Roman" w:cs="Times New Roman"/>
          <w:sz w:val="24"/>
          <w:szCs w:val="24"/>
        </w:rPr>
        <w:t>0.063 mg/l) cadmium is highly toxic and it presence in water may cause kidney damage and bone demineralization. It elevated levels likely originate from mining waste and tailings leachate.</w:t>
      </w:r>
    </w:p>
    <w:p w:rsidR="008B57FD" w:rsidRPr="007E5434" w:rsidRDefault="008B57FD" w:rsidP="008B57F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r>
      <w:r w:rsidRPr="007E5434">
        <w:rPr>
          <w:rFonts w:ascii="Times New Roman" w:hAnsi="Times New Roman" w:cs="Times New Roman"/>
          <w:b/>
          <w:sz w:val="24"/>
          <w:szCs w:val="24"/>
        </w:rPr>
        <w:t xml:space="preserve">Chromium (Cr) </w:t>
      </w:r>
    </w:p>
    <w:p w:rsidR="008B57FD" w:rsidRPr="007E5434" w:rsidRDefault="008B57FD" w:rsidP="008B57FD">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Chromium concentration ranged from 0.</w:t>
      </w:r>
      <w:r>
        <w:rPr>
          <w:rFonts w:ascii="Times New Roman" w:hAnsi="Times New Roman" w:cs="Times New Roman"/>
          <w:sz w:val="24"/>
          <w:szCs w:val="24"/>
        </w:rPr>
        <w:t xml:space="preserve">013mg/l to 0.041mg/l which are </w:t>
      </w:r>
      <w:r w:rsidRPr="007E5434">
        <w:rPr>
          <w:rFonts w:ascii="Times New Roman" w:hAnsi="Times New Roman" w:cs="Times New Roman"/>
          <w:sz w:val="24"/>
          <w:szCs w:val="24"/>
        </w:rPr>
        <w:t>within the World Health organization (WHO</w:t>
      </w:r>
      <w:r>
        <w:rPr>
          <w:rFonts w:ascii="Times New Roman" w:hAnsi="Times New Roman" w:cs="Times New Roman"/>
          <w:sz w:val="24"/>
          <w:szCs w:val="24"/>
        </w:rPr>
        <w:t>,</w:t>
      </w:r>
      <w:r w:rsidRPr="007E5434">
        <w:rPr>
          <w:rFonts w:ascii="Times New Roman" w:hAnsi="Times New Roman" w:cs="Times New Roman"/>
          <w:sz w:val="24"/>
          <w:szCs w:val="24"/>
        </w:rPr>
        <w:t xml:space="preserve"> 2017) limit of 0.05mg/l. However, values in LW1 and LW4 were close to this threshold. Prolonged exposure may still pose carcinogenic risks especially if hexavalent chromium is present.</w:t>
      </w:r>
    </w:p>
    <w:p w:rsidR="008B57FD" w:rsidRPr="007E5434" w:rsidRDefault="008B57FD" w:rsidP="008B57F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r>
      <w:r w:rsidRPr="007E5434">
        <w:rPr>
          <w:rFonts w:ascii="Times New Roman" w:hAnsi="Times New Roman" w:cs="Times New Roman"/>
          <w:b/>
          <w:sz w:val="24"/>
          <w:szCs w:val="24"/>
        </w:rPr>
        <w:t>Nickel (Ni)</w:t>
      </w:r>
    </w:p>
    <w:p w:rsidR="008B57FD" w:rsidRPr="007E5434" w:rsidRDefault="008B57FD" w:rsidP="008B57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5434">
        <w:rPr>
          <w:rFonts w:ascii="Times New Roman" w:hAnsi="Times New Roman" w:cs="Times New Roman"/>
          <w:sz w:val="24"/>
          <w:szCs w:val="24"/>
        </w:rPr>
        <w:t>Nickel concentrations in all samples except LW2 and LW4 were above the World Health organiza</w:t>
      </w:r>
      <w:r>
        <w:rPr>
          <w:rFonts w:ascii="Times New Roman" w:hAnsi="Times New Roman" w:cs="Times New Roman"/>
          <w:sz w:val="24"/>
          <w:szCs w:val="24"/>
        </w:rPr>
        <w:t>tion (</w:t>
      </w:r>
      <w:r w:rsidRPr="007E5434">
        <w:rPr>
          <w:rFonts w:ascii="Times New Roman" w:hAnsi="Times New Roman" w:cs="Times New Roman"/>
          <w:sz w:val="24"/>
          <w:szCs w:val="24"/>
        </w:rPr>
        <w:t>WHO</w:t>
      </w:r>
      <w:r>
        <w:rPr>
          <w:rFonts w:ascii="Times New Roman" w:hAnsi="Times New Roman" w:cs="Times New Roman"/>
          <w:sz w:val="24"/>
          <w:szCs w:val="24"/>
        </w:rPr>
        <w:t>,</w:t>
      </w:r>
      <w:r w:rsidRPr="007E5434">
        <w:rPr>
          <w:rFonts w:ascii="Times New Roman" w:hAnsi="Times New Roman" w:cs="Times New Roman"/>
          <w:sz w:val="24"/>
          <w:szCs w:val="24"/>
        </w:rPr>
        <w:t xml:space="preserve"> 2017) limit 0.02 mg/l. The highest level was found in LW1 (0.063mg/l). High Nickel levels are often linked to mining zones and may cause dermatitis and internal organ damage upon prolonged exposure.</w:t>
      </w:r>
    </w:p>
    <w:p w:rsidR="008B57FD" w:rsidRPr="007E5434" w:rsidRDefault="008B57FD" w:rsidP="008B57F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4.1.4</w:t>
      </w:r>
      <w:r>
        <w:rPr>
          <w:rFonts w:ascii="Times New Roman" w:hAnsi="Times New Roman" w:cs="Times New Roman"/>
          <w:b/>
          <w:sz w:val="24"/>
          <w:szCs w:val="24"/>
        </w:rPr>
        <w:tab/>
        <w:t>Lead (Pb</w:t>
      </w:r>
      <w:r w:rsidRPr="00D35660">
        <w:rPr>
          <w:rFonts w:ascii="Times New Roman" w:hAnsi="Times New Roman" w:cs="Times New Roman"/>
          <w:b/>
          <w:sz w:val="24"/>
          <w:szCs w:val="24"/>
          <w:vertAlign w:val="superscript"/>
        </w:rPr>
        <w:t>2+</w:t>
      </w:r>
      <w:r>
        <w:rPr>
          <w:rFonts w:ascii="Times New Roman" w:hAnsi="Times New Roman" w:cs="Times New Roman"/>
          <w:b/>
          <w:sz w:val="24"/>
          <w:szCs w:val="24"/>
        </w:rPr>
        <w:t>)</w:t>
      </w:r>
    </w:p>
    <w:p w:rsidR="008B57FD" w:rsidRDefault="008B57FD" w:rsidP="008B57FD">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Lead was detected in all samples with</w:t>
      </w:r>
      <w:r>
        <w:rPr>
          <w:rFonts w:ascii="Times New Roman" w:hAnsi="Times New Roman" w:cs="Times New Roman"/>
          <w:sz w:val="24"/>
          <w:szCs w:val="24"/>
        </w:rPr>
        <w:t xml:space="preserve"> LW</w:t>
      </w:r>
      <w:r w:rsidRPr="007E5434">
        <w:rPr>
          <w:rFonts w:ascii="Times New Roman" w:hAnsi="Times New Roman" w:cs="Times New Roman"/>
          <w:sz w:val="24"/>
          <w:szCs w:val="24"/>
        </w:rPr>
        <w:t>1</w:t>
      </w:r>
      <w:r>
        <w:rPr>
          <w:rFonts w:ascii="Times New Roman" w:hAnsi="Times New Roman" w:cs="Times New Roman"/>
          <w:sz w:val="24"/>
          <w:szCs w:val="24"/>
        </w:rPr>
        <w:t xml:space="preserve"> and LW 9 (</w:t>
      </w:r>
      <w:r w:rsidRPr="007E5434">
        <w:rPr>
          <w:rFonts w:ascii="Times New Roman" w:hAnsi="Times New Roman" w:cs="Times New Roman"/>
          <w:sz w:val="24"/>
          <w:szCs w:val="24"/>
        </w:rPr>
        <w:t xml:space="preserve">0.019mg/l) showing the highest values. The World </w:t>
      </w:r>
      <w:r>
        <w:rPr>
          <w:rFonts w:ascii="Times New Roman" w:hAnsi="Times New Roman" w:cs="Times New Roman"/>
          <w:sz w:val="24"/>
          <w:szCs w:val="24"/>
        </w:rPr>
        <w:t xml:space="preserve">Health organization (WHO, 2019) </w:t>
      </w:r>
      <w:r w:rsidRPr="007E5434">
        <w:rPr>
          <w:rFonts w:ascii="Times New Roman" w:hAnsi="Times New Roman" w:cs="Times New Roman"/>
          <w:sz w:val="24"/>
          <w:szCs w:val="24"/>
        </w:rPr>
        <w:t>limit is 0.01mg/l, meaning that 40percent of the samples exceeded safe levels. Lead exposure is particularly dangerous to children, causing neurodevelopmental and cognitive impairments.</w:t>
      </w:r>
    </w:p>
    <w:p w:rsidR="008B57FD" w:rsidRDefault="008B57FD" w:rsidP="008B57FD">
      <w:pPr>
        <w:spacing w:after="0" w:line="480" w:lineRule="auto"/>
        <w:jc w:val="both"/>
        <w:rPr>
          <w:rFonts w:ascii="Times New Roman" w:hAnsi="Times New Roman" w:cs="Times New Roman"/>
          <w:sz w:val="24"/>
          <w:szCs w:val="24"/>
        </w:rPr>
      </w:pPr>
    </w:p>
    <w:p w:rsidR="008B57FD" w:rsidRPr="007E5434" w:rsidRDefault="008B57FD" w:rsidP="008B57FD">
      <w:pPr>
        <w:spacing w:after="0" w:line="480" w:lineRule="auto"/>
        <w:jc w:val="both"/>
        <w:rPr>
          <w:rFonts w:ascii="Times New Roman" w:hAnsi="Times New Roman" w:cs="Times New Roman"/>
          <w:sz w:val="24"/>
          <w:szCs w:val="24"/>
        </w:rPr>
      </w:pPr>
    </w:p>
    <w:p w:rsidR="008B57FD" w:rsidRPr="007E5434" w:rsidRDefault="008B57FD" w:rsidP="008B57F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4.1.5</w:t>
      </w:r>
      <w:r>
        <w:rPr>
          <w:rFonts w:ascii="Times New Roman" w:hAnsi="Times New Roman" w:cs="Times New Roman"/>
          <w:b/>
          <w:sz w:val="24"/>
          <w:szCs w:val="24"/>
        </w:rPr>
        <w:tab/>
      </w:r>
      <w:r w:rsidRPr="007E5434">
        <w:rPr>
          <w:rFonts w:ascii="Times New Roman" w:hAnsi="Times New Roman" w:cs="Times New Roman"/>
          <w:b/>
          <w:sz w:val="24"/>
          <w:szCs w:val="24"/>
        </w:rPr>
        <w:t>Manganese (Mn</w:t>
      </w:r>
      <w:r w:rsidRPr="00D35660">
        <w:rPr>
          <w:rFonts w:ascii="Times New Roman" w:hAnsi="Times New Roman" w:cs="Times New Roman"/>
          <w:b/>
          <w:sz w:val="24"/>
          <w:szCs w:val="24"/>
          <w:vertAlign w:val="superscript"/>
        </w:rPr>
        <w:t>2+)</w:t>
      </w:r>
    </w:p>
    <w:p w:rsidR="008B57FD" w:rsidRPr="007E5434" w:rsidRDefault="008B57FD" w:rsidP="008B57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5434">
        <w:rPr>
          <w:rFonts w:ascii="Times New Roman" w:hAnsi="Times New Roman" w:cs="Times New Roman"/>
          <w:sz w:val="24"/>
          <w:szCs w:val="24"/>
        </w:rPr>
        <w:t>All samples recorded in manganese concentration are well below the World Health organization (WHO</w:t>
      </w:r>
      <w:r>
        <w:rPr>
          <w:rFonts w:ascii="Times New Roman" w:hAnsi="Times New Roman" w:cs="Times New Roman"/>
          <w:sz w:val="24"/>
          <w:szCs w:val="24"/>
        </w:rPr>
        <w:t>,</w:t>
      </w:r>
      <w:r w:rsidRPr="007E5434">
        <w:rPr>
          <w:rFonts w:ascii="Times New Roman" w:hAnsi="Times New Roman" w:cs="Times New Roman"/>
          <w:sz w:val="24"/>
          <w:szCs w:val="24"/>
        </w:rPr>
        <w:t xml:space="preserve"> 2017) guidelines of 0.1mg/l. However, aesthetic issues like tas</w:t>
      </w:r>
      <w:r>
        <w:rPr>
          <w:rFonts w:ascii="Times New Roman" w:hAnsi="Times New Roman" w:cs="Times New Roman"/>
          <w:sz w:val="24"/>
          <w:szCs w:val="24"/>
        </w:rPr>
        <w:t>te and staining may arise in LW</w:t>
      </w:r>
      <w:r w:rsidRPr="007E5434">
        <w:rPr>
          <w:rFonts w:ascii="Times New Roman" w:hAnsi="Times New Roman" w:cs="Times New Roman"/>
          <w:sz w:val="24"/>
          <w:szCs w:val="24"/>
        </w:rPr>
        <w:t xml:space="preserve">6 (0.051 mg/l) and LW5 </w:t>
      </w:r>
      <w:proofErr w:type="gramStart"/>
      <w:r w:rsidRPr="007E5434">
        <w:rPr>
          <w:rFonts w:ascii="Times New Roman" w:hAnsi="Times New Roman" w:cs="Times New Roman"/>
          <w:sz w:val="24"/>
          <w:szCs w:val="24"/>
        </w:rPr>
        <w:t>( 0.043mg</w:t>
      </w:r>
      <w:proofErr w:type="gramEnd"/>
      <w:r w:rsidRPr="007E5434">
        <w:rPr>
          <w:rFonts w:ascii="Times New Roman" w:hAnsi="Times New Roman" w:cs="Times New Roman"/>
          <w:sz w:val="24"/>
          <w:szCs w:val="24"/>
        </w:rPr>
        <w:t>/l).</w:t>
      </w:r>
    </w:p>
    <w:p w:rsidR="008B57FD" w:rsidRPr="007E5434" w:rsidRDefault="008B57FD" w:rsidP="008B57F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4.1.6</w:t>
      </w:r>
      <w:r>
        <w:rPr>
          <w:rFonts w:ascii="Times New Roman" w:hAnsi="Times New Roman" w:cs="Times New Roman"/>
          <w:b/>
          <w:sz w:val="24"/>
          <w:szCs w:val="24"/>
        </w:rPr>
        <w:tab/>
      </w:r>
      <w:r w:rsidRPr="007E5434">
        <w:rPr>
          <w:rFonts w:ascii="Times New Roman" w:hAnsi="Times New Roman" w:cs="Times New Roman"/>
          <w:b/>
          <w:sz w:val="24"/>
          <w:szCs w:val="24"/>
        </w:rPr>
        <w:t>Implications of Findings</w:t>
      </w:r>
    </w:p>
    <w:p w:rsidR="008B57FD" w:rsidRPr="007E5434" w:rsidRDefault="008B57FD" w:rsidP="008B57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5434">
        <w:rPr>
          <w:rFonts w:ascii="Times New Roman" w:hAnsi="Times New Roman" w:cs="Times New Roman"/>
          <w:sz w:val="24"/>
          <w:szCs w:val="24"/>
        </w:rPr>
        <w:t>The pressure of elevation levels of Cd, Ni, and Pb in several water samples is a strong indicator of pollution resulting from gold mining activities in the area. These heavy metals pose significant risks to aquatic life, the environment and Public Health especially when the contaminated water is used for drinking, cooking or irrigation.</w:t>
      </w:r>
    </w:p>
    <w:p w:rsidR="008B57FD" w:rsidRPr="007E5434" w:rsidRDefault="008B57FD" w:rsidP="008B57F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7E5434">
        <w:rPr>
          <w:rFonts w:ascii="Times New Roman" w:hAnsi="Times New Roman" w:cs="Times New Roman"/>
          <w:b/>
          <w:sz w:val="24"/>
          <w:szCs w:val="24"/>
        </w:rPr>
        <w:t>Interpr</w:t>
      </w:r>
      <w:r>
        <w:rPr>
          <w:rFonts w:ascii="Times New Roman" w:hAnsi="Times New Roman" w:cs="Times New Roman"/>
          <w:b/>
          <w:sz w:val="24"/>
          <w:szCs w:val="24"/>
        </w:rPr>
        <w:t>etation of the Physicochemical P</w:t>
      </w:r>
      <w:r w:rsidRPr="007E5434">
        <w:rPr>
          <w:rFonts w:ascii="Times New Roman" w:hAnsi="Times New Roman" w:cs="Times New Roman"/>
          <w:b/>
          <w:sz w:val="24"/>
          <w:szCs w:val="24"/>
        </w:rPr>
        <w:t xml:space="preserve">arameters </w:t>
      </w:r>
    </w:p>
    <w:p w:rsidR="008B57FD" w:rsidRPr="007E5434" w:rsidRDefault="008B57FD" w:rsidP="008B57FD">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pH test range from 0.1 to 7.95, samples </w:t>
      </w:r>
      <w:r>
        <w:rPr>
          <w:rFonts w:ascii="Times New Roman" w:hAnsi="Times New Roman" w:cs="Times New Roman"/>
          <w:b/>
          <w:sz w:val="24"/>
          <w:szCs w:val="24"/>
        </w:rPr>
        <w:t>Lw</w:t>
      </w:r>
      <w:r w:rsidRPr="007E5434">
        <w:rPr>
          <w:rFonts w:ascii="Times New Roman" w:hAnsi="Times New Roman" w:cs="Times New Roman"/>
          <w:sz w:val="24"/>
          <w:szCs w:val="24"/>
        </w:rPr>
        <w:t xml:space="preserve"> 1 has a pH of 0.1 which is extremely acidic while other samples range between 6.81 and 7.95. </w:t>
      </w:r>
      <w:proofErr w:type="gramStart"/>
      <w:r w:rsidRPr="007E5434">
        <w:rPr>
          <w:rFonts w:ascii="Times New Roman" w:hAnsi="Times New Roman" w:cs="Times New Roman"/>
          <w:sz w:val="24"/>
          <w:szCs w:val="24"/>
        </w:rPr>
        <w:t>indicating</w:t>
      </w:r>
      <w:proofErr w:type="gramEnd"/>
      <w:r w:rsidRPr="007E5434">
        <w:rPr>
          <w:rFonts w:ascii="Times New Roman" w:hAnsi="Times New Roman" w:cs="Times New Roman"/>
          <w:sz w:val="24"/>
          <w:szCs w:val="24"/>
        </w:rPr>
        <w:t xml:space="preserve"> mostly neutral to slightly alkaline water which is suitable for most aquatic life and human use. </w:t>
      </w:r>
      <w:proofErr w:type="gramStart"/>
      <w:r w:rsidRPr="007E5434">
        <w:rPr>
          <w:rFonts w:ascii="Times New Roman" w:hAnsi="Times New Roman" w:cs="Times New Roman"/>
          <w:sz w:val="24"/>
          <w:szCs w:val="24"/>
        </w:rPr>
        <w:t>World Health Organization (WHO, 2017).</w:t>
      </w:r>
      <w:proofErr w:type="gramEnd"/>
    </w:p>
    <w:p w:rsidR="008B57FD" w:rsidRPr="00643EF1" w:rsidRDefault="008B57FD" w:rsidP="008B57FD">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t>4.2.2: Electrical Conductivity (EC)</w:t>
      </w:r>
    </w:p>
    <w:p w:rsidR="008B57FD" w:rsidRPr="007E5434" w:rsidRDefault="008B57FD" w:rsidP="008B57FD">
      <w:pPr>
        <w:spacing w:after="0" w:line="480" w:lineRule="auto"/>
        <w:jc w:val="both"/>
        <w:rPr>
          <w:rFonts w:ascii="Times New Roman" w:hAnsi="Times New Roman" w:cs="Times New Roman"/>
          <w:sz w:val="24"/>
          <w:szCs w:val="24"/>
        </w:rPr>
      </w:pPr>
      <w:proofErr w:type="gramStart"/>
      <w:r w:rsidRPr="007E5434">
        <w:rPr>
          <w:rFonts w:ascii="Times New Roman" w:hAnsi="Times New Roman" w:cs="Times New Roman"/>
          <w:sz w:val="24"/>
          <w:szCs w:val="24"/>
        </w:rPr>
        <w:t>Ranges from 303 to 777(us/cm).</w:t>
      </w:r>
      <w:proofErr w:type="gramEnd"/>
      <w:r w:rsidRPr="007E5434">
        <w:rPr>
          <w:rFonts w:ascii="Times New Roman" w:hAnsi="Times New Roman" w:cs="Times New Roman"/>
          <w:sz w:val="24"/>
          <w:szCs w:val="24"/>
        </w:rPr>
        <w:t xml:space="preserve"> EC values below 500us/cm are generally considered low to moderate conductivity, suitable for drinking and irrigation. Sample Lw 1 has a high EC of 777us/cm suggesting high dissolved salt possible from pollution or mineral rich water. </w:t>
      </w:r>
      <w:proofErr w:type="gramStart"/>
      <w:r w:rsidRPr="007E5434">
        <w:rPr>
          <w:rFonts w:ascii="Times New Roman" w:hAnsi="Times New Roman" w:cs="Times New Roman"/>
          <w:sz w:val="24"/>
          <w:szCs w:val="24"/>
        </w:rPr>
        <w:t>World Health organization (WHO, 2017).</w:t>
      </w:r>
      <w:proofErr w:type="gramEnd"/>
    </w:p>
    <w:p w:rsidR="008B57FD" w:rsidRPr="00643EF1" w:rsidRDefault="008B57FD" w:rsidP="008B57FD">
      <w:pPr>
        <w:spacing w:after="0" w:line="480" w:lineRule="auto"/>
        <w:jc w:val="both"/>
        <w:rPr>
          <w:rFonts w:ascii="Times New Roman" w:hAnsi="Times New Roman" w:cs="Times New Roman"/>
          <w:b/>
          <w:sz w:val="24"/>
          <w:szCs w:val="24"/>
        </w:rPr>
      </w:pPr>
      <w:r w:rsidRPr="00643EF1">
        <w:rPr>
          <w:rFonts w:ascii="Times New Roman" w:hAnsi="Times New Roman" w:cs="Times New Roman"/>
          <w:b/>
          <w:sz w:val="24"/>
          <w:szCs w:val="24"/>
        </w:rPr>
        <w:t>4.2.3</w:t>
      </w:r>
      <w:proofErr w:type="gramStart"/>
      <w:r w:rsidRPr="00643EF1">
        <w:rPr>
          <w:rFonts w:ascii="Times New Roman" w:hAnsi="Times New Roman" w:cs="Times New Roman"/>
          <w:b/>
          <w:sz w:val="24"/>
          <w:szCs w:val="24"/>
        </w:rPr>
        <w:t>. :</w:t>
      </w:r>
      <w:proofErr w:type="gramEnd"/>
      <w:r w:rsidRPr="00643EF1">
        <w:rPr>
          <w:rFonts w:ascii="Times New Roman" w:hAnsi="Times New Roman" w:cs="Times New Roman"/>
          <w:b/>
          <w:sz w:val="24"/>
          <w:szCs w:val="24"/>
        </w:rPr>
        <w:t xml:space="preserve"> Total Dissolved Solids (TDS)</w:t>
      </w:r>
    </w:p>
    <w:p w:rsidR="008B57FD" w:rsidRPr="007E5434" w:rsidRDefault="008B57FD" w:rsidP="008B57FD">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total dissolve solvent </w:t>
      </w:r>
      <w:proofErr w:type="gramStart"/>
      <w:r w:rsidRPr="007E5434">
        <w:rPr>
          <w:rFonts w:ascii="Times New Roman" w:hAnsi="Times New Roman" w:cs="Times New Roman"/>
          <w:sz w:val="24"/>
          <w:szCs w:val="24"/>
        </w:rPr>
        <w:t>value below 500ppm are</w:t>
      </w:r>
      <w:proofErr w:type="gramEnd"/>
      <w:r w:rsidRPr="007E5434">
        <w:rPr>
          <w:rFonts w:ascii="Times New Roman" w:hAnsi="Times New Roman" w:cs="Times New Roman"/>
          <w:sz w:val="24"/>
          <w:szCs w:val="24"/>
        </w:rPr>
        <w:t xml:space="preserve"> generally acceptable for drinking water according to world Health organization (WHO</w:t>
      </w:r>
      <w:r>
        <w:rPr>
          <w:rFonts w:ascii="Times New Roman" w:hAnsi="Times New Roman" w:cs="Times New Roman"/>
          <w:sz w:val="24"/>
          <w:szCs w:val="24"/>
        </w:rPr>
        <w:t>,</w:t>
      </w:r>
      <w:r w:rsidRPr="007E5434">
        <w:rPr>
          <w:rFonts w:ascii="Times New Roman" w:hAnsi="Times New Roman" w:cs="Times New Roman"/>
          <w:sz w:val="24"/>
          <w:szCs w:val="24"/>
        </w:rPr>
        <w:t xml:space="preserve"> 2017). The values in the dataset suggest the water is within safe limits for TDS, through Lw 1 is on the higher end.</w:t>
      </w:r>
    </w:p>
    <w:p w:rsidR="008B57FD" w:rsidRPr="00643EF1" w:rsidRDefault="008B57FD" w:rsidP="008B57F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4.2.4</w:t>
      </w:r>
      <w:r>
        <w:rPr>
          <w:rFonts w:ascii="Times New Roman" w:hAnsi="Times New Roman" w:cs="Times New Roman"/>
          <w:b/>
          <w:sz w:val="24"/>
          <w:szCs w:val="24"/>
        </w:rPr>
        <w:tab/>
      </w:r>
      <w:r w:rsidRPr="00643EF1">
        <w:rPr>
          <w:rFonts w:ascii="Times New Roman" w:hAnsi="Times New Roman" w:cs="Times New Roman"/>
          <w:b/>
          <w:sz w:val="24"/>
          <w:szCs w:val="24"/>
        </w:rPr>
        <w:t xml:space="preserve">Temperature </w:t>
      </w:r>
    </w:p>
    <w:p w:rsidR="008B57FD" w:rsidRPr="007E5434" w:rsidRDefault="008B57FD" w:rsidP="008B57FD">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temperature r</w:t>
      </w:r>
      <w:r>
        <w:rPr>
          <w:rFonts w:ascii="Times New Roman" w:hAnsi="Times New Roman" w:cs="Times New Roman"/>
          <w:sz w:val="24"/>
          <w:szCs w:val="24"/>
        </w:rPr>
        <w:t>ange 42.2</w:t>
      </w:r>
      <w:r w:rsidRPr="000F2920">
        <w:rPr>
          <w:rFonts w:ascii="Times New Roman" w:hAnsi="Times New Roman" w:cs="Times New Roman"/>
          <w:sz w:val="24"/>
          <w:szCs w:val="24"/>
          <w:vertAlign w:val="superscript"/>
        </w:rPr>
        <w:t>0</w:t>
      </w:r>
      <w:r>
        <w:rPr>
          <w:rFonts w:ascii="Times New Roman" w:hAnsi="Times New Roman" w:cs="Times New Roman"/>
          <w:sz w:val="24"/>
          <w:szCs w:val="24"/>
        </w:rPr>
        <w:t>C and 35</w:t>
      </w:r>
      <w:r w:rsidRPr="000F2920">
        <w:rPr>
          <w:rFonts w:ascii="Times New Roman" w:hAnsi="Times New Roman" w:cs="Times New Roman"/>
          <w:sz w:val="24"/>
          <w:szCs w:val="24"/>
          <w:vertAlign w:val="superscript"/>
        </w:rPr>
        <w:t>0</w:t>
      </w:r>
      <w:r w:rsidRPr="007E5434">
        <w:rPr>
          <w:rFonts w:ascii="Times New Roman" w:hAnsi="Times New Roman" w:cs="Times New Roman"/>
          <w:sz w:val="24"/>
          <w:szCs w:val="24"/>
        </w:rPr>
        <w:t>C. The recorded values suggest either thermal pollution or instrument error, particularly for samples LW 1, LW 2 AND LW 10, which exceed the boiling point, World Health organization (WHO, 2017).</w:t>
      </w:r>
    </w:p>
    <w:p w:rsidR="008B57FD" w:rsidRPr="007E5434" w:rsidRDefault="008B57FD" w:rsidP="008B57FD">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Implications of Findings </w:t>
      </w:r>
    </w:p>
    <w:p w:rsidR="008B57FD" w:rsidRPr="007E5434" w:rsidRDefault="008B57FD" w:rsidP="008B57FD">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Most of the water samples fall within accepted physico-chemical standards except for sample LW1 which shows extreme values in pH, EC, TDS and Temperature. These anomalies suggest either contamination or possible instrument error, necessitating further investigation and re-sampling.</w:t>
      </w:r>
    </w:p>
    <w:p w:rsidR="008B57FD" w:rsidRPr="007E5434" w:rsidRDefault="008B57FD" w:rsidP="008B57FD">
      <w:pPr>
        <w:spacing w:after="0" w:line="480" w:lineRule="auto"/>
        <w:jc w:val="both"/>
        <w:rPr>
          <w:rFonts w:ascii="Times New Roman" w:hAnsi="Times New Roman" w:cs="Times New Roman"/>
          <w:sz w:val="24"/>
          <w:szCs w:val="24"/>
        </w:rPr>
      </w:pPr>
    </w:p>
    <w:p w:rsidR="00746EDB" w:rsidRDefault="008B57FD">
      <w:bookmarkStart w:id="0" w:name="_GoBack"/>
      <w:bookmarkEnd w:id="0"/>
    </w:p>
    <w:sectPr w:rsidR="00746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FD"/>
    <w:rsid w:val="00097143"/>
    <w:rsid w:val="00383705"/>
    <w:rsid w:val="005A45F4"/>
    <w:rsid w:val="008B57FD"/>
    <w:rsid w:val="00C322C7"/>
    <w:rsid w:val="00DA13CD"/>
    <w:rsid w:val="00EB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2025-08-04T11:21:00Z</dcterms:created>
  <dcterms:modified xsi:type="dcterms:W3CDTF">2025-08-04T11:22:00Z</dcterms:modified>
</cp:coreProperties>
</file>