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068F" w14:textId="77777777" w:rsidR="00D247F3" w:rsidRPr="00D247F3" w:rsidRDefault="00D247F3" w:rsidP="00D247F3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b/>
          <w:bCs/>
          <w:color w:val="000000"/>
        </w:rPr>
        <w:t>CHAPTER FIVE</w:t>
      </w:r>
    </w:p>
    <w:p w14:paraId="5A99483B" w14:textId="77777777" w:rsidR="00D247F3" w:rsidRPr="00D247F3" w:rsidRDefault="00D247F3" w:rsidP="00D247F3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b/>
          <w:bCs/>
          <w:color w:val="000000"/>
        </w:rPr>
        <w:t>CONCLUSION AND RECOMMENDATIONS</w:t>
      </w:r>
    </w:p>
    <w:p w14:paraId="4574E6AF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b/>
          <w:bCs/>
          <w:color w:val="000000"/>
        </w:rPr>
        <w:t>5.1 CONCLUSION</w:t>
      </w:r>
    </w:p>
    <w:p w14:paraId="30C2ACF4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This project successfully designed and implemented a solar-powered system tailored to meet the energy needs of an electronic laboratory. The system comprises four 450W solar panels, a 3.2kVA hybrid inverter, a DC breaker for safety, and a 2kW 28V locally made lithium battery. Each component was carefully selected to ensure compatibility, efficiency, and sustainability.</w:t>
      </w:r>
    </w:p>
    <w:p w14:paraId="3771DD44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Performance evaluation revealed that the solar system provides stable and reliable power during sunlight hours and offers adequate energy storage to sustain laboratory operations during non-sunlight hours. The system was tested under various load conditions and demonstrated high efficiency, minimal voltage drops, and responsive switching between solar and battery inputs.</w:t>
      </w:r>
    </w:p>
    <w:p w14:paraId="26423E44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In addition to ensuring uninterrupted power supply, the system reduces dependence on the grid and contributes to a cleaner environment by utilizing renewable energy. The design also considers future scalability in case the laboratory’s energy demand increases.</w:t>
      </w:r>
    </w:p>
    <w:p w14:paraId="565B71E5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Ultimately, this project aligns with global sustainability goals and offers a replicable solution for similar educational and research-based environments in regions with unreliable grid power.</w:t>
      </w:r>
    </w:p>
    <w:p w14:paraId="0D2D4B11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b/>
          <w:bCs/>
          <w:color w:val="000000"/>
        </w:rPr>
        <w:t>5.2 RECOMMENDATIONS</w:t>
      </w:r>
    </w:p>
    <w:p w14:paraId="1DA57BBB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Based on the outcomes of the project, the following recommendations are made:</w:t>
      </w:r>
    </w:p>
    <w:p w14:paraId="70888362" w14:textId="77777777" w:rsidR="00D247F3" w:rsidRPr="00D247F3" w:rsidRDefault="00D247F3" w:rsidP="00D247F3">
      <w:pPr>
        <w:numPr>
          <w:ilvl w:val="0"/>
          <w:numId w:val="1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247F3">
        <w:rPr>
          <w:rFonts w:ascii="Times New Roman" w:eastAsia="Times New Roman" w:hAnsi="Times New Roman" w:cs="Times New Roman"/>
          <w:color w:val="000000"/>
        </w:rPr>
        <w:t>Regular Maintenance Schedule</w:t>
      </w:r>
    </w:p>
    <w:p w14:paraId="40252742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It is important to implement periodic maintenance of the solar panels (cleaning dust, checking for loose connections), battery health checks, and firmware updates for the hybrid inverter to maintain system efficiency.</w:t>
      </w:r>
    </w:p>
    <w:p w14:paraId="6C5FF51A" w14:textId="77777777" w:rsidR="00D247F3" w:rsidRPr="00D247F3" w:rsidRDefault="00D247F3" w:rsidP="00D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sz w:val="24"/>
          <w:szCs w:val="24"/>
        </w:rPr>
        <w:br/>
      </w:r>
      <w:r w:rsidRPr="00D247F3">
        <w:rPr>
          <w:rFonts w:ascii="Times New Roman" w:eastAsia="Times New Roman" w:hAnsi="Times New Roman" w:cs="Times New Roman"/>
          <w:sz w:val="24"/>
          <w:szCs w:val="24"/>
        </w:rPr>
        <w:br/>
      </w:r>
      <w:r w:rsidRPr="00D247F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84AD664" w14:textId="77777777" w:rsidR="00D247F3" w:rsidRPr="00D247F3" w:rsidRDefault="00D247F3" w:rsidP="00D247F3">
      <w:pPr>
        <w:numPr>
          <w:ilvl w:val="0"/>
          <w:numId w:val="2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247F3">
        <w:rPr>
          <w:rFonts w:ascii="Times New Roman" w:eastAsia="Times New Roman" w:hAnsi="Times New Roman" w:cs="Times New Roman"/>
          <w:color w:val="000000"/>
        </w:rPr>
        <w:t>Monitoring System Integration</w:t>
      </w:r>
    </w:p>
    <w:p w14:paraId="2A0F7C31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lastRenderedPageBreak/>
        <w:t>Integrating a remote energy monitoring system would provide real-time visibility into system performance, battery status, and load profiles. This will enhance proactive maintenance and energy management.</w:t>
      </w:r>
    </w:p>
    <w:p w14:paraId="2F1C30AE" w14:textId="77777777" w:rsidR="00D247F3" w:rsidRPr="00D247F3" w:rsidRDefault="00D247F3" w:rsidP="00D247F3">
      <w:pPr>
        <w:numPr>
          <w:ilvl w:val="0"/>
          <w:numId w:val="3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247F3">
        <w:rPr>
          <w:rFonts w:ascii="Times New Roman" w:eastAsia="Times New Roman" w:hAnsi="Times New Roman" w:cs="Times New Roman"/>
          <w:color w:val="000000"/>
        </w:rPr>
        <w:t>Expansion for Peak Loads</w:t>
      </w:r>
    </w:p>
    <w:p w14:paraId="6784449F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If future laboratory operations involve heavier equipment, it is recommended to increase the solar panel array (e.g., adding two or more 450W panels) and consider a battery capacity upgrade to maintain autonomy.</w:t>
      </w:r>
    </w:p>
    <w:p w14:paraId="5849778E" w14:textId="77777777" w:rsidR="00D247F3" w:rsidRPr="00D247F3" w:rsidRDefault="00D247F3" w:rsidP="00D247F3">
      <w:pPr>
        <w:numPr>
          <w:ilvl w:val="0"/>
          <w:numId w:val="4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247F3">
        <w:rPr>
          <w:rFonts w:ascii="Times New Roman" w:eastAsia="Times New Roman" w:hAnsi="Times New Roman" w:cs="Times New Roman"/>
          <w:color w:val="000000"/>
        </w:rPr>
        <w:t>Surge Protection and Grounding</w:t>
      </w:r>
    </w:p>
    <w:p w14:paraId="157C5CBA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While a DC breaker was included, further protective measures such as surge protectors and proper grounding of the system are advised to guard against lightning strikes and power surges.</w:t>
      </w:r>
    </w:p>
    <w:p w14:paraId="5EFE12C0" w14:textId="77777777" w:rsidR="00D247F3" w:rsidRPr="00D247F3" w:rsidRDefault="00D247F3" w:rsidP="00D247F3">
      <w:pPr>
        <w:numPr>
          <w:ilvl w:val="0"/>
          <w:numId w:val="5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247F3">
        <w:rPr>
          <w:rFonts w:ascii="Times New Roman" w:eastAsia="Times New Roman" w:hAnsi="Times New Roman" w:cs="Times New Roman"/>
          <w:color w:val="000000"/>
        </w:rPr>
        <w:t>Awareness and Training</w:t>
      </w:r>
    </w:p>
    <w:p w14:paraId="54223F05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Training the laboratory users on basic operational guidelines, safety practices, and system indicators (e.g., inverter status lights, battery levels) will ensure optimal usage and prevent inadvertent damage.</w:t>
      </w:r>
    </w:p>
    <w:p w14:paraId="40D8728A" w14:textId="77777777" w:rsidR="00D247F3" w:rsidRPr="00D247F3" w:rsidRDefault="00D247F3" w:rsidP="00D247F3">
      <w:pPr>
        <w:numPr>
          <w:ilvl w:val="0"/>
          <w:numId w:val="6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247F3">
        <w:rPr>
          <w:rFonts w:ascii="Times New Roman" w:eastAsia="Times New Roman" w:hAnsi="Times New Roman" w:cs="Times New Roman"/>
          <w:color w:val="000000"/>
        </w:rPr>
        <w:t>Policy Advocacy</w:t>
      </w:r>
    </w:p>
    <w:p w14:paraId="4AAEFC29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Educational institutions are encouraged to adopt similar solutions and lobby for policies that support renewable energy adoption and investment, especially in laboratories and tech-driven departments.</w:t>
      </w:r>
    </w:p>
    <w:p w14:paraId="360C9D8B" w14:textId="77777777" w:rsidR="00D247F3" w:rsidRPr="00D247F3" w:rsidRDefault="00D247F3" w:rsidP="00D247F3">
      <w:pPr>
        <w:numPr>
          <w:ilvl w:val="0"/>
          <w:numId w:val="7"/>
        </w:numPr>
        <w:spacing w:after="0" w:line="48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D247F3">
        <w:rPr>
          <w:rFonts w:ascii="Times New Roman" w:eastAsia="Times New Roman" w:hAnsi="Times New Roman" w:cs="Times New Roman"/>
          <w:color w:val="000000"/>
        </w:rPr>
        <w:t>Documentation and Replication</w:t>
      </w:r>
    </w:p>
    <w:p w14:paraId="1D049F83" w14:textId="77777777" w:rsidR="00D247F3" w:rsidRPr="00D247F3" w:rsidRDefault="00D247F3" w:rsidP="00D247F3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7F3">
        <w:rPr>
          <w:rFonts w:ascii="Times New Roman" w:eastAsia="Times New Roman" w:hAnsi="Times New Roman" w:cs="Times New Roman"/>
          <w:color w:val="000000"/>
        </w:rPr>
        <w:t>The project documentation should be shared across departments and other institutions to serve as a reference or template for similar energy needs and installations.</w:t>
      </w:r>
    </w:p>
    <w:p w14:paraId="6D3B4BD5" w14:textId="5568190A" w:rsidR="00C8506A" w:rsidRDefault="00D247F3" w:rsidP="00D247F3">
      <w:r w:rsidRPr="00D247F3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C85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2F80"/>
    <w:multiLevelType w:val="hybridMultilevel"/>
    <w:tmpl w:val="22244844"/>
    <w:lvl w:ilvl="0" w:tplc="C4A0B612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5E181A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C4D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A1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21F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621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8A3F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B6B7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2C46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1E1F91"/>
    <w:multiLevelType w:val="hybridMultilevel"/>
    <w:tmpl w:val="8FBA74EA"/>
    <w:lvl w:ilvl="0" w:tplc="ABBA9DB2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622236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DA99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2E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2897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38B7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4809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5E16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CEDD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BC1174"/>
    <w:multiLevelType w:val="multilevel"/>
    <w:tmpl w:val="646C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D3E7C"/>
    <w:multiLevelType w:val="hybridMultilevel"/>
    <w:tmpl w:val="98EC3104"/>
    <w:lvl w:ilvl="0" w:tplc="C3F2C30A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C7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76C3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8D1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8AC5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36B0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00B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A052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9E2C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23F10"/>
    <w:multiLevelType w:val="hybridMultilevel"/>
    <w:tmpl w:val="F5D6A380"/>
    <w:lvl w:ilvl="0" w:tplc="0E9AA904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737CBA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6AC3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0C9D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989A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54B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E6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E18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90BF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D60F51"/>
    <w:multiLevelType w:val="hybridMultilevel"/>
    <w:tmpl w:val="A8B833F8"/>
    <w:lvl w:ilvl="0" w:tplc="FA24F8DE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13C6DF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34E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46B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C0D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BA6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7CFD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6C69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689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13383F"/>
    <w:multiLevelType w:val="hybridMultilevel"/>
    <w:tmpl w:val="18F615EC"/>
    <w:lvl w:ilvl="0" w:tplc="74B4A53E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59E8C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A4BE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C03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47A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3622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62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AA6C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8EA9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1678339">
    <w:abstractNumId w:val="2"/>
    <w:lvlOverride w:ilvl="0">
      <w:lvl w:ilvl="0">
        <w:numFmt w:val="lowerRoman"/>
        <w:lvlText w:val="%1."/>
        <w:lvlJc w:val="right"/>
      </w:lvl>
    </w:lvlOverride>
  </w:num>
  <w:num w:numId="2" w16cid:durableId="551892169">
    <w:abstractNumId w:val="5"/>
  </w:num>
  <w:num w:numId="3" w16cid:durableId="975528813">
    <w:abstractNumId w:val="6"/>
  </w:num>
  <w:num w:numId="4" w16cid:durableId="204677744">
    <w:abstractNumId w:val="3"/>
  </w:num>
  <w:num w:numId="5" w16cid:durableId="1625235936">
    <w:abstractNumId w:val="1"/>
  </w:num>
  <w:num w:numId="6" w16cid:durableId="1222669895">
    <w:abstractNumId w:val="0"/>
  </w:num>
  <w:num w:numId="7" w16cid:durableId="1353678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F3"/>
    <w:rsid w:val="00C8506A"/>
    <w:rsid w:val="00D2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165CF"/>
  <w15:chartTrackingRefBased/>
  <w15:docId w15:val="{76659211-FA52-4C26-8EE8-0E5704E2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4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8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HOPE</dc:creator>
  <cp:keywords/>
  <dc:description/>
  <cp:lastModifiedBy>NEW HOPE</cp:lastModifiedBy>
  <cp:revision>1</cp:revision>
  <dcterms:created xsi:type="dcterms:W3CDTF">2025-07-05T23:19:00Z</dcterms:created>
  <dcterms:modified xsi:type="dcterms:W3CDTF">2025-07-05T23:20:00Z</dcterms:modified>
</cp:coreProperties>
</file>