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20A" w:rsidRPr="00F723D6" w:rsidRDefault="0099320A" w:rsidP="0099320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CHAPTER THREE</w:t>
      </w:r>
    </w:p>
    <w:p w:rsidR="0099320A" w:rsidRPr="00F723D6" w:rsidRDefault="0099320A" w:rsidP="0099320A">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RESEARCH METHODOLOGY</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3.1</w:t>
      </w:r>
      <w:r w:rsidRPr="00F723D6">
        <w:rPr>
          <w:rFonts w:ascii="Times New Roman" w:hAnsi="Times New Roman" w:cs="Times New Roman"/>
          <w:b/>
          <w:sz w:val="24"/>
          <w:szCs w:val="24"/>
        </w:rPr>
        <w:tab/>
        <w:t>Introduction</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3.2</w:t>
      </w:r>
      <w:r w:rsidRPr="00F723D6">
        <w:rPr>
          <w:rFonts w:ascii="Times New Roman" w:hAnsi="Times New Roman" w:cs="Times New Roman"/>
          <w:b/>
          <w:sz w:val="24"/>
          <w:szCs w:val="24"/>
        </w:rPr>
        <w:tab/>
        <w:t>Research Design</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(MeCombes, 2016).</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method is considered more valid and reliable since it involves the use of statistical analysis (De Vaus, 2015).</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3.3</w:t>
      </w:r>
      <w:r w:rsidRPr="00F723D6">
        <w:rPr>
          <w:rFonts w:ascii="Times New Roman" w:hAnsi="Times New Roman" w:cs="Times New Roman"/>
          <w:b/>
          <w:sz w:val="24"/>
          <w:szCs w:val="24"/>
        </w:rPr>
        <w:tab/>
        <w:t>Research Method</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An important factor that determines the research method to be used in any work is the nature of the problem under the study. Though there are many forms of research methodology but due to nature of this research work, the researcher has chosen to use survey research method </w:t>
      </w:r>
      <w:r w:rsidRPr="00F723D6">
        <w:rPr>
          <w:rFonts w:ascii="Times New Roman" w:hAnsi="Times New Roman" w:cs="Times New Roman"/>
          <w:sz w:val="24"/>
          <w:szCs w:val="24"/>
        </w:rPr>
        <w:lastRenderedPageBreak/>
        <w:t>(exploratory survey design) to carry-out the research work. This will enable the researcher to gather information combine with the purpose of observing the population for critical analysis and retrieving factual information from the respondents.</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It needs to be stated that this research work will be conducted to assess the use of social media as tools for bullying among polytechnic students. In essence, students in Kwara State Polytechnic will be the major respondents through which questionnaires will be administered and collated</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3.4</w:t>
      </w:r>
      <w:r w:rsidRPr="00F723D6">
        <w:rPr>
          <w:rFonts w:ascii="Times New Roman" w:hAnsi="Times New Roman" w:cs="Times New Roman"/>
          <w:b/>
          <w:sz w:val="24"/>
          <w:szCs w:val="24"/>
        </w:rPr>
        <w:tab/>
        <w:t>Population of the Study</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Population refers to a set of all possible cases of interest on a research report. In most cases it is the group to which the researcher plans to generalize his research. Population of the study refers to the total number of the people involved in the study. Adeagbo (2011), Babbie (2010) defines population as theaggregation of elements from which a sample is actually selected. This affirms the population is the bigger group from which the sample which is usually smaller is drawn from.</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population of this study covers students in Kwara State Polytechnic, Ilorin. According the Director of Students Affairs (2022) in the institution, the total population of students in Kwara State Polytechnic is 21,467. The institution has five (5) institutes (Instinte of Information and Communication Shady-IICT, Institute of Finance and Management Studies- IFMS, Institute of Environmental Studies-IES, Institute of Applied Sciences-LAS, and Institute of Technology-IOT) and thirty-three (33) departments. However, it is worthy to note that samples will be taken in each of the five (5) institutes in the institution.</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3.5</w:t>
      </w:r>
      <w:r w:rsidRPr="00F723D6">
        <w:rPr>
          <w:rFonts w:ascii="Times New Roman" w:hAnsi="Times New Roman" w:cs="Times New Roman"/>
          <w:b/>
          <w:sz w:val="24"/>
          <w:szCs w:val="24"/>
        </w:rPr>
        <w:tab/>
        <w:t>Sample Size and Sample Technique</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(Maduene, 2010).</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According to Mugenda and Mugenda (2013), sampling is the process of selecting a few cases in order to provide information that can be used to make judgment about a much larger number of cases. This simply means that while sample is the neumber of respondents that will be </w:t>
      </w:r>
      <w:r w:rsidRPr="00F723D6">
        <w:rPr>
          <w:rFonts w:ascii="Times New Roman" w:hAnsi="Times New Roman" w:cs="Times New Roman"/>
          <w:sz w:val="24"/>
          <w:szCs w:val="24"/>
        </w:rPr>
        <w:lastRenderedPageBreak/>
        <w:t>selected to represent the entire population of study, sampling simply refers to the selection process (Denscombe, 2003).</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sampling.sometimes, also known as multistage cluster sampling. During this sampling method, significant clusters of the selected people are split into sub-groups at various stages to make it simpler for primary data collection.</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At stage one, systematic sampling technique will be used to select three (3) institutes from the list of five (5) institutes in Kwara State Polytechnic. Thus, every second term is selected. This led to the selection of Institute of Information and Communication Technology, Institute of Finance and Management Studies and institute of Applied Sciences.</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At stage two, simple random sampling technique will be used to select two (2) departments from cach of the three selected institutes in Kwara State Polytechnic. At stage three, convenient sampling technique will be used to select respondents from each of the two selected departments in the three institutes.</w:t>
      </w:r>
    </w:p>
    <w:p w:rsidR="0099320A"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selection of the departments and number of respondents that will be sampled in each of the department are shown in the table below:</w:t>
      </w: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Default="0099320A" w:rsidP="0099320A">
      <w:pPr>
        <w:pStyle w:val="NoSpacing"/>
        <w:spacing w:line="360" w:lineRule="auto"/>
        <w:ind w:firstLine="720"/>
        <w:jc w:val="both"/>
        <w:rPr>
          <w:rFonts w:ascii="Times New Roman" w:hAnsi="Times New Roman" w:cs="Times New Roman"/>
          <w:sz w:val="24"/>
          <w:szCs w:val="24"/>
        </w:rPr>
      </w:pPr>
    </w:p>
    <w:p w:rsidR="0099320A" w:rsidRPr="00F723D6" w:rsidRDefault="0099320A" w:rsidP="0099320A">
      <w:pPr>
        <w:pStyle w:val="NoSpacing"/>
        <w:spacing w:line="360" w:lineRule="auto"/>
        <w:ind w:firstLine="720"/>
        <w:jc w:val="both"/>
        <w:rPr>
          <w:rFonts w:ascii="Times New Roman" w:hAnsi="Times New Roman" w:cs="Times New Roman"/>
          <w:sz w:val="24"/>
          <w:szCs w:val="24"/>
        </w:rPr>
      </w:pPr>
    </w:p>
    <w:tbl>
      <w:tblPr>
        <w:tblStyle w:val="TableGrid"/>
        <w:tblW w:w="0" w:type="auto"/>
        <w:tblLook w:val="04A0"/>
      </w:tblPr>
      <w:tblGrid>
        <w:gridCol w:w="2312"/>
        <w:gridCol w:w="2312"/>
        <w:gridCol w:w="2312"/>
        <w:gridCol w:w="2313"/>
      </w:tblGrid>
      <w:tr w:rsidR="0099320A" w:rsidRPr="00F723D6" w:rsidTr="00A6221F">
        <w:tc>
          <w:tcPr>
            <w:tcW w:w="2312" w:type="dxa"/>
          </w:tcPr>
          <w:p w:rsidR="0099320A" w:rsidRPr="00F723D6" w:rsidRDefault="0099320A" w:rsidP="00A6221F">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lastRenderedPageBreak/>
              <w:t>Institute</w:t>
            </w:r>
          </w:p>
        </w:tc>
        <w:tc>
          <w:tcPr>
            <w:tcW w:w="2312" w:type="dxa"/>
          </w:tcPr>
          <w:p w:rsidR="0099320A" w:rsidRPr="00F723D6" w:rsidRDefault="0099320A" w:rsidP="00A6221F">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Selected Department</w:t>
            </w:r>
          </w:p>
        </w:tc>
        <w:tc>
          <w:tcPr>
            <w:tcW w:w="2312" w:type="dxa"/>
          </w:tcPr>
          <w:p w:rsidR="0099320A" w:rsidRPr="00F723D6" w:rsidRDefault="0099320A" w:rsidP="00A6221F">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Selected Respondents</w:t>
            </w:r>
          </w:p>
        </w:tc>
        <w:tc>
          <w:tcPr>
            <w:tcW w:w="2313" w:type="dxa"/>
          </w:tcPr>
          <w:p w:rsidR="0099320A" w:rsidRPr="00F723D6" w:rsidRDefault="0099320A" w:rsidP="00A6221F">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Percentage in Sample Size</w:t>
            </w:r>
          </w:p>
        </w:tc>
      </w:tr>
      <w:tr w:rsidR="0099320A" w:rsidRPr="00F723D6" w:rsidTr="00A6221F">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Institute Of Information And Communication Technology (IICT)</w:t>
            </w:r>
          </w:p>
        </w:tc>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Mass Communication Department</w:t>
            </w:r>
          </w:p>
          <w:tbl>
            <w:tblPr>
              <w:tblStyle w:val="TableGrid"/>
              <w:tblW w:w="0" w:type="auto"/>
              <w:tblLook w:val="04A0"/>
            </w:tblPr>
            <w:tblGrid>
              <w:gridCol w:w="2081"/>
            </w:tblGrid>
            <w:tr w:rsidR="0099320A" w:rsidRPr="00F723D6" w:rsidTr="00A6221F">
              <w:tc>
                <w:tcPr>
                  <w:tcW w:w="2081"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Computer Science Department </w:t>
                  </w:r>
                </w:p>
              </w:tc>
            </w:tr>
          </w:tbl>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 xml:space="preserve"> </w:t>
            </w:r>
          </w:p>
        </w:tc>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22</w:t>
            </w:r>
          </w:p>
          <w:p w:rsidR="0099320A" w:rsidRPr="00F723D6" w:rsidRDefault="0099320A" w:rsidP="00A6221F">
            <w:pPr>
              <w:pStyle w:val="NoSpacing"/>
              <w:spacing w:line="360" w:lineRule="auto"/>
              <w:jc w:val="both"/>
              <w:rPr>
                <w:rFonts w:ascii="Times New Roman" w:hAnsi="Times New Roman" w:cs="Times New Roman"/>
                <w:sz w:val="24"/>
                <w:szCs w:val="24"/>
              </w:rPr>
            </w:pPr>
          </w:p>
          <w:p w:rsidR="0099320A" w:rsidRPr="00F723D6" w:rsidRDefault="0099320A" w:rsidP="00A6221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1"/>
            </w:tblGrid>
            <w:tr w:rsidR="0099320A" w:rsidRPr="00F723D6" w:rsidTr="00A6221F">
              <w:tc>
                <w:tcPr>
                  <w:tcW w:w="2081"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20</w:t>
                  </w:r>
                </w:p>
              </w:tc>
            </w:tr>
          </w:tbl>
          <w:p w:rsidR="0099320A" w:rsidRPr="00F723D6" w:rsidRDefault="0099320A" w:rsidP="00A6221F">
            <w:pPr>
              <w:pStyle w:val="NoSpacing"/>
              <w:spacing w:line="360" w:lineRule="auto"/>
              <w:jc w:val="both"/>
              <w:rPr>
                <w:rFonts w:ascii="Times New Roman" w:hAnsi="Times New Roman" w:cs="Times New Roman"/>
                <w:sz w:val="24"/>
                <w:szCs w:val="24"/>
              </w:rPr>
            </w:pPr>
          </w:p>
        </w:tc>
        <w:tc>
          <w:tcPr>
            <w:tcW w:w="2313"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22%</w:t>
            </w:r>
          </w:p>
          <w:p w:rsidR="0099320A" w:rsidRPr="00F723D6" w:rsidRDefault="0099320A" w:rsidP="00A6221F">
            <w:pPr>
              <w:pStyle w:val="NoSpacing"/>
              <w:spacing w:line="360" w:lineRule="auto"/>
              <w:jc w:val="both"/>
              <w:rPr>
                <w:rFonts w:ascii="Times New Roman" w:hAnsi="Times New Roman" w:cs="Times New Roman"/>
                <w:sz w:val="24"/>
                <w:szCs w:val="24"/>
              </w:rPr>
            </w:pPr>
          </w:p>
          <w:p w:rsidR="0099320A" w:rsidRPr="00F723D6" w:rsidRDefault="0099320A" w:rsidP="00A6221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2"/>
            </w:tblGrid>
            <w:tr w:rsidR="0099320A" w:rsidRPr="00F723D6" w:rsidTr="00A6221F">
              <w:tc>
                <w:tcPr>
                  <w:tcW w:w="208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20%</w:t>
                  </w:r>
                </w:p>
              </w:tc>
            </w:tr>
          </w:tbl>
          <w:p w:rsidR="0099320A" w:rsidRPr="00F723D6" w:rsidRDefault="0099320A" w:rsidP="00A6221F">
            <w:pPr>
              <w:pStyle w:val="NoSpacing"/>
              <w:spacing w:line="360" w:lineRule="auto"/>
              <w:jc w:val="both"/>
              <w:rPr>
                <w:rFonts w:ascii="Times New Roman" w:hAnsi="Times New Roman" w:cs="Times New Roman"/>
                <w:sz w:val="24"/>
                <w:szCs w:val="24"/>
              </w:rPr>
            </w:pPr>
          </w:p>
        </w:tc>
      </w:tr>
      <w:tr w:rsidR="0099320A" w:rsidRPr="00F723D6" w:rsidTr="00A6221F">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Institute Of Finance And Management Studies (IFMS)</w:t>
            </w:r>
          </w:p>
        </w:tc>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Marketing Department</w:t>
            </w:r>
          </w:p>
          <w:tbl>
            <w:tblPr>
              <w:tblStyle w:val="TableGrid"/>
              <w:tblW w:w="0" w:type="auto"/>
              <w:tblLook w:val="04A0"/>
            </w:tblPr>
            <w:tblGrid>
              <w:gridCol w:w="2081"/>
            </w:tblGrid>
            <w:tr w:rsidR="0099320A" w:rsidRPr="00F723D6" w:rsidTr="00A6221F">
              <w:tc>
                <w:tcPr>
                  <w:tcW w:w="2081"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Public Administration Department</w:t>
                  </w:r>
                </w:p>
              </w:tc>
            </w:tr>
          </w:tbl>
          <w:p w:rsidR="0099320A" w:rsidRPr="00F723D6" w:rsidRDefault="0099320A" w:rsidP="00A6221F">
            <w:pPr>
              <w:pStyle w:val="NoSpacing"/>
              <w:spacing w:line="360" w:lineRule="auto"/>
              <w:jc w:val="both"/>
              <w:rPr>
                <w:rFonts w:ascii="Times New Roman" w:hAnsi="Times New Roman" w:cs="Times New Roman"/>
                <w:sz w:val="24"/>
                <w:szCs w:val="24"/>
              </w:rPr>
            </w:pPr>
          </w:p>
        </w:tc>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17</w:t>
            </w:r>
          </w:p>
          <w:p w:rsidR="0099320A" w:rsidRPr="00F723D6" w:rsidRDefault="0099320A" w:rsidP="00A6221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1"/>
            </w:tblGrid>
            <w:tr w:rsidR="0099320A" w:rsidRPr="00F723D6" w:rsidTr="00A6221F">
              <w:tc>
                <w:tcPr>
                  <w:tcW w:w="2081"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15</w:t>
                  </w:r>
                </w:p>
              </w:tc>
            </w:tr>
          </w:tbl>
          <w:p w:rsidR="0099320A" w:rsidRPr="00F723D6" w:rsidRDefault="0099320A" w:rsidP="00A6221F">
            <w:pPr>
              <w:pStyle w:val="NoSpacing"/>
              <w:spacing w:line="360" w:lineRule="auto"/>
              <w:jc w:val="both"/>
              <w:rPr>
                <w:rFonts w:ascii="Times New Roman" w:hAnsi="Times New Roman" w:cs="Times New Roman"/>
                <w:sz w:val="24"/>
                <w:szCs w:val="24"/>
              </w:rPr>
            </w:pPr>
          </w:p>
        </w:tc>
        <w:tc>
          <w:tcPr>
            <w:tcW w:w="2313"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17%</w:t>
            </w:r>
          </w:p>
          <w:p w:rsidR="0099320A" w:rsidRPr="00F723D6" w:rsidRDefault="0099320A" w:rsidP="00A6221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2"/>
            </w:tblGrid>
            <w:tr w:rsidR="0099320A" w:rsidRPr="00F723D6" w:rsidTr="00A6221F">
              <w:tc>
                <w:tcPr>
                  <w:tcW w:w="208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15%</w:t>
                  </w:r>
                </w:p>
              </w:tc>
            </w:tr>
          </w:tbl>
          <w:p w:rsidR="0099320A" w:rsidRPr="00F723D6" w:rsidRDefault="0099320A" w:rsidP="00A6221F">
            <w:pPr>
              <w:pStyle w:val="NoSpacing"/>
              <w:spacing w:line="360" w:lineRule="auto"/>
              <w:jc w:val="both"/>
              <w:rPr>
                <w:rFonts w:ascii="Times New Roman" w:hAnsi="Times New Roman" w:cs="Times New Roman"/>
                <w:sz w:val="24"/>
                <w:szCs w:val="24"/>
              </w:rPr>
            </w:pPr>
          </w:p>
        </w:tc>
      </w:tr>
      <w:tr w:rsidR="0099320A" w:rsidRPr="00F723D6" w:rsidTr="00A6221F">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Institute Of Applied Science (IAS)</w:t>
            </w:r>
          </w:p>
        </w:tc>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Science Laboratory Technology Department</w:t>
            </w:r>
          </w:p>
          <w:tbl>
            <w:tblPr>
              <w:tblStyle w:val="TableGrid"/>
              <w:tblW w:w="0" w:type="auto"/>
              <w:tblLook w:val="04A0"/>
            </w:tblPr>
            <w:tblGrid>
              <w:gridCol w:w="2086"/>
            </w:tblGrid>
            <w:tr w:rsidR="0099320A" w:rsidRPr="00F723D6" w:rsidTr="00A6221F">
              <w:tc>
                <w:tcPr>
                  <w:tcW w:w="2243"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Hospitality Department</w:t>
                  </w:r>
                </w:p>
              </w:tc>
            </w:tr>
          </w:tbl>
          <w:p w:rsidR="0099320A" w:rsidRPr="00F723D6" w:rsidRDefault="0099320A" w:rsidP="00A6221F">
            <w:pPr>
              <w:pStyle w:val="NoSpacing"/>
              <w:spacing w:line="360" w:lineRule="auto"/>
              <w:jc w:val="both"/>
              <w:rPr>
                <w:rFonts w:ascii="Times New Roman" w:hAnsi="Times New Roman" w:cs="Times New Roman"/>
                <w:sz w:val="24"/>
                <w:szCs w:val="24"/>
              </w:rPr>
            </w:pPr>
          </w:p>
        </w:tc>
        <w:tc>
          <w:tcPr>
            <w:tcW w:w="231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16</w:t>
            </w:r>
          </w:p>
          <w:p w:rsidR="0099320A" w:rsidRPr="00F723D6" w:rsidRDefault="0099320A" w:rsidP="00A6221F">
            <w:pPr>
              <w:pStyle w:val="NoSpacing"/>
              <w:spacing w:line="360" w:lineRule="auto"/>
              <w:jc w:val="both"/>
              <w:rPr>
                <w:rFonts w:ascii="Times New Roman" w:hAnsi="Times New Roman" w:cs="Times New Roman"/>
                <w:sz w:val="24"/>
                <w:szCs w:val="24"/>
              </w:rPr>
            </w:pPr>
          </w:p>
          <w:p w:rsidR="0099320A" w:rsidRPr="00F723D6" w:rsidRDefault="0099320A" w:rsidP="00A6221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1"/>
            </w:tblGrid>
            <w:tr w:rsidR="0099320A" w:rsidRPr="00F723D6" w:rsidTr="00A6221F">
              <w:tc>
                <w:tcPr>
                  <w:tcW w:w="2081"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10</w:t>
                  </w:r>
                </w:p>
              </w:tc>
            </w:tr>
          </w:tbl>
          <w:p w:rsidR="0099320A" w:rsidRPr="00F723D6" w:rsidRDefault="0099320A" w:rsidP="00A6221F">
            <w:pPr>
              <w:pStyle w:val="NoSpacing"/>
              <w:spacing w:line="360" w:lineRule="auto"/>
              <w:jc w:val="both"/>
              <w:rPr>
                <w:rFonts w:ascii="Times New Roman" w:hAnsi="Times New Roman" w:cs="Times New Roman"/>
                <w:sz w:val="24"/>
                <w:szCs w:val="24"/>
              </w:rPr>
            </w:pPr>
          </w:p>
        </w:tc>
        <w:tc>
          <w:tcPr>
            <w:tcW w:w="2313"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16%</w:t>
            </w:r>
          </w:p>
          <w:p w:rsidR="0099320A" w:rsidRPr="00F723D6" w:rsidRDefault="0099320A" w:rsidP="00A6221F">
            <w:pPr>
              <w:pStyle w:val="NoSpacing"/>
              <w:spacing w:line="360" w:lineRule="auto"/>
              <w:jc w:val="both"/>
              <w:rPr>
                <w:rFonts w:ascii="Times New Roman" w:hAnsi="Times New Roman" w:cs="Times New Roman"/>
                <w:sz w:val="24"/>
                <w:szCs w:val="24"/>
              </w:rPr>
            </w:pPr>
          </w:p>
          <w:p w:rsidR="0099320A" w:rsidRPr="00F723D6" w:rsidRDefault="0099320A" w:rsidP="00A6221F">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2082"/>
            </w:tblGrid>
            <w:tr w:rsidR="0099320A" w:rsidRPr="00F723D6" w:rsidTr="00A6221F">
              <w:tc>
                <w:tcPr>
                  <w:tcW w:w="2082" w:type="dxa"/>
                </w:tcPr>
                <w:p w:rsidR="0099320A" w:rsidRPr="00F723D6" w:rsidRDefault="0099320A" w:rsidP="00A6221F">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10%</w:t>
                  </w:r>
                </w:p>
              </w:tc>
            </w:tr>
          </w:tbl>
          <w:p w:rsidR="0099320A" w:rsidRPr="00F723D6" w:rsidRDefault="0099320A" w:rsidP="00A6221F">
            <w:pPr>
              <w:pStyle w:val="NoSpacing"/>
              <w:spacing w:line="360" w:lineRule="auto"/>
              <w:jc w:val="both"/>
              <w:rPr>
                <w:rFonts w:ascii="Times New Roman" w:hAnsi="Times New Roman" w:cs="Times New Roman"/>
                <w:sz w:val="24"/>
                <w:szCs w:val="24"/>
              </w:rPr>
            </w:pPr>
          </w:p>
        </w:tc>
      </w:tr>
      <w:tr w:rsidR="0099320A" w:rsidRPr="00F723D6" w:rsidTr="00A6221F">
        <w:tc>
          <w:tcPr>
            <w:tcW w:w="2312" w:type="dxa"/>
          </w:tcPr>
          <w:p w:rsidR="0099320A" w:rsidRPr="00F723D6" w:rsidRDefault="0099320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Total</w:t>
            </w:r>
          </w:p>
        </w:tc>
        <w:tc>
          <w:tcPr>
            <w:tcW w:w="2312" w:type="dxa"/>
          </w:tcPr>
          <w:p w:rsidR="0099320A" w:rsidRPr="00F723D6" w:rsidRDefault="0099320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6</w:t>
            </w:r>
          </w:p>
        </w:tc>
        <w:tc>
          <w:tcPr>
            <w:tcW w:w="2312" w:type="dxa"/>
          </w:tcPr>
          <w:p w:rsidR="0099320A" w:rsidRPr="00F723D6" w:rsidRDefault="0099320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c>
          <w:tcPr>
            <w:tcW w:w="2313" w:type="dxa"/>
          </w:tcPr>
          <w:p w:rsidR="0099320A" w:rsidRPr="00F723D6" w:rsidRDefault="0099320A" w:rsidP="00A6221F">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100%</w:t>
            </w:r>
          </w:p>
        </w:tc>
      </w:tr>
    </w:tbl>
    <w:p w:rsidR="0099320A" w:rsidRPr="00F723D6" w:rsidRDefault="0099320A" w:rsidP="0099320A">
      <w:pPr>
        <w:pStyle w:val="NoSpacing"/>
        <w:spacing w:line="360" w:lineRule="auto"/>
        <w:jc w:val="both"/>
        <w:rPr>
          <w:rFonts w:ascii="Times New Roman" w:hAnsi="Times New Roman" w:cs="Times New Roman"/>
          <w:b/>
        </w:rPr>
      </w:pPr>
      <w:r w:rsidRPr="00F723D6">
        <w:rPr>
          <w:rFonts w:ascii="Times New Roman" w:hAnsi="Times New Roman" w:cs="Times New Roman"/>
          <w:b/>
        </w:rPr>
        <w:t>3.6</w:t>
      </w:r>
      <w:r w:rsidRPr="00F723D6">
        <w:rPr>
          <w:rFonts w:ascii="Times New Roman" w:hAnsi="Times New Roman" w:cs="Times New Roman"/>
          <w:b/>
        </w:rPr>
        <w:tab/>
        <w:t>Research Instrument</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Research instrument is the tool which a researcher used in eliciting required information from the sample selected (Oyewole &amp;Olorede, 2014). The type of instrument used for a research depends on the type of data to be collected and the method of research adopted.</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the demographic factors of the respondents while Part B would answer the research questions.</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3.7</w:t>
      </w:r>
      <w:r w:rsidRPr="00F723D6">
        <w:rPr>
          <w:rFonts w:ascii="Times New Roman" w:hAnsi="Times New Roman" w:cs="Times New Roman"/>
          <w:b/>
          <w:sz w:val="24"/>
          <w:szCs w:val="24"/>
        </w:rPr>
        <w:tab/>
        <w:t>Validity of Research Instrument</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A study is reliable when repeated measurement of the same material results in similar decision or conclusion, winner and Dominick (2013:156). To ascertain the validity of the </w:t>
      </w:r>
      <w:r w:rsidRPr="00F723D6">
        <w:rPr>
          <w:rFonts w:ascii="Times New Roman" w:hAnsi="Times New Roman" w:cs="Times New Roman"/>
          <w:sz w:val="24"/>
          <w:szCs w:val="24"/>
        </w:rPr>
        <w:lastRenderedPageBreak/>
        <w:t>instrument, expert validity was employed. Hence, the researcher's supervisor who is a communication expert, scrutinized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3.8</w:t>
      </w:r>
      <w:r w:rsidRPr="00F723D6">
        <w:rPr>
          <w:rFonts w:ascii="Times New Roman" w:hAnsi="Times New Roman" w:cs="Times New Roman"/>
          <w:b/>
          <w:sz w:val="24"/>
          <w:szCs w:val="24"/>
        </w:rPr>
        <w:tab/>
        <w:t>Reliability of the Research Instrument</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An instrument is reliable when repeated measurement of the same material results in similar decisions or conclusion (Wimmer&amp; Dominick, 2003). Pilot study will be conducted in ascertaining the reliability of the instrument. A pre-test of 10 copies of the questionnaire will be designed and administered to sampled 10 respondents in a place outside the study area. A trial testing will be carried out outside the area of study but has the same characteristics with the study area. Copies of the instrument will be administered on 10 respondents. Data colleeted will be analyzed using the Chronbach Apha.</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3.9Method of Administration of the Research Instrument</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this study, the questionnaire will be administered by the researcher so that everything can be monitored and properly returned. The instrument will be retrieved within 24-hours after administration.</w:t>
      </w:r>
    </w:p>
    <w:p w:rsidR="0099320A" w:rsidRPr="00F723D6" w:rsidRDefault="0099320A" w:rsidP="0099320A">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3.10</w:t>
      </w:r>
      <w:r w:rsidRPr="00F723D6">
        <w:rPr>
          <w:rFonts w:ascii="Times New Roman" w:hAnsi="Times New Roman" w:cs="Times New Roman"/>
          <w:b/>
          <w:sz w:val="24"/>
          <w:szCs w:val="24"/>
        </w:rPr>
        <w:tab/>
        <w:t>Method of Data Analysis</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Qualitative research approaches usually adopt an unstatistical approach for the analysis of the data since the data collected could hardly be quantified. The approach these types of research follow usually involves interpretation.</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The data collected in this study were analyzed descriptively and inferentially using tables. The descriptive statistics that were employed are frequency, percentage, mean and standard deviation. In order to answer the research questions, descriptive statistics showing the means and standard deviations of each item were presented and inferential statistics showing the correlations.The results of the proximate composition of cookies are presented in Table 4.1. The results revealed that moisture content ranged from 3.11 to 5.13%, sample A was recorded having the highest value of 5.13% while sample D had the least value of 3.11%. The moisture content ranged from 3.11 to 5.13% among the blends, which were within the acceptable limits for flours. High percentage of moisture in samples A may result in short shelf life and low moisture may result to long shelf life of the product.</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Protein content ranged from 7.78 to 12.24%, sample D recorded the highest value 12.24% while sample A had the least value 7.78%. The wheat flour alone contained 7.78% protein, while tiger-nut flour and marble vine flour substitution alone contained 12.24%, which were similar to the values reported earlier by (Oladunmoye et al., 2010). Increase in the levels of tiger-nut and marble vine flour substitution of wheat flour resulted inincrease in the protein content progressively, which is attributed to the low protein content of the wheat flour. Addition of 30% marble vine flour to tiger-nut-wheat flour resulted in the highest protein content of 12.24%. The increase in the protein content with marble vine supplementation showed that nutritious cookies can be produced using tiger-nut and marble vine flour blends. The crude protein reported for cowpea flour was in line with work previously reported by Olapade et al., (2003); Olapade &amp; Aworh, (2012b) where protein content ranged from 20-26%.</w:t>
      </w:r>
    </w:p>
    <w:p w:rsidR="0099320A" w:rsidRPr="00F723D6" w:rsidRDefault="0099320A" w:rsidP="0099320A">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Fat content ranged from 18.15 to 24.03% sample D had the highest value of 24.03% while sample A had the least value 18.15% respectively. The highest fat content (24.03%) was observed in sample D wheat, tiger-nut and marble vine flour, whilst the fat content for wheat Jour was 1.27% and cassava flour was 0.79%. Enrichment of cassava-wheat flour with cowpea flour increased the fat content to 1.80±0.21% in the 35/35/30 wheat, cassava and cowpea flour. The high fat content contributes to prevent flour from absorbing water while low fat content rapid the absorption of water as reported.</w:t>
      </w:r>
    </w:p>
    <w:p w:rsidR="0099320A" w:rsidRPr="00F723D6" w:rsidRDefault="0099320A" w:rsidP="0099320A">
      <w:pPr>
        <w:pStyle w:val="NoSpacing"/>
        <w:spacing w:line="360" w:lineRule="auto"/>
        <w:jc w:val="both"/>
        <w:rPr>
          <w:rFonts w:ascii="Times New Roman" w:hAnsi="Times New Roman" w:cs="Times New Roman"/>
          <w:sz w:val="24"/>
          <w:szCs w:val="24"/>
        </w:rPr>
      </w:pPr>
    </w:p>
    <w:p w:rsidR="0099320A" w:rsidRPr="00F723D6" w:rsidRDefault="0099320A" w:rsidP="0099320A">
      <w:pPr>
        <w:pStyle w:val="NoSpacing"/>
        <w:spacing w:line="360" w:lineRule="auto"/>
        <w:jc w:val="both"/>
        <w:rPr>
          <w:rFonts w:ascii="Times New Roman" w:hAnsi="Times New Roman" w:cs="Times New Roman"/>
          <w:sz w:val="24"/>
          <w:szCs w:val="24"/>
        </w:rPr>
      </w:pPr>
    </w:p>
    <w:p w:rsidR="0099320A" w:rsidRPr="00F723D6" w:rsidRDefault="0099320A" w:rsidP="0099320A">
      <w:pPr>
        <w:pStyle w:val="NoSpacing"/>
        <w:spacing w:line="360" w:lineRule="auto"/>
        <w:jc w:val="both"/>
        <w:rPr>
          <w:rFonts w:ascii="Times New Roman" w:hAnsi="Times New Roman" w:cs="Times New Roman"/>
          <w:sz w:val="24"/>
          <w:szCs w:val="24"/>
        </w:rPr>
      </w:pPr>
    </w:p>
    <w:p w:rsidR="0099320A" w:rsidRPr="00F723D6" w:rsidRDefault="0099320A" w:rsidP="0099320A">
      <w:pPr>
        <w:pStyle w:val="NoSpacing"/>
        <w:spacing w:line="360" w:lineRule="auto"/>
        <w:jc w:val="both"/>
        <w:rPr>
          <w:rFonts w:ascii="Times New Roman" w:hAnsi="Times New Roman" w:cs="Times New Roman"/>
          <w:sz w:val="24"/>
          <w:szCs w:val="24"/>
        </w:rPr>
      </w:pPr>
    </w:p>
    <w:p w:rsidR="0099320A" w:rsidRPr="00F723D6" w:rsidRDefault="0099320A" w:rsidP="0099320A">
      <w:pPr>
        <w:pStyle w:val="NoSpacing"/>
        <w:spacing w:line="360" w:lineRule="auto"/>
        <w:jc w:val="both"/>
        <w:rPr>
          <w:rFonts w:ascii="Times New Roman" w:hAnsi="Times New Roman" w:cs="Times New Roman"/>
          <w:sz w:val="24"/>
          <w:szCs w:val="24"/>
        </w:rPr>
      </w:pPr>
    </w:p>
    <w:p w:rsidR="0099320A" w:rsidRPr="00F723D6" w:rsidRDefault="0099320A" w:rsidP="0099320A">
      <w:pPr>
        <w:pStyle w:val="NoSpacing"/>
        <w:spacing w:line="360" w:lineRule="auto"/>
        <w:jc w:val="both"/>
        <w:rPr>
          <w:rFonts w:ascii="Times New Roman" w:hAnsi="Times New Roman" w:cs="Times New Roman"/>
          <w:sz w:val="24"/>
          <w:szCs w:val="24"/>
        </w:rPr>
      </w:pPr>
    </w:p>
    <w:p w:rsidR="006671E4" w:rsidRDefault="006671E4"/>
    <w:sectPr w:rsidR="006671E4" w:rsidSect="006671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20A"/>
    <w:rsid w:val="006671E4"/>
    <w:rsid w:val="00993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0A"/>
    <w:pPr>
      <w:kinsoku w:val="0"/>
      <w:autoSpaceDE w:val="0"/>
      <w:autoSpaceDN w:val="0"/>
      <w:adjustRightInd w:val="0"/>
      <w:snapToGrid w:val="0"/>
      <w:spacing w:after="0" w:line="240" w:lineRule="auto"/>
      <w:textAlignment w:val="baseline"/>
    </w:pPr>
    <w:rPr>
      <w:rFonts w:ascii="Arial" w:eastAsia="Arial" w:hAnsi="Arial" w:cs="Arial"/>
      <w:noProof/>
      <w:snapToGrid w:val="0"/>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20A"/>
    <w:pPr>
      <w:kinsoku w:val="0"/>
      <w:autoSpaceDE w:val="0"/>
      <w:autoSpaceDN w:val="0"/>
      <w:adjustRightInd w:val="0"/>
      <w:snapToGrid w:val="0"/>
      <w:spacing w:after="0" w:line="240" w:lineRule="auto"/>
      <w:textAlignment w:val="baseline"/>
    </w:pPr>
    <w:rPr>
      <w:rFonts w:ascii="Arial" w:eastAsia="Arial" w:hAnsi="Arial" w:cs="Arial"/>
      <w:noProof/>
      <w:snapToGrid w:val="0"/>
      <w:color w:val="000000"/>
      <w:sz w:val="21"/>
      <w:szCs w:val="21"/>
    </w:rPr>
  </w:style>
  <w:style w:type="table" w:styleId="TableGrid">
    <w:name w:val="Table Grid"/>
    <w:basedOn w:val="TableNormal"/>
    <w:uiPriority w:val="59"/>
    <w:rsid w:val="0099320A"/>
    <w:pPr>
      <w:spacing w:after="0" w:line="240" w:lineRule="auto"/>
    </w:pPr>
    <w:rPr>
      <w:rFonts w:ascii="Arial" w:eastAsia="Arial" w:hAnsi="Arial" w:cs="Arial"/>
      <w:snapToGrid w:val="0"/>
      <w:color w:val="000000"/>
      <w:sz w:val="21"/>
      <w:szCs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1843</Words>
  <Characters>10511</Characters>
  <Application>Microsoft Office Word</Application>
  <DocSecurity>0</DocSecurity>
  <Lines>87</Lines>
  <Paragraphs>24</Paragraphs>
  <ScaleCrop>false</ScaleCrop>
  <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OYEWUMI OBALOLUWA</dc:creator>
  <cp:lastModifiedBy>OYEWUMI OBALOLUWA</cp:lastModifiedBy>
  <cp:revision>1</cp:revision>
  <dcterms:created xsi:type="dcterms:W3CDTF">2025-07-31T09:05:00Z</dcterms:created>
  <dcterms:modified xsi:type="dcterms:W3CDTF">2025-07-31T09:06:00Z</dcterms:modified>
</cp:coreProperties>
</file>