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203" w:rsidRPr="00755203" w:rsidRDefault="00755203" w:rsidP="00755203">
      <w:pPr>
        <w:spacing w:after="160" w:line="278" w:lineRule="auto"/>
        <w:jc w:val="center"/>
        <w:rPr>
          <w:rFonts w:ascii="Times New Roman" w:eastAsia="Times New Roman" w:hAnsi="Times New Roman" w:cs="Times New Roman"/>
          <w:b/>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Chapter Four</w:t>
      </w:r>
    </w:p>
    <w:p w:rsidR="00755203" w:rsidRPr="00755203" w:rsidRDefault="00755203" w:rsidP="00755203">
      <w:pPr>
        <w:spacing w:after="160" w:line="278" w:lineRule="auto"/>
        <w:jc w:val="center"/>
        <w:rPr>
          <w:rFonts w:ascii="Times New Roman" w:eastAsia="Times New Roman" w:hAnsi="Times New Roman" w:cs="Times New Roman"/>
          <w:b/>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Result and Discussion</w:t>
      </w:r>
    </w:p>
    <w:p w:rsidR="00755203" w:rsidRPr="00755203" w:rsidRDefault="00755203" w:rsidP="00755203">
      <w:pPr>
        <w:tabs>
          <w:tab w:val="left" w:pos="3981"/>
        </w:tabs>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4.1 Specific Gravity Determination</w:t>
      </w:r>
      <w:r w:rsidRPr="00755203">
        <w:rPr>
          <w:rFonts w:ascii="Times New Roman" w:eastAsia="Times New Roman" w:hAnsi="Times New Roman" w:cs="Times New Roman"/>
          <w:kern w:val="2"/>
          <w:sz w:val="24"/>
          <w:szCs w:val="24"/>
          <w:lang w:val="en-GB" w:eastAsia="en-GB"/>
          <w14:ligatures w14:val="standardContextual"/>
        </w:rPr>
        <w:tab/>
      </w:r>
    </w:p>
    <w:p w:rsidR="00755203" w:rsidRPr="00755203" w:rsidRDefault="00755203" w:rsidP="00755203">
      <w:pPr>
        <w:spacing w:after="160" w:line="278" w:lineRule="auto"/>
        <w:jc w:val="both"/>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The results of specific gravity determined s hereby presented in Table 4.1</w:t>
      </w:r>
    </w:p>
    <w:p w:rsidR="00755203" w:rsidRPr="00755203" w:rsidRDefault="00755203" w:rsidP="00755203">
      <w:pPr>
        <w:spacing w:after="160" w:line="278" w:lineRule="auto"/>
        <w:jc w:val="both"/>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 xml:space="preserve">Table 4.1: The Specific Gravity Test Result </w:t>
      </w:r>
    </w:p>
    <w:tbl>
      <w:tblPr>
        <w:tblStyle w:val="TableGrid"/>
        <w:tblW w:w="0" w:type="auto"/>
        <w:tblLook w:val="04A0" w:firstRow="1" w:lastRow="0" w:firstColumn="1" w:lastColumn="0" w:noHBand="0" w:noVBand="1"/>
      </w:tblPr>
      <w:tblGrid>
        <w:gridCol w:w="4698"/>
        <w:gridCol w:w="1440"/>
        <w:gridCol w:w="1350"/>
      </w:tblGrid>
      <w:tr w:rsidR="00755203" w:rsidRPr="00755203" w:rsidTr="003A11D3">
        <w:tc>
          <w:tcPr>
            <w:tcW w:w="469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Sample Name</w:t>
            </w:r>
          </w:p>
        </w:tc>
        <w:tc>
          <w:tcPr>
            <w:tcW w:w="144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A2</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B2</w:t>
            </w:r>
          </w:p>
        </w:tc>
      </w:tr>
      <w:tr w:rsidR="00755203" w:rsidRPr="00755203" w:rsidTr="003A11D3">
        <w:tc>
          <w:tcPr>
            <w:tcW w:w="469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empty bottle, W1 (g)</w:t>
            </w:r>
          </w:p>
        </w:tc>
        <w:tc>
          <w:tcPr>
            <w:tcW w:w="144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112.05</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112.05</w:t>
            </w:r>
          </w:p>
        </w:tc>
      </w:tr>
      <w:tr w:rsidR="00755203" w:rsidRPr="00755203" w:rsidTr="003A11D3">
        <w:tc>
          <w:tcPr>
            <w:tcW w:w="469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empty bottle + 1/3 of soil, W2 (g)</w:t>
            </w:r>
          </w:p>
        </w:tc>
        <w:tc>
          <w:tcPr>
            <w:tcW w:w="144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120.27</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123.64</w:t>
            </w:r>
          </w:p>
        </w:tc>
      </w:tr>
      <w:tr w:rsidR="00755203" w:rsidRPr="00755203" w:rsidTr="003A11D3">
        <w:tc>
          <w:tcPr>
            <w:tcW w:w="469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empty bottle + soil + water, W3 (g)</w:t>
            </w:r>
          </w:p>
        </w:tc>
        <w:tc>
          <w:tcPr>
            <w:tcW w:w="144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162.91</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165.12</w:t>
            </w:r>
          </w:p>
        </w:tc>
      </w:tr>
      <w:tr w:rsidR="00755203" w:rsidRPr="00755203" w:rsidTr="003A11D3">
        <w:tc>
          <w:tcPr>
            <w:tcW w:w="469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empty bottle + water only, W4 (g)</w:t>
            </w:r>
          </w:p>
        </w:tc>
        <w:tc>
          <w:tcPr>
            <w:tcW w:w="144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157.85</w:t>
            </w:r>
            <w:r w:rsidRPr="00755203">
              <w:rPr>
                <w:rFonts w:ascii="Times New Roman" w:hAnsi="Times New Roman" w:cs="Times New Roman"/>
              </w:rPr>
              <w:tab/>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157.85</w:t>
            </w:r>
          </w:p>
        </w:tc>
      </w:tr>
      <w:tr w:rsidR="00755203" w:rsidRPr="00755203" w:rsidTr="003A11D3">
        <w:tc>
          <w:tcPr>
            <w:tcW w:w="469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 xml:space="preserve">Specific gravity </w:t>
            </w:r>
          </w:p>
        </w:tc>
        <w:tc>
          <w:tcPr>
            <w:tcW w:w="144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2.60</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2.68</w:t>
            </w:r>
          </w:p>
        </w:tc>
      </w:tr>
    </w:tbl>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p>
    <w:p w:rsidR="00755203" w:rsidRPr="00755203" w:rsidRDefault="00755203" w:rsidP="00755203">
      <w:pPr>
        <w:spacing w:after="160" w:line="278" w:lineRule="auto"/>
        <w:jc w:val="both"/>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The specific gravity values suggest that B2 has a higher density compared to A2. This could imply that the soil used in B2 is denser, or there could be a difference in composition affecting the specific gravity. The slight variations in measurements may result from experimental error, different soil characteristics, or environmental factors. The experiment effectively illustrates how specific gravity can vary based on material composition. Further analysis could include examining the type of soil used, moisture levels, or potential errors in measurement. Overall, the results highlight the importance of consistent methodologies in determining physical properties of materials (Brady and Weil, 2017).</w:t>
      </w:r>
    </w:p>
    <w:p w:rsidR="00755203" w:rsidRPr="00755203" w:rsidRDefault="00755203" w:rsidP="00755203">
      <w:pPr>
        <w:spacing w:after="160" w:line="278" w:lineRule="auto"/>
        <w:rPr>
          <w:rFonts w:ascii="Times New Roman" w:eastAsia="Times New Roman" w:hAnsi="Times New Roman" w:cs="Times New Roman"/>
          <w:b/>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 xml:space="preserve">4.2 </w:t>
      </w:r>
      <w:r w:rsidRPr="00755203">
        <w:rPr>
          <w:rFonts w:ascii="Times New Roman" w:eastAsia="Times New Roman" w:hAnsi="Times New Roman" w:cs="Times New Roman"/>
          <w:b/>
          <w:kern w:val="2"/>
          <w:sz w:val="24"/>
          <w:szCs w:val="24"/>
          <w:lang w:val="en-GB" w:eastAsia="en-GB"/>
          <w14:ligatures w14:val="standardContextual"/>
        </w:rPr>
        <w:tab/>
        <w:t xml:space="preserve">Determination of Bulk Density </w:t>
      </w: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 xml:space="preserve">Table 4.2: The Bulk Density Test Result </w:t>
      </w:r>
    </w:p>
    <w:tbl>
      <w:tblPr>
        <w:tblStyle w:val="TableGrid"/>
        <w:tblW w:w="0" w:type="auto"/>
        <w:tblLook w:val="04A0" w:firstRow="1" w:lastRow="0" w:firstColumn="1" w:lastColumn="0" w:noHBand="0" w:noVBand="1"/>
      </w:tblPr>
      <w:tblGrid>
        <w:gridCol w:w="3798"/>
        <w:gridCol w:w="2212"/>
        <w:gridCol w:w="3006"/>
      </w:tblGrid>
      <w:tr w:rsidR="00755203" w:rsidRPr="00755203" w:rsidTr="003A11D3">
        <w:tc>
          <w:tcPr>
            <w:tcW w:w="379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Sample Name</w:t>
            </w:r>
          </w:p>
        </w:tc>
        <w:tc>
          <w:tcPr>
            <w:tcW w:w="2212"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A2</w:t>
            </w:r>
          </w:p>
        </w:tc>
        <w:tc>
          <w:tcPr>
            <w:tcW w:w="300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B2</w:t>
            </w:r>
          </w:p>
        </w:tc>
      </w:tr>
      <w:tr w:rsidR="00755203" w:rsidRPr="00755203" w:rsidTr="003A11D3">
        <w:tc>
          <w:tcPr>
            <w:tcW w:w="379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mould + wet soil (g)</w:t>
            </w:r>
          </w:p>
        </w:tc>
        <w:tc>
          <w:tcPr>
            <w:tcW w:w="2212"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652.92</w:t>
            </w:r>
            <w:r w:rsidRPr="00755203">
              <w:rPr>
                <w:rFonts w:ascii="Times New Roman" w:hAnsi="Times New Roman" w:cs="Times New Roman"/>
              </w:rPr>
              <w:tab/>
            </w:r>
          </w:p>
        </w:tc>
        <w:tc>
          <w:tcPr>
            <w:tcW w:w="300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665.49</w:t>
            </w:r>
          </w:p>
        </w:tc>
      </w:tr>
      <w:tr w:rsidR="00755203" w:rsidRPr="00755203" w:rsidTr="003A11D3">
        <w:tc>
          <w:tcPr>
            <w:tcW w:w="379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mould (g)</w:t>
            </w:r>
          </w:p>
        </w:tc>
        <w:tc>
          <w:tcPr>
            <w:tcW w:w="2212"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265.64</w:t>
            </w:r>
          </w:p>
        </w:tc>
        <w:tc>
          <w:tcPr>
            <w:tcW w:w="300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265.64</w:t>
            </w:r>
          </w:p>
        </w:tc>
      </w:tr>
      <w:tr w:rsidR="00755203" w:rsidRPr="00755203" w:rsidTr="003A11D3">
        <w:tc>
          <w:tcPr>
            <w:tcW w:w="379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wet soil (g)</w:t>
            </w:r>
          </w:p>
        </w:tc>
        <w:tc>
          <w:tcPr>
            <w:tcW w:w="2212"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387.28</w:t>
            </w:r>
            <w:r w:rsidRPr="00755203">
              <w:rPr>
                <w:rFonts w:ascii="Times New Roman" w:hAnsi="Times New Roman" w:cs="Times New Roman"/>
              </w:rPr>
              <w:tab/>
            </w:r>
          </w:p>
        </w:tc>
        <w:tc>
          <w:tcPr>
            <w:tcW w:w="300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399.85</w:t>
            </w:r>
          </w:p>
        </w:tc>
      </w:tr>
      <w:tr w:rsidR="00755203" w:rsidRPr="00755203" w:rsidTr="003A11D3">
        <w:tc>
          <w:tcPr>
            <w:tcW w:w="379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Volume of mould (cm</w:t>
            </w:r>
            <w:r w:rsidRPr="00755203">
              <w:rPr>
                <w:rFonts w:ascii="Times New Roman" w:hAnsi="Times New Roman" w:cs="Times New Roman"/>
                <w:vertAlign w:val="superscript"/>
              </w:rPr>
              <w:t>3</w:t>
            </w:r>
            <w:r w:rsidRPr="00755203">
              <w:rPr>
                <w:rFonts w:ascii="Times New Roman" w:hAnsi="Times New Roman" w:cs="Times New Roman"/>
              </w:rPr>
              <w:t>)</w:t>
            </w:r>
          </w:p>
        </w:tc>
        <w:tc>
          <w:tcPr>
            <w:tcW w:w="2212"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251.48</w:t>
            </w:r>
            <w:r w:rsidRPr="00755203">
              <w:rPr>
                <w:rFonts w:ascii="Times New Roman" w:hAnsi="Times New Roman" w:cs="Times New Roman"/>
              </w:rPr>
              <w:tab/>
            </w:r>
          </w:p>
        </w:tc>
        <w:tc>
          <w:tcPr>
            <w:tcW w:w="300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251.48</w:t>
            </w:r>
          </w:p>
        </w:tc>
      </w:tr>
      <w:tr w:rsidR="00755203" w:rsidRPr="00755203" w:rsidTr="003A11D3">
        <w:tc>
          <w:tcPr>
            <w:tcW w:w="379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Bulk density (g/cm</w:t>
            </w:r>
            <w:r w:rsidRPr="00755203">
              <w:rPr>
                <w:rFonts w:ascii="Times New Roman" w:hAnsi="Times New Roman" w:cs="Times New Roman"/>
                <w:vertAlign w:val="superscript"/>
              </w:rPr>
              <w:t>3</w:t>
            </w:r>
            <w:r w:rsidRPr="00755203">
              <w:rPr>
                <w:rFonts w:ascii="Times New Roman" w:hAnsi="Times New Roman" w:cs="Times New Roman"/>
              </w:rPr>
              <w:t>)</w:t>
            </w:r>
          </w:p>
        </w:tc>
        <w:tc>
          <w:tcPr>
            <w:tcW w:w="2212"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1.54</w:t>
            </w:r>
          </w:p>
        </w:tc>
        <w:tc>
          <w:tcPr>
            <w:tcW w:w="300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1.59</w:t>
            </w:r>
          </w:p>
        </w:tc>
      </w:tr>
      <w:tr w:rsidR="00755203" w:rsidRPr="00755203" w:rsidTr="003A11D3">
        <w:tc>
          <w:tcPr>
            <w:tcW w:w="379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Average bulk density (g/cm</w:t>
            </w:r>
            <w:r w:rsidRPr="00755203">
              <w:rPr>
                <w:rFonts w:ascii="Times New Roman" w:hAnsi="Times New Roman" w:cs="Times New Roman"/>
                <w:vertAlign w:val="superscript"/>
              </w:rPr>
              <w:t>3</w:t>
            </w:r>
            <w:r w:rsidRPr="00755203">
              <w:rPr>
                <w:rFonts w:ascii="Times New Roman" w:hAnsi="Times New Roman" w:cs="Times New Roman"/>
              </w:rPr>
              <w:t>)</w:t>
            </w:r>
          </w:p>
        </w:tc>
        <w:tc>
          <w:tcPr>
            <w:tcW w:w="5218" w:type="dxa"/>
            <w:gridSpan w:val="2"/>
          </w:tcPr>
          <w:p w:rsidR="00755203" w:rsidRPr="00755203" w:rsidRDefault="00755203" w:rsidP="00755203">
            <w:pPr>
              <w:rPr>
                <w:rFonts w:ascii="Times New Roman" w:hAnsi="Times New Roman" w:cs="Times New Roman"/>
              </w:rPr>
            </w:pPr>
            <w:r w:rsidRPr="00755203">
              <w:rPr>
                <w:rFonts w:ascii="Times New Roman" w:hAnsi="Times New Roman" w:cs="Times New Roman"/>
              </w:rPr>
              <w:t xml:space="preserve">                                   1.57</w:t>
            </w:r>
          </w:p>
        </w:tc>
      </w:tr>
    </w:tbl>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p>
    <w:p w:rsidR="00755203" w:rsidRPr="00755203" w:rsidRDefault="00755203" w:rsidP="00755203">
      <w:pPr>
        <w:spacing w:after="160" w:line="360" w:lineRule="auto"/>
        <w:jc w:val="both"/>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eastAsia="en-GB"/>
          <w14:ligatures w14:val="standardContextual"/>
        </w:rPr>
        <w:t>Table 4.2 showed that the bulk density of the investigated clay samples was found to be 1.54g/cm</w:t>
      </w:r>
      <w:r w:rsidRPr="00755203">
        <w:rPr>
          <w:rFonts w:ascii="Times New Roman" w:eastAsia="Times New Roman" w:hAnsi="Times New Roman" w:cs="Times New Roman"/>
          <w:kern w:val="2"/>
          <w:sz w:val="24"/>
          <w:szCs w:val="24"/>
          <w:vertAlign w:val="superscript"/>
          <w:lang w:eastAsia="en-GB"/>
          <w14:ligatures w14:val="standardContextual"/>
        </w:rPr>
        <w:t>3</w:t>
      </w:r>
      <w:r w:rsidRPr="00755203">
        <w:rPr>
          <w:rFonts w:ascii="Times New Roman" w:eastAsia="Times New Roman" w:hAnsi="Times New Roman" w:cs="Times New Roman"/>
          <w:kern w:val="2"/>
          <w:sz w:val="24"/>
          <w:szCs w:val="24"/>
          <w:lang w:eastAsia="en-GB"/>
          <w14:ligatures w14:val="standardContextual"/>
        </w:rPr>
        <w:t xml:space="preserve"> and 1.59g/cm</w:t>
      </w:r>
      <w:r w:rsidRPr="00755203">
        <w:rPr>
          <w:rFonts w:ascii="Times New Roman" w:eastAsia="Times New Roman" w:hAnsi="Times New Roman" w:cs="Times New Roman"/>
          <w:kern w:val="2"/>
          <w:sz w:val="24"/>
          <w:szCs w:val="24"/>
          <w:vertAlign w:val="superscript"/>
          <w:lang w:eastAsia="en-GB"/>
          <w14:ligatures w14:val="standardContextual"/>
        </w:rPr>
        <w:t>3</w:t>
      </w:r>
      <w:r w:rsidRPr="00755203">
        <w:rPr>
          <w:rFonts w:ascii="Times New Roman" w:eastAsia="Times New Roman" w:hAnsi="Times New Roman" w:cs="Times New Roman"/>
          <w:kern w:val="2"/>
          <w:sz w:val="24"/>
          <w:szCs w:val="24"/>
          <w:lang w:eastAsia="en-GB"/>
          <w14:ligatures w14:val="standardContextual"/>
        </w:rPr>
        <w:t xml:space="preserve"> respectively, with an average value of 1.57g/cm</w:t>
      </w:r>
      <w:r w:rsidRPr="00755203">
        <w:rPr>
          <w:rFonts w:ascii="Times New Roman" w:eastAsia="Times New Roman" w:hAnsi="Times New Roman" w:cs="Times New Roman"/>
          <w:kern w:val="2"/>
          <w:sz w:val="24"/>
          <w:szCs w:val="24"/>
          <w:vertAlign w:val="superscript"/>
          <w:lang w:eastAsia="en-GB"/>
          <w14:ligatures w14:val="standardContextual"/>
        </w:rPr>
        <w:t>3</w:t>
      </w:r>
      <w:r w:rsidRPr="00755203">
        <w:rPr>
          <w:rFonts w:ascii="Times New Roman" w:eastAsia="Times New Roman" w:hAnsi="Times New Roman" w:cs="Times New Roman"/>
          <w:kern w:val="2"/>
          <w:sz w:val="24"/>
          <w:szCs w:val="24"/>
          <w:lang w:eastAsia="en-GB"/>
          <w14:ligatures w14:val="standardContextual"/>
        </w:rPr>
        <w:t xml:space="preserve">; bulk density of clay can affect its durability as manufactured products like ceramics, bricks, pots </w:t>
      </w:r>
      <w:proofErr w:type="spellStart"/>
      <w:r w:rsidRPr="00755203">
        <w:rPr>
          <w:rFonts w:ascii="Times New Roman" w:eastAsia="Times New Roman" w:hAnsi="Times New Roman" w:cs="Times New Roman"/>
          <w:kern w:val="2"/>
          <w:sz w:val="24"/>
          <w:szCs w:val="24"/>
          <w:lang w:eastAsia="en-GB"/>
          <w14:ligatures w14:val="standardContextual"/>
        </w:rPr>
        <w:t>e.t.c</w:t>
      </w:r>
      <w:proofErr w:type="spellEnd"/>
      <w:r w:rsidRPr="00755203">
        <w:rPr>
          <w:rFonts w:ascii="Times New Roman" w:eastAsia="Times New Roman" w:hAnsi="Times New Roman" w:cs="Times New Roman"/>
          <w:kern w:val="2"/>
          <w:sz w:val="24"/>
          <w:szCs w:val="24"/>
          <w:lang w:eastAsia="en-GB"/>
          <w14:ligatures w14:val="standardContextual"/>
        </w:rPr>
        <w:t xml:space="preserve">. High bulk density gives low porosity, which increases the strength and durability during industrial processes as well as during their usage as finished products. The obtained bulk density values </w:t>
      </w:r>
      <w:r w:rsidRPr="00755203">
        <w:rPr>
          <w:rFonts w:ascii="Times New Roman" w:eastAsia="Times New Roman" w:hAnsi="Times New Roman" w:cs="Times New Roman"/>
          <w:kern w:val="2"/>
          <w:sz w:val="24"/>
          <w:szCs w:val="24"/>
          <w:lang w:eastAsia="en-GB"/>
          <w14:ligatures w14:val="standardContextual"/>
        </w:rPr>
        <w:lastRenderedPageBreak/>
        <w:t>were favorably compared with the general standard value range of between 1.0 and 2.5g/cm</w:t>
      </w:r>
      <w:r w:rsidRPr="00755203">
        <w:rPr>
          <w:rFonts w:ascii="Times New Roman" w:eastAsia="Times New Roman" w:hAnsi="Times New Roman" w:cs="Times New Roman"/>
          <w:kern w:val="2"/>
          <w:sz w:val="24"/>
          <w:szCs w:val="24"/>
          <w:vertAlign w:val="superscript"/>
          <w:lang w:eastAsia="en-GB"/>
          <w14:ligatures w14:val="standardContextual"/>
        </w:rPr>
        <w:t xml:space="preserve">3 </w:t>
      </w:r>
      <w:r w:rsidRPr="00755203">
        <w:rPr>
          <w:rFonts w:ascii="Times New Roman" w:eastAsia="Times New Roman" w:hAnsi="Times New Roman" w:cs="Times New Roman"/>
          <w:kern w:val="2"/>
          <w:sz w:val="24"/>
          <w:szCs w:val="24"/>
          <w:lang w:eastAsia="en-GB"/>
          <w14:ligatures w14:val="standardContextual"/>
        </w:rPr>
        <w:t xml:space="preserve">recorded by </w:t>
      </w:r>
      <w:r w:rsidRPr="00755203">
        <w:rPr>
          <w:rFonts w:ascii="Times New Roman" w:eastAsia="Times New Roman" w:hAnsi="Times New Roman" w:cs="Times New Roman"/>
          <w:b/>
          <w:kern w:val="2"/>
          <w:sz w:val="24"/>
          <w:szCs w:val="24"/>
          <w:lang w:eastAsia="en-GB"/>
          <w14:ligatures w14:val="standardContextual"/>
        </w:rPr>
        <w:t>(</w:t>
      </w:r>
      <w:proofErr w:type="spellStart"/>
      <w:r w:rsidRPr="00755203">
        <w:rPr>
          <w:rFonts w:ascii="Times New Roman" w:eastAsia="Times New Roman" w:hAnsi="Times New Roman" w:cs="Times New Roman"/>
          <w:b/>
          <w:kern w:val="2"/>
          <w:sz w:val="24"/>
          <w:szCs w:val="24"/>
          <w:lang w:eastAsia="en-GB"/>
          <w14:ligatures w14:val="standardContextual"/>
        </w:rPr>
        <w:t>Oniseije</w:t>
      </w:r>
      <w:proofErr w:type="spellEnd"/>
      <w:r w:rsidRPr="00755203">
        <w:rPr>
          <w:rFonts w:ascii="Times New Roman" w:eastAsia="Times New Roman" w:hAnsi="Times New Roman" w:cs="Times New Roman"/>
          <w:b/>
          <w:kern w:val="2"/>
          <w:sz w:val="24"/>
          <w:szCs w:val="24"/>
          <w:lang w:eastAsia="en-GB"/>
          <w14:ligatures w14:val="standardContextual"/>
        </w:rPr>
        <w:t xml:space="preserve"> and </w:t>
      </w:r>
      <w:proofErr w:type="spellStart"/>
      <w:r w:rsidRPr="00755203">
        <w:rPr>
          <w:rFonts w:ascii="Times New Roman" w:eastAsia="Times New Roman" w:hAnsi="Times New Roman" w:cs="Times New Roman"/>
          <w:b/>
          <w:kern w:val="2"/>
          <w:sz w:val="24"/>
          <w:szCs w:val="24"/>
          <w:lang w:eastAsia="en-GB"/>
          <w14:ligatures w14:val="standardContextual"/>
        </w:rPr>
        <w:t>Olaniyi</w:t>
      </w:r>
      <w:proofErr w:type="spellEnd"/>
      <w:r w:rsidRPr="00755203">
        <w:rPr>
          <w:rFonts w:ascii="Times New Roman" w:eastAsia="Times New Roman" w:hAnsi="Times New Roman" w:cs="Times New Roman"/>
          <w:b/>
          <w:kern w:val="2"/>
          <w:sz w:val="24"/>
          <w:szCs w:val="24"/>
          <w:lang w:eastAsia="en-GB"/>
          <w14:ligatures w14:val="standardContextual"/>
        </w:rPr>
        <w:t>, 2018).</w:t>
      </w:r>
      <w:r w:rsidRPr="00755203">
        <w:rPr>
          <w:rFonts w:ascii="Times New Roman" w:eastAsia="Times New Roman" w:hAnsi="Times New Roman" w:cs="Times New Roman"/>
          <w:kern w:val="2"/>
          <w:sz w:val="24"/>
          <w:szCs w:val="24"/>
          <w:lang w:eastAsia="en-GB"/>
          <w14:ligatures w14:val="standardContextual"/>
        </w:rPr>
        <w:t xml:space="preserve"> Thus, the examined clay deposits are suitable for industrial products such as brick making, ceramic and crucible.</w:t>
      </w:r>
    </w:p>
    <w:p w:rsidR="00755203" w:rsidRPr="00755203" w:rsidRDefault="00755203" w:rsidP="00755203">
      <w:pPr>
        <w:spacing w:after="160" w:line="278" w:lineRule="auto"/>
        <w:rPr>
          <w:rFonts w:ascii="Times New Roman" w:eastAsia="Times New Roman" w:hAnsi="Times New Roman" w:cs="Times New Roman"/>
          <w:b/>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4.3</w:t>
      </w:r>
      <w:r w:rsidRPr="00755203">
        <w:rPr>
          <w:rFonts w:ascii="Times New Roman" w:eastAsia="Times New Roman" w:hAnsi="Times New Roman" w:cs="Times New Roman"/>
          <w:b/>
          <w:kern w:val="2"/>
          <w:sz w:val="24"/>
          <w:szCs w:val="24"/>
          <w:lang w:val="en-GB" w:eastAsia="en-GB"/>
          <w14:ligatures w14:val="standardContextual"/>
        </w:rPr>
        <w:tab/>
        <w:t xml:space="preserve"> Grain Size Analysis </w:t>
      </w:r>
    </w:p>
    <w:p w:rsidR="00755203" w:rsidRPr="00755203" w:rsidRDefault="00755203" w:rsidP="00755203">
      <w:pPr>
        <w:spacing w:after="160" w:line="278" w:lineRule="auto"/>
        <w:rPr>
          <w:rFonts w:ascii="Times New Roman" w:eastAsia="Times New Roman" w:hAnsi="Times New Roman" w:cs="Times New Roman"/>
          <w:b/>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4.3.1</w:t>
      </w:r>
      <w:r w:rsidRPr="00755203">
        <w:rPr>
          <w:rFonts w:ascii="Times New Roman" w:eastAsia="Times New Roman" w:hAnsi="Times New Roman" w:cs="Times New Roman"/>
          <w:b/>
          <w:kern w:val="2"/>
          <w:sz w:val="24"/>
          <w:szCs w:val="24"/>
          <w:lang w:val="en-GB" w:eastAsia="en-GB"/>
          <w14:ligatures w14:val="standardContextual"/>
        </w:rPr>
        <w:tab/>
        <w:t xml:space="preserve"> Mechanical Sieve Analysis of Sample A2 and B2</w:t>
      </w:r>
    </w:p>
    <w:p w:rsidR="00755203" w:rsidRPr="00755203" w:rsidRDefault="00755203" w:rsidP="00755203">
      <w:pPr>
        <w:spacing w:after="160" w:line="278" w:lineRule="auto"/>
        <w:jc w:val="both"/>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Table 4.3: The Mechanical Sieve Analysis for Sample A2</w:t>
      </w:r>
    </w:p>
    <w:tbl>
      <w:tblPr>
        <w:tblStyle w:val="TableGrid"/>
        <w:tblW w:w="0" w:type="auto"/>
        <w:tblLook w:val="04A0" w:firstRow="1" w:lastRow="0" w:firstColumn="1" w:lastColumn="0" w:noHBand="0" w:noVBand="1"/>
      </w:tblPr>
      <w:tblGrid>
        <w:gridCol w:w="3322"/>
        <w:gridCol w:w="2110"/>
      </w:tblGrid>
      <w:tr w:rsidR="00755203" w:rsidRPr="00755203" w:rsidTr="003A11D3">
        <w:trPr>
          <w:trHeight w:val="262"/>
        </w:trPr>
        <w:tc>
          <w:tcPr>
            <w:tcW w:w="3322"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Diameter (mm)</w:t>
            </w:r>
          </w:p>
        </w:tc>
        <w:tc>
          <w:tcPr>
            <w:tcW w:w="211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 Passing</w:t>
            </w:r>
          </w:p>
        </w:tc>
      </w:tr>
      <w:tr w:rsidR="00755203" w:rsidRPr="00755203" w:rsidTr="003A11D3">
        <w:trPr>
          <w:trHeight w:val="251"/>
        </w:trPr>
        <w:tc>
          <w:tcPr>
            <w:tcW w:w="3322"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3.35</w:t>
            </w:r>
          </w:p>
        </w:tc>
        <w:tc>
          <w:tcPr>
            <w:tcW w:w="211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100.0</w:t>
            </w:r>
          </w:p>
        </w:tc>
      </w:tr>
      <w:tr w:rsidR="00755203" w:rsidRPr="00755203" w:rsidTr="003A11D3">
        <w:trPr>
          <w:trHeight w:val="262"/>
        </w:trPr>
        <w:tc>
          <w:tcPr>
            <w:tcW w:w="3322"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2.00</w:t>
            </w:r>
          </w:p>
        </w:tc>
        <w:tc>
          <w:tcPr>
            <w:tcW w:w="211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99.3</w:t>
            </w:r>
          </w:p>
        </w:tc>
      </w:tr>
      <w:tr w:rsidR="00755203" w:rsidRPr="00755203" w:rsidTr="003A11D3">
        <w:trPr>
          <w:trHeight w:val="251"/>
        </w:trPr>
        <w:tc>
          <w:tcPr>
            <w:tcW w:w="3322"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1.18</w:t>
            </w:r>
          </w:p>
        </w:tc>
        <w:tc>
          <w:tcPr>
            <w:tcW w:w="211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96.7</w:t>
            </w:r>
          </w:p>
        </w:tc>
      </w:tr>
      <w:tr w:rsidR="00755203" w:rsidRPr="00755203" w:rsidTr="003A11D3">
        <w:trPr>
          <w:trHeight w:val="262"/>
        </w:trPr>
        <w:tc>
          <w:tcPr>
            <w:tcW w:w="3322"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0.60</w:t>
            </w:r>
          </w:p>
        </w:tc>
        <w:tc>
          <w:tcPr>
            <w:tcW w:w="211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94.4</w:t>
            </w:r>
          </w:p>
        </w:tc>
      </w:tr>
      <w:tr w:rsidR="00755203" w:rsidRPr="00755203" w:rsidTr="003A11D3">
        <w:trPr>
          <w:trHeight w:val="262"/>
        </w:trPr>
        <w:tc>
          <w:tcPr>
            <w:tcW w:w="3322"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0.30</w:t>
            </w:r>
          </w:p>
        </w:tc>
        <w:tc>
          <w:tcPr>
            <w:tcW w:w="211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93.0</w:t>
            </w:r>
          </w:p>
        </w:tc>
      </w:tr>
      <w:tr w:rsidR="00755203" w:rsidRPr="00755203" w:rsidTr="003A11D3">
        <w:trPr>
          <w:trHeight w:val="251"/>
        </w:trPr>
        <w:tc>
          <w:tcPr>
            <w:tcW w:w="3322"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0.212</w:t>
            </w:r>
          </w:p>
        </w:tc>
        <w:tc>
          <w:tcPr>
            <w:tcW w:w="211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91.6</w:t>
            </w:r>
          </w:p>
        </w:tc>
      </w:tr>
      <w:tr w:rsidR="00755203" w:rsidRPr="00755203" w:rsidTr="003A11D3">
        <w:trPr>
          <w:trHeight w:val="262"/>
        </w:trPr>
        <w:tc>
          <w:tcPr>
            <w:tcW w:w="3322"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0.150</w:t>
            </w:r>
          </w:p>
        </w:tc>
        <w:tc>
          <w:tcPr>
            <w:tcW w:w="211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89.1</w:t>
            </w:r>
          </w:p>
        </w:tc>
      </w:tr>
      <w:tr w:rsidR="00755203" w:rsidRPr="00755203" w:rsidTr="003A11D3">
        <w:trPr>
          <w:trHeight w:val="262"/>
        </w:trPr>
        <w:tc>
          <w:tcPr>
            <w:tcW w:w="3322"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0.075</w:t>
            </w:r>
          </w:p>
        </w:tc>
        <w:tc>
          <w:tcPr>
            <w:tcW w:w="211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86.3</w:t>
            </w:r>
          </w:p>
        </w:tc>
      </w:tr>
    </w:tbl>
    <w:p w:rsidR="00755203" w:rsidRPr="00755203" w:rsidRDefault="00755203" w:rsidP="00755203">
      <w:pPr>
        <w:spacing w:after="160" w:line="278" w:lineRule="auto"/>
        <w:jc w:val="both"/>
        <w:rPr>
          <w:rFonts w:ascii="Times New Roman" w:eastAsia="Times New Roman" w:hAnsi="Times New Roman" w:cs="Times New Roman"/>
          <w:kern w:val="2"/>
          <w:sz w:val="24"/>
          <w:szCs w:val="24"/>
          <w:lang w:val="en-GB" w:eastAsia="en-GB"/>
          <w14:ligatures w14:val="standardContextual"/>
        </w:rPr>
      </w:pPr>
    </w:p>
    <w:p w:rsidR="00755203" w:rsidRPr="00755203" w:rsidRDefault="00755203" w:rsidP="00755203">
      <w:pPr>
        <w:spacing w:after="160" w:line="278" w:lineRule="auto"/>
        <w:jc w:val="both"/>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noProof/>
          <w:kern w:val="2"/>
          <w:sz w:val="24"/>
          <w:szCs w:val="24"/>
          <w14:ligatures w14:val="standardContextual"/>
        </w:rPr>
        <w:drawing>
          <wp:inline distT="0" distB="0" distL="0" distR="0" wp14:anchorId="39AC58D3" wp14:editId="23D85C43">
            <wp:extent cx="2159213" cy="153680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1853" cy="1538685"/>
                    </a:xfrm>
                    <a:prstGeom prst="rect">
                      <a:avLst/>
                    </a:prstGeom>
                    <a:noFill/>
                  </pic:spPr>
                </pic:pic>
              </a:graphicData>
            </a:graphic>
          </wp:inline>
        </w:drawing>
      </w:r>
    </w:p>
    <w:p w:rsidR="00755203" w:rsidRPr="00755203" w:rsidRDefault="00755203" w:rsidP="00755203">
      <w:pPr>
        <w:spacing w:after="160" w:line="278" w:lineRule="auto"/>
        <w:jc w:val="both"/>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 xml:space="preserve">Figure: 4.1 </w:t>
      </w:r>
      <w:proofErr w:type="gramStart"/>
      <w:r w:rsidRPr="00755203">
        <w:rPr>
          <w:rFonts w:ascii="Times New Roman" w:eastAsia="Times New Roman" w:hAnsi="Times New Roman" w:cs="Times New Roman"/>
          <w:kern w:val="2"/>
          <w:sz w:val="24"/>
          <w:szCs w:val="24"/>
          <w:lang w:val="en-GB" w:eastAsia="en-GB"/>
          <w14:ligatures w14:val="standardContextual"/>
        </w:rPr>
        <w:t>The</w:t>
      </w:r>
      <w:proofErr w:type="gramEnd"/>
      <w:r w:rsidRPr="00755203">
        <w:rPr>
          <w:rFonts w:ascii="Times New Roman" w:eastAsia="Times New Roman" w:hAnsi="Times New Roman" w:cs="Times New Roman"/>
          <w:kern w:val="2"/>
          <w:sz w:val="24"/>
          <w:szCs w:val="24"/>
          <w:lang w:val="en-GB" w:eastAsia="en-GB"/>
          <w14:ligatures w14:val="standardContextual"/>
        </w:rPr>
        <w:t xml:space="preserve"> mechanical sieve analysis for Sample A2</w:t>
      </w:r>
    </w:p>
    <w:p w:rsidR="00755203" w:rsidRPr="00755203" w:rsidRDefault="00755203" w:rsidP="00755203">
      <w:pPr>
        <w:spacing w:after="160" w:line="278" w:lineRule="auto"/>
        <w:jc w:val="both"/>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 xml:space="preserve">Table 4.4: The Mechanical Sieve Analysis </w:t>
      </w:r>
      <w:proofErr w:type="gramStart"/>
      <w:r w:rsidRPr="00755203">
        <w:rPr>
          <w:rFonts w:ascii="Times New Roman" w:eastAsia="Times New Roman" w:hAnsi="Times New Roman" w:cs="Times New Roman"/>
          <w:kern w:val="2"/>
          <w:sz w:val="24"/>
          <w:szCs w:val="24"/>
          <w:lang w:val="en-GB" w:eastAsia="en-GB"/>
          <w14:ligatures w14:val="standardContextual"/>
        </w:rPr>
        <w:t>For</w:t>
      </w:r>
      <w:proofErr w:type="gramEnd"/>
      <w:r w:rsidRPr="00755203">
        <w:rPr>
          <w:rFonts w:ascii="Times New Roman" w:eastAsia="Times New Roman" w:hAnsi="Times New Roman" w:cs="Times New Roman"/>
          <w:kern w:val="2"/>
          <w:sz w:val="24"/>
          <w:szCs w:val="24"/>
          <w:lang w:val="en-GB" w:eastAsia="en-GB"/>
          <w14:ligatures w14:val="standardContextual"/>
        </w:rPr>
        <w:t xml:space="preserve"> Sample B2</w:t>
      </w:r>
    </w:p>
    <w:tbl>
      <w:tblPr>
        <w:tblStyle w:val="TableGrid"/>
        <w:tblW w:w="0" w:type="auto"/>
        <w:tblLook w:val="04A0" w:firstRow="1" w:lastRow="0" w:firstColumn="1" w:lastColumn="0" w:noHBand="0" w:noVBand="1"/>
      </w:tblPr>
      <w:tblGrid>
        <w:gridCol w:w="2324"/>
        <w:gridCol w:w="1793"/>
      </w:tblGrid>
      <w:tr w:rsidR="00755203" w:rsidRPr="00755203" w:rsidTr="003A11D3">
        <w:trPr>
          <w:trHeight w:val="275"/>
        </w:trPr>
        <w:tc>
          <w:tcPr>
            <w:tcW w:w="232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Diameter (mm)</w:t>
            </w:r>
          </w:p>
        </w:tc>
        <w:tc>
          <w:tcPr>
            <w:tcW w:w="1793"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 Passing</w:t>
            </w:r>
          </w:p>
        </w:tc>
      </w:tr>
      <w:tr w:rsidR="00755203" w:rsidRPr="00755203" w:rsidTr="003A11D3">
        <w:trPr>
          <w:trHeight w:val="287"/>
        </w:trPr>
        <w:tc>
          <w:tcPr>
            <w:tcW w:w="232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3.35</w:t>
            </w:r>
          </w:p>
        </w:tc>
        <w:tc>
          <w:tcPr>
            <w:tcW w:w="1793"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100.0</w:t>
            </w:r>
          </w:p>
        </w:tc>
      </w:tr>
      <w:tr w:rsidR="00755203" w:rsidRPr="00755203" w:rsidTr="003A11D3">
        <w:trPr>
          <w:trHeight w:val="287"/>
        </w:trPr>
        <w:tc>
          <w:tcPr>
            <w:tcW w:w="232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2.00</w:t>
            </w:r>
          </w:p>
        </w:tc>
        <w:tc>
          <w:tcPr>
            <w:tcW w:w="1793"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97.5</w:t>
            </w:r>
          </w:p>
        </w:tc>
      </w:tr>
      <w:tr w:rsidR="00755203" w:rsidRPr="00755203" w:rsidTr="003A11D3">
        <w:trPr>
          <w:trHeight w:val="275"/>
        </w:trPr>
        <w:tc>
          <w:tcPr>
            <w:tcW w:w="232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1.18</w:t>
            </w:r>
          </w:p>
        </w:tc>
        <w:tc>
          <w:tcPr>
            <w:tcW w:w="1793"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93.1</w:t>
            </w:r>
          </w:p>
        </w:tc>
      </w:tr>
      <w:tr w:rsidR="00755203" w:rsidRPr="00755203" w:rsidTr="003A11D3">
        <w:trPr>
          <w:trHeight w:val="287"/>
        </w:trPr>
        <w:tc>
          <w:tcPr>
            <w:tcW w:w="232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0.60</w:t>
            </w:r>
          </w:p>
        </w:tc>
        <w:tc>
          <w:tcPr>
            <w:tcW w:w="1793"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89.6</w:t>
            </w:r>
          </w:p>
        </w:tc>
      </w:tr>
      <w:tr w:rsidR="00755203" w:rsidRPr="00755203" w:rsidTr="003A11D3">
        <w:trPr>
          <w:trHeight w:val="287"/>
        </w:trPr>
        <w:tc>
          <w:tcPr>
            <w:tcW w:w="232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0.30</w:t>
            </w:r>
          </w:p>
        </w:tc>
        <w:tc>
          <w:tcPr>
            <w:tcW w:w="1793"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85.2</w:t>
            </w:r>
          </w:p>
        </w:tc>
      </w:tr>
      <w:tr w:rsidR="00755203" w:rsidRPr="00755203" w:rsidTr="003A11D3">
        <w:trPr>
          <w:trHeight w:val="275"/>
        </w:trPr>
        <w:tc>
          <w:tcPr>
            <w:tcW w:w="232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0.212</w:t>
            </w:r>
          </w:p>
        </w:tc>
        <w:tc>
          <w:tcPr>
            <w:tcW w:w="1793"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80.3</w:t>
            </w:r>
          </w:p>
        </w:tc>
      </w:tr>
      <w:tr w:rsidR="00755203" w:rsidRPr="00755203" w:rsidTr="003A11D3">
        <w:trPr>
          <w:trHeight w:val="287"/>
        </w:trPr>
        <w:tc>
          <w:tcPr>
            <w:tcW w:w="232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0.150</w:t>
            </w:r>
          </w:p>
        </w:tc>
        <w:tc>
          <w:tcPr>
            <w:tcW w:w="1793"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76.4</w:t>
            </w:r>
          </w:p>
        </w:tc>
      </w:tr>
      <w:tr w:rsidR="00755203" w:rsidRPr="00755203" w:rsidTr="003A11D3">
        <w:trPr>
          <w:trHeight w:val="287"/>
        </w:trPr>
        <w:tc>
          <w:tcPr>
            <w:tcW w:w="232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0.075</w:t>
            </w:r>
          </w:p>
        </w:tc>
        <w:tc>
          <w:tcPr>
            <w:tcW w:w="1793"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73.1</w:t>
            </w:r>
          </w:p>
        </w:tc>
      </w:tr>
    </w:tbl>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noProof/>
          <w:kern w:val="2"/>
          <w:sz w:val="24"/>
          <w:szCs w:val="24"/>
          <w14:ligatures w14:val="standardContextual"/>
        </w:rPr>
        <w:lastRenderedPageBreak/>
        <w:drawing>
          <wp:inline distT="0" distB="0" distL="0" distR="0" wp14:anchorId="3E58465D" wp14:editId="5B903753">
            <wp:extent cx="2512679" cy="1421546"/>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0717" cy="1426093"/>
                    </a:xfrm>
                    <a:prstGeom prst="rect">
                      <a:avLst/>
                    </a:prstGeom>
                    <a:noFill/>
                  </pic:spPr>
                </pic:pic>
              </a:graphicData>
            </a:graphic>
          </wp:inline>
        </w:drawing>
      </w:r>
    </w:p>
    <w:p w:rsidR="00755203" w:rsidRPr="00755203" w:rsidRDefault="00755203" w:rsidP="00755203">
      <w:pPr>
        <w:spacing w:after="160" w:line="278" w:lineRule="auto"/>
        <w:jc w:val="both"/>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Figure 4.2: The mechanical sieve analysis for Sample B2</w:t>
      </w:r>
    </w:p>
    <w:p w:rsidR="00755203" w:rsidRPr="00755203" w:rsidRDefault="00755203" w:rsidP="00755203">
      <w:pPr>
        <w:spacing w:after="160" w:line="278" w:lineRule="auto"/>
        <w:jc w:val="both"/>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 xml:space="preserve">Both samples display a similar trend of decreasing percentage passing with decreasing size, but A2 retains finer materials compared to B2. Sample B2 has larger average particle sizes due to its higher percentages at the coarser sieve sizes and lower percentages at the finer sizes. The differences in grain size distribution would affect how these materials are used in engineering or construction. A2, being finer, may be suited for applications requiring more compact and cohesive properties, while B2 may provide better drainage or structural support (Das and </w:t>
      </w:r>
      <w:proofErr w:type="spellStart"/>
      <w:r w:rsidRPr="00755203">
        <w:rPr>
          <w:rFonts w:ascii="Times New Roman" w:eastAsia="Times New Roman" w:hAnsi="Times New Roman" w:cs="Times New Roman"/>
          <w:kern w:val="2"/>
          <w:sz w:val="24"/>
          <w:szCs w:val="24"/>
          <w:lang w:val="en-GB" w:eastAsia="en-GB"/>
          <w14:ligatures w14:val="standardContextual"/>
        </w:rPr>
        <w:t>Sobhan</w:t>
      </w:r>
      <w:proofErr w:type="spellEnd"/>
      <w:r w:rsidRPr="00755203">
        <w:rPr>
          <w:rFonts w:ascii="Times New Roman" w:eastAsia="Times New Roman" w:hAnsi="Times New Roman" w:cs="Times New Roman"/>
          <w:kern w:val="2"/>
          <w:sz w:val="24"/>
          <w:szCs w:val="24"/>
          <w:lang w:val="en-GB" w:eastAsia="en-GB"/>
          <w14:ligatures w14:val="standardContextual"/>
        </w:rPr>
        <w:t xml:space="preserve"> 2017) as shown in Table 4.3, 4.4 and figure 4.1 and 4.2 respectively.</w:t>
      </w:r>
    </w:p>
    <w:p w:rsidR="00755203" w:rsidRPr="00755203" w:rsidRDefault="00755203" w:rsidP="00755203">
      <w:pPr>
        <w:spacing w:after="160" w:line="278" w:lineRule="auto"/>
        <w:rPr>
          <w:rFonts w:ascii="Times New Roman" w:eastAsia="Times New Roman" w:hAnsi="Times New Roman" w:cs="Times New Roman"/>
          <w:b/>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 xml:space="preserve">4.3.2 </w:t>
      </w:r>
      <w:r w:rsidRPr="00755203">
        <w:rPr>
          <w:rFonts w:ascii="Times New Roman" w:eastAsia="Times New Roman" w:hAnsi="Times New Roman" w:cs="Times New Roman"/>
          <w:b/>
          <w:kern w:val="2"/>
          <w:sz w:val="24"/>
          <w:szCs w:val="24"/>
          <w:lang w:val="en-GB" w:eastAsia="en-GB"/>
          <w14:ligatures w14:val="standardContextual"/>
        </w:rPr>
        <w:tab/>
        <w:t>Hydrometer Analysis of Sample A2 and B2</w:t>
      </w: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Table 4.5: The Hydrometer Analysis for Same A2</w:t>
      </w:r>
    </w:p>
    <w:tbl>
      <w:tblPr>
        <w:tblStyle w:val="TableGrid"/>
        <w:tblW w:w="0" w:type="auto"/>
        <w:tblLook w:val="04A0" w:firstRow="1" w:lastRow="0" w:firstColumn="1" w:lastColumn="0" w:noHBand="0" w:noVBand="1"/>
      </w:tblPr>
      <w:tblGrid>
        <w:gridCol w:w="1805"/>
        <w:gridCol w:w="1515"/>
      </w:tblGrid>
      <w:tr w:rsidR="00755203" w:rsidRPr="00755203" w:rsidTr="003A11D3">
        <w:tc>
          <w:tcPr>
            <w:tcW w:w="18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Diameter (mm)</w:t>
            </w:r>
          </w:p>
        </w:tc>
        <w:tc>
          <w:tcPr>
            <w:tcW w:w="151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 Finer</w:t>
            </w:r>
          </w:p>
        </w:tc>
      </w:tr>
      <w:tr w:rsidR="00755203" w:rsidRPr="00755203" w:rsidTr="003A11D3">
        <w:tc>
          <w:tcPr>
            <w:tcW w:w="18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0.025</w:t>
            </w:r>
          </w:p>
        </w:tc>
        <w:tc>
          <w:tcPr>
            <w:tcW w:w="151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80.2</w:t>
            </w:r>
          </w:p>
        </w:tc>
      </w:tr>
      <w:tr w:rsidR="00755203" w:rsidRPr="00755203" w:rsidTr="003A11D3">
        <w:tc>
          <w:tcPr>
            <w:tcW w:w="18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0.0053</w:t>
            </w:r>
            <w:r w:rsidRPr="00755203">
              <w:rPr>
                <w:rFonts w:ascii="Times New Roman" w:hAnsi="Times New Roman" w:cs="Times New Roman"/>
              </w:rPr>
              <w:tab/>
            </w:r>
          </w:p>
        </w:tc>
        <w:tc>
          <w:tcPr>
            <w:tcW w:w="151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74.7</w:t>
            </w:r>
          </w:p>
        </w:tc>
      </w:tr>
      <w:tr w:rsidR="00755203" w:rsidRPr="00755203" w:rsidTr="003A11D3">
        <w:tc>
          <w:tcPr>
            <w:tcW w:w="18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0.0046</w:t>
            </w:r>
          </w:p>
        </w:tc>
        <w:tc>
          <w:tcPr>
            <w:tcW w:w="151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72.1</w:t>
            </w:r>
          </w:p>
        </w:tc>
      </w:tr>
      <w:tr w:rsidR="00755203" w:rsidRPr="00755203" w:rsidTr="003A11D3">
        <w:tc>
          <w:tcPr>
            <w:tcW w:w="18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0.0022</w:t>
            </w:r>
          </w:p>
        </w:tc>
        <w:tc>
          <w:tcPr>
            <w:tcW w:w="151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60.3</w:t>
            </w:r>
          </w:p>
        </w:tc>
      </w:tr>
      <w:tr w:rsidR="00755203" w:rsidRPr="00755203" w:rsidTr="003A11D3">
        <w:tc>
          <w:tcPr>
            <w:tcW w:w="18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0.00081</w:t>
            </w:r>
          </w:p>
        </w:tc>
        <w:tc>
          <w:tcPr>
            <w:tcW w:w="151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52.1</w:t>
            </w:r>
          </w:p>
        </w:tc>
      </w:tr>
      <w:tr w:rsidR="00755203" w:rsidRPr="00755203" w:rsidTr="003A11D3">
        <w:tc>
          <w:tcPr>
            <w:tcW w:w="18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0.00073</w:t>
            </w:r>
          </w:p>
        </w:tc>
        <w:tc>
          <w:tcPr>
            <w:tcW w:w="151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48.5</w:t>
            </w:r>
          </w:p>
        </w:tc>
      </w:tr>
      <w:tr w:rsidR="00755203" w:rsidRPr="00755203" w:rsidTr="003A11D3">
        <w:tc>
          <w:tcPr>
            <w:tcW w:w="18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0.00045</w:t>
            </w:r>
          </w:p>
        </w:tc>
        <w:tc>
          <w:tcPr>
            <w:tcW w:w="151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31.8</w:t>
            </w:r>
          </w:p>
        </w:tc>
      </w:tr>
    </w:tbl>
    <w:p w:rsidR="00755203" w:rsidRPr="00755203" w:rsidRDefault="00755203" w:rsidP="00755203">
      <w:pPr>
        <w:spacing w:after="160" w:line="278" w:lineRule="auto"/>
        <w:rPr>
          <w:rFonts w:ascii="Times New Roman" w:eastAsia="Times New Roman" w:hAnsi="Times New Roman" w:cs="Times New Roman"/>
          <w:b/>
          <w:kern w:val="2"/>
          <w:sz w:val="24"/>
          <w:szCs w:val="24"/>
          <w:lang w:val="en-GB" w:eastAsia="en-GB"/>
          <w14:ligatures w14:val="standardContextual"/>
        </w:rPr>
      </w:pP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Table 4.6</w:t>
      </w:r>
      <w:r w:rsidRPr="00755203">
        <w:rPr>
          <w:rFonts w:ascii="Times New Roman" w:eastAsia="Times New Roman" w:hAnsi="Times New Roman" w:cs="Times New Roman"/>
          <w:kern w:val="2"/>
          <w:sz w:val="24"/>
          <w:szCs w:val="24"/>
          <w:lang w:val="en-GB" w:eastAsia="en-GB"/>
          <w14:ligatures w14:val="standardContextual"/>
        </w:rPr>
        <w:t xml:space="preserve">: The Hydrometer Analysis </w:t>
      </w:r>
      <w:proofErr w:type="gramStart"/>
      <w:r w:rsidRPr="00755203">
        <w:rPr>
          <w:rFonts w:ascii="Times New Roman" w:eastAsia="Times New Roman" w:hAnsi="Times New Roman" w:cs="Times New Roman"/>
          <w:kern w:val="2"/>
          <w:sz w:val="24"/>
          <w:szCs w:val="24"/>
          <w:lang w:val="en-GB" w:eastAsia="en-GB"/>
          <w14:ligatures w14:val="standardContextual"/>
        </w:rPr>
        <w:t>For</w:t>
      </w:r>
      <w:proofErr w:type="gramEnd"/>
      <w:r w:rsidRPr="00755203">
        <w:rPr>
          <w:rFonts w:ascii="Times New Roman" w:eastAsia="Times New Roman" w:hAnsi="Times New Roman" w:cs="Times New Roman"/>
          <w:kern w:val="2"/>
          <w:sz w:val="24"/>
          <w:szCs w:val="24"/>
          <w:lang w:val="en-GB" w:eastAsia="en-GB"/>
          <w14:ligatures w14:val="standardContextual"/>
        </w:rPr>
        <w:t xml:space="preserve"> Sample B2</w:t>
      </w:r>
    </w:p>
    <w:tbl>
      <w:tblPr>
        <w:tblStyle w:val="TableGrid"/>
        <w:tblW w:w="0" w:type="auto"/>
        <w:tblLook w:val="04A0" w:firstRow="1" w:lastRow="0" w:firstColumn="1" w:lastColumn="0" w:noHBand="0" w:noVBand="1"/>
      </w:tblPr>
      <w:tblGrid>
        <w:gridCol w:w="1805"/>
        <w:gridCol w:w="1515"/>
      </w:tblGrid>
      <w:tr w:rsidR="00755203" w:rsidRPr="00755203" w:rsidTr="003A11D3">
        <w:tc>
          <w:tcPr>
            <w:tcW w:w="18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Diameter (mm)</w:t>
            </w:r>
          </w:p>
        </w:tc>
        <w:tc>
          <w:tcPr>
            <w:tcW w:w="151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 Finer</w:t>
            </w:r>
          </w:p>
        </w:tc>
      </w:tr>
      <w:tr w:rsidR="00755203" w:rsidRPr="00755203" w:rsidTr="003A11D3">
        <w:tc>
          <w:tcPr>
            <w:tcW w:w="18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0.019</w:t>
            </w:r>
          </w:p>
        </w:tc>
        <w:tc>
          <w:tcPr>
            <w:tcW w:w="151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68.6</w:t>
            </w:r>
          </w:p>
        </w:tc>
      </w:tr>
      <w:tr w:rsidR="00755203" w:rsidRPr="00755203" w:rsidTr="003A11D3">
        <w:tc>
          <w:tcPr>
            <w:tcW w:w="18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0.0063</w:t>
            </w:r>
          </w:p>
        </w:tc>
        <w:tc>
          <w:tcPr>
            <w:tcW w:w="151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60.2</w:t>
            </w:r>
          </w:p>
        </w:tc>
      </w:tr>
      <w:tr w:rsidR="00755203" w:rsidRPr="00755203" w:rsidTr="003A11D3">
        <w:tc>
          <w:tcPr>
            <w:tcW w:w="18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0.0045</w:t>
            </w:r>
          </w:p>
        </w:tc>
        <w:tc>
          <w:tcPr>
            <w:tcW w:w="151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57.4</w:t>
            </w:r>
          </w:p>
        </w:tc>
      </w:tr>
      <w:tr w:rsidR="00755203" w:rsidRPr="00755203" w:rsidTr="003A11D3">
        <w:tc>
          <w:tcPr>
            <w:tcW w:w="18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0.0021</w:t>
            </w:r>
          </w:p>
        </w:tc>
        <w:tc>
          <w:tcPr>
            <w:tcW w:w="151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53.5</w:t>
            </w:r>
          </w:p>
        </w:tc>
      </w:tr>
      <w:tr w:rsidR="00755203" w:rsidRPr="00755203" w:rsidTr="003A11D3">
        <w:tc>
          <w:tcPr>
            <w:tcW w:w="18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0.00075</w:t>
            </w:r>
          </w:p>
        </w:tc>
        <w:tc>
          <w:tcPr>
            <w:tcW w:w="151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44.3</w:t>
            </w:r>
          </w:p>
        </w:tc>
      </w:tr>
      <w:tr w:rsidR="00755203" w:rsidRPr="00755203" w:rsidTr="003A11D3">
        <w:tc>
          <w:tcPr>
            <w:tcW w:w="18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0.00042</w:t>
            </w:r>
          </w:p>
        </w:tc>
        <w:tc>
          <w:tcPr>
            <w:tcW w:w="151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28.6</w:t>
            </w:r>
          </w:p>
        </w:tc>
      </w:tr>
    </w:tbl>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p>
    <w:p w:rsidR="00755203" w:rsidRDefault="00755203" w:rsidP="00755203">
      <w:pPr>
        <w:spacing w:after="160" w:line="278" w:lineRule="auto"/>
        <w:jc w:val="both"/>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 xml:space="preserve">The provided hydrometer analysis results for samples A2 and B2 reveal valuable information about the particle size distribution within each sample. Sample A2 seems to have a wider range of particle sizes, including a greater fraction of both coarse and fine particles compared to </w:t>
      </w:r>
      <w:r w:rsidRPr="00755203">
        <w:rPr>
          <w:rFonts w:ascii="Times New Roman" w:eastAsia="Times New Roman" w:hAnsi="Times New Roman" w:cs="Times New Roman"/>
          <w:kern w:val="2"/>
          <w:sz w:val="24"/>
          <w:szCs w:val="24"/>
          <w:lang w:val="en-GB" w:eastAsia="en-GB"/>
          <w14:ligatures w14:val="standardContextual"/>
        </w:rPr>
        <w:lastRenderedPageBreak/>
        <w:t xml:space="preserve">Sample B2. Sample B2 shows a consistent decline in the % finer results, indicating a more homogenous composition in terms of particle size compared to the more segmented nature of Sample A2. The findings could affect applications such as soil analysis, sediment transport studies, and material handling where particle size influences </w:t>
      </w:r>
      <w:proofErr w:type="spellStart"/>
      <w:r w:rsidRPr="00755203">
        <w:rPr>
          <w:rFonts w:ascii="Times New Roman" w:eastAsia="Times New Roman" w:hAnsi="Times New Roman" w:cs="Times New Roman"/>
          <w:kern w:val="2"/>
          <w:sz w:val="24"/>
          <w:szCs w:val="24"/>
          <w:lang w:val="en-GB" w:eastAsia="en-GB"/>
          <w14:ligatures w14:val="standardContextual"/>
        </w:rPr>
        <w:t>behavior</w:t>
      </w:r>
      <w:proofErr w:type="spellEnd"/>
      <w:r w:rsidRPr="00755203">
        <w:rPr>
          <w:rFonts w:ascii="Times New Roman" w:eastAsia="Times New Roman" w:hAnsi="Times New Roman" w:cs="Times New Roman"/>
          <w:kern w:val="2"/>
          <w:sz w:val="24"/>
          <w:szCs w:val="24"/>
          <w:lang w:val="en-GB" w:eastAsia="en-GB"/>
          <w14:ligatures w14:val="standardContextual"/>
        </w:rPr>
        <w:t xml:space="preserve"> (Das and </w:t>
      </w:r>
      <w:proofErr w:type="spellStart"/>
      <w:r w:rsidRPr="00755203">
        <w:rPr>
          <w:rFonts w:ascii="Times New Roman" w:eastAsia="Times New Roman" w:hAnsi="Times New Roman" w:cs="Times New Roman"/>
          <w:kern w:val="2"/>
          <w:sz w:val="24"/>
          <w:szCs w:val="24"/>
          <w:lang w:val="en-GB" w:eastAsia="en-GB"/>
          <w14:ligatures w14:val="standardContextual"/>
        </w:rPr>
        <w:t>Sobhan</w:t>
      </w:r>
      <w:proofErr w:type="spellEnd"/>
      <w:r w:rsidRPr="00755203">
        <w:rPr>
          <w:rFonts w:ascii="Times New Roman" w:eastAsia="Times New Roman" w:hAnsi="Times New Roman" w:cs="Times New Roman"/>
          <w:kern w:val="2"/>
          <w:sz w:val="24"/>
          <w:szCs w:val="24"/>
          <w:lang w:val="en-GB" w:eastAsia="en-GB"/>
          <w14:ligatures w14:val="standardContextual"/>
        </w:rPr>
        <w:t xml:space="preserve"> 2017).</w:t>
      </w:r>
    </w:p>
    <w:p w:rsidR="00755203" w:rsidRPr="00755203" w:rsidRDefault="00755203" w:rsidP="00755203">
      <w:pPr>
        <w:spacing w:after="160" w:line="278" w:lineRule="auto"/>
        <w:jc w:val="both"/>
        <w:rPr>
          <w:rFonts w:ascii="Times New Roman" w:eastAsia="Times New Roman" w:hAnsi="Times New Roman" w:cs="Times New Roman"/>
          <w:kern w:val="2"/>
          <w:sz w:val="24"/>
          <w:szCs w:val="24"/>
          <w:lang w:val="en-GB" w:eastAsia="en-GB"/>
          <w14:ligatures w14:val="standardContextual"/>
        </w:rPr>
      </w:pP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 xml:space="preserve">Table 4.7: Summary of Results of Grain Size Analysis of Soils in </w:t>
      </w:r>
      <w:proofErr w:type="gramStart"/>
      <w:r w:rsidRPr="00755203">
        <w:rPr>
          <w:rFonts w:ascii="Times New Roman" w:eastAsia="Times New Roman" w:hAnsi="Times New Roman" w:cs="Times New Roman"/>
          <w:kern w:val="2"/>
          <w:sz w:val="24"/>
          <w:szCs w:val="24"/>
          <w:lang w:val="en-GB" w:eastAsia="en-GB"/>
          <w14:ligatures w14:val="standardContextual"/>
        </w:rPr>
        <w:t>The</w:t>
      </w:r>
      <w:proofErr w:type="gramEnd"/>
      <w:r w:rsidRPr="00755203">
        <w:rPr>
          <w:rFonts w:ascii="Times New Roman" w:eastAsia="Times New Roman" w:hAnsi="Times New Roman" w:cs="Times New Roman"/>
          <w:kern w:val="2"/>
          <w:sz w:val="24"/>
          <w:szCs w:val="24"/>
          <w:lang w:val="en-GB" w:eastAsia="en-GB"/>
          <w14:ligatures w14:val="standardContextual"/>
        </w:rPr>
        <w:t xml:space="preserve"> Study Area</w:t>
      </w:r>
    </w:p>
    <w:tbl>
      <w:tblPr>
        <w:tblStyle w:val="TableGrid"/>
        <w:tblW w:w="0" w:type="auto"/>
        <w:tblLook w:val="04A0" w:firstRow="1" w:lastRow="0" w:firstColumn="1" w:lastColumn="0" w:noHBand="0" w:noVBand="1"/>
      </w:tblPr>
      <w:tblGrid>
        <w:gridCol w:w="1530"/>
        <w:gridCol w:w="1337"/>
        <w:gridCol w:w="1273"/>
        <w:gridCol w:w="1080"/>
        <w:gridCol w:w="1350"/>
        <w:gridCol w:w="2160"/>
      </w:tblGrid>
      <w:tr w:rsidR="00755203" w:rsidRPr="00755203" w:rsidTr="003A11D3">
        <w:tc>
          <w:tcPr>
            <w:tcW w:w="153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Sample Name</w:t>
            </w:r>
          </w:p>
        </w:tc>
        <w:tc>
          <w:tcPr>
            <w:tcW w:w="1337"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Gravel (%)</w:t>
            </w:r>
          </w:p>
        </w:tc>
        <w:tc>
          <w:tcPr>
            <w:tcW w:w="1273"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Sand (%)</w:t>
            </w:r>
            <w:r w:rsidRPr="00755203">
              <w:rPr>
                <w:rFonts w:ascii="Times New Roman" w:hAnsi="Times New Roman" w:cs="Times New Roman"/>
              </w:rPr>
              <w:tab/>
            </w:r>
          </w:p>
        </w:tc>
        <w:tc>
          <w:tcPr>
            <w:tcW w:w="108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Silt (%)</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Clay (%)</w:t>
            </w:r>
          </w:p>
        </w:tc>
        <w:tc>
          <w:tcPr>
            <w:tcW w:w="216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Soil Classification</w:t>
            </w:r>
          </w:p>
        </w:tc>
      </w:tr>
      <w:tr w:rsidR="00755203" w:rsidRPr="00755203" w:rsidTr="003A11D3">
        <w:tc>
          <w:tcPr>
            <w:tcW w:w="153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A2</w:t>
            </w:r>
          </w:p>
        </w:tc>
        <w:tc>
          <w:tcPr>
            <w:tcW w:w="1337"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w:t>
            </w:r>
          </w:p>
        </w:tc>
        <w:tc>
          <w:tcPr>
            <w:tcW w:w="1273"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13</w:t>
            </w:r>
          </w:p>
        </w:tc>
        <w:tc>
          <w:tcPr>
            <w:tcW w:w="108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26</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60</w:t>
            </w:r>
          </w:p>
        </w:tc>
        <w:tc>
          <w:tcPr>
            <w:tcW w:w="2160" w:type="dxa"/>
          </w:tcPr>
          <w:p w:rsidR="00755203" w:rsidRPr="00755203" w:rsidRDefault="00755203" w:rsidP="00755203">
            <w:pPr>
              <w:rPr>
                <w:rFonts w:ascii="Times New Roman" w:hAnsi="Times New Roman" w:cs="Times New Roman"/>
              </w:rPr>
            </w:pPr>
            <w:proofErr w:type="spellStart"/>
            <w:r w:rsidRPr="00755203">
              <w:rPr>
                <w:rFonts w:ascii="Times New Roman" w:hAnsi="Times New Roman" w:cs="Times New Roman"/>
              </w:rPr>
              <w:t>Silty</w:t>
            </w:r>
            <w:proofErr w:type="spellEnd"/>
            <w:r w:rsidRPr="00755203">
              <w:rPr>
                <w:rFonts w:ascii="Times New Roman" w:hAnsi="Times New Roman" w:cs="Times New Roman"/>
              </w:rPr>
              <w:t xml:space="preserve"> clay </w:t>
            </w:r>
          </w:p>
        </w:tc>
      </w:tr>
      <w:tr w:rsidR="00755203" w:rsidRPr="00755203" w:rsidTr="003A11D3">
        <w:tc>
          <w:tcPr>
            <w:tcW w:w="153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B2</w:t>
            </w:r>
          </w:p>
        </w:tc>
        <w:tc>
          <w:tcPr>
            <w:tcW w:w="1337"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w:t>
            </w:r>
          </w:p>
        </w:tc>
        <w:tc>
          <w:tcPr>
            <w:tcW w:w="1273"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24</w:t>
            </w:r>
          </w:p>
        </w:tc>
        <w:tc>
          <w:tcPr>
            <w:tcW w:w="108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20</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53</w:t>
            </w:r>
          </w:p>
        </w:tc>
        <w:tc>
          <w:tcPr>
            <w:tcW w:w="216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Sandy clay</w:t>
            </w:r>
          </w:p>
        </w:tc>
      </w:tr>
    </w:tbl>
    <w:p w:rsidR="00755203" w:rsidRPr="00755203" w:rsidRDefault="00755203" w:rsidP="00755203">
      <w:pPr>
        <w:spacing w:after="160" w:line="278" w:lineRule="auto"/>
        <w:rPr>
          <w:rFonts w:ascii="Times New Roman" w:eastAsia="Times New Roman" w:hAnsi="Times New Roman" w:cs="Times New Roman"/>
          <w:b/>
          <w:kern w:val="2"/>
          <w:sz w:val="24"/>
          <w:szCs w:val="24"/>
          <w:lang w:val="en-GB" w:eastAsia="en-GB"/>
          <w14:ligatures w14:val="standardContextual"/>
        </w:rPr>
      </w:pPr>
    </w:p>
    <w:p w:rsidR="00755203" w:rsidRPr="00755203" w:rsidRDefault="00755203" w:rsidP="00755203">
      <w:pPr>
        <w:spacing w:after="160" w:line="360"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eastAsia="en-GB"/>
          <w14:ligatures w14:val="standardContextual"/>
        </w:rPr>
        <w:t xml:space="preserve">Table 4.7 shows the results of the grain size analysis test of the studied clay samples. The result  revealed that fine-grained soils are in abundance (i.e. silt &amp; clay), the percentage of clay varied between 53% and 60%, percentage of silt varied between 20% &amp; 26%, and the percentage of sand varied between 13% and 24%. </w:t>
      </w:r>
      <w:proofErr w:type="gramStart"/>
      <w:r w:rsidRPr="00755203">
        <w:rPr>
          <w:rFonts w:ascii="Times New Roman" w:eastAsia="Times New Roman" w:hAnsi="Times New Roman" w:cs="Times New Roman"/>
          <w:kern w:val="2"/>
          <w:sz w:val="24"/>
          <w:szCs w:val="24"/>
          <w:lang w:eastAsia="en-GB"/>
          <w14:ligatures w14:val="standardContextual"/>
        </w:rPr>
        <w:t>While the percentage of gravel is in order of 1% to 3%.</w:t>
      </w:r>
      <w:proofErr w:type="gramEnd"/>
      <w:r w:rsidRPr="00755203">
        <w:rPr>
          <w:rFonts w:ascii="Times New Roman" w:eastAsia="Times New Roman" w:hAnsi="Times New Roman" w:cs="Times New Roman"/>
          <w:kern w:val="2"/>
          <w:sz w:val="24"/>
          <w:szCs w:val="24"/>
          <w:lang w:eastAsia="en-GB"/>
          <w14:ligatures w14:val="standardContextual"/>
        </w:rPr>
        <w:t xml:space="preserve">  Figures 4.1&amp; 4.2 showed the grain size distribution curves of the investigated clay samples.  However, particle size is one of the most important geotechnical characteristics used to select clay for industrial purposes such as ceramic, tiles and crucible </w:t>
      </w:r>
      <w:r w:rsidRPr="00755203">
        <w:rPr>
          <w:rFonts w:ascii="Times New Roman" w:eastAsia="Times New Roman" w:hAnsi="Times New Roman" w:cs="Times New Roman"/>
          <w:b/>
          <w:kern w:val="2"/>
          <w:sz w:val="24"/>
          <w:szCs w:val="24"/>
          <w:lang w:eastAsia="en-GB"/>
          <w14:ligatures w14:val="standardContextual"/>
        </w:rPr>
        <w:t>(</w:t>
      </w:r>
      <w:proofErr w:type="spellStart"/>
      <w:r w:rsidRPr="00755203">
        <w:rPr>
          <w:rFonts w:ascii="Times New Roman" w:eastAsia="Times New Roman" w:hAnsi="Times New Roman" w:cs="Times New Roman"/>
          <w:b/>
          <w:kern w:val="2"/>
          <w:sz w:val="24"/>
          <w:szCs w:val="24"/>
          <w:lang w:eastAsia="en-GB"/>
          <w14:ligatures w14:val="standardContextual"/>
        </w:rPr>
        <w:t>Ndengwe</w:t>
      </w:r>
      <w:proofErr w:type="spellEnd"/>
      <w:r w:rsidRPr="00755203">
        <w:rPr>
          <w:rFonts w:ascii="Times New Roman" w:eastAsia="Times New Roman" w:hAnsi="Times New Roman" w:cs="Times New Roman"/>
          <w:b/>
          <w:kern w:val="2"/>
          <w:sz w:val="24"/>
          <w:szCs w:val="24"/>
          <w:lang w:eastAsia="en-GB"/>
          <w14:ligatures w14:val="standardContextual"/>
        </w:rPr>
        <w:t xml:space="preserve"> </w:t>
      </w:r>
      <w:r w:rsidRPr="00755203">
        <w:rPr>
          <w:rFonts w:ascii="Times New Roman" w:eastAsia="Times New Roman" w:hAnsi="Times New Roman" w:cs="Times New Roman"/>
          <w:b/>
          <w:i/>
          <w:kern w:val="2"/>
          <w:sz w:val="24"/>
          <w:szCs w:val="24"/>
          <w:lang w:eastAsia="en-GB"/>
          <w14:ligatures w14:val="standardContextual"/>
        </w:rPr>
        <w:t>et al</w:t>
      </w:r>
      <w:r w:rsidRPr="00755203">
        <w:rPr>
          <w:rFonts w:ascii="Times New Roman" w:eastAsia="Times New Roman" w:hAnsi="Times New Roman" w:cs="Times New Roman"/>
          <w:b/>
          <w:kern w:val="2"/>
          <w:sz w:val="24"/>
          <w:szCs w:val="24"/>
          <w:lang w:eastAsia="en-GB"/>
          <w14:ligatures w14:val="standardContextual"/>
        </w:rPr>
        <w:t>, 2022).</w:t>
      </w:r>
      <w:r w:rsidRPr="00755203">
        <w:rPr>
          <w:rFonts w:ascii="Times New Roman" w:eastAsia="Times New Roman" w:hAnsi="Times New Roman" w:cs="Times New Roman"/>
          <w:kern w:val="2"/>
          <w:sz w:val="24"/>
          <w:szCs w:val="24"/>
          <w:lang w:eastAsia="en-GB"/>
          <w14:ligatures w14:val="standardContextual"/>
        </w:rPr>
        <w:t xml:space="preserve"> The studied clays contain little amount of coarse-grained soils (gravel and sand), moderately amount of </w:t>
      </w:r>
      <w:proofErr w:type="spellStart"/>
      <w:r w:rsidRPr="00755203">
        <w:rPr>
          <w:rFonts w:ascii="Times New Roman" w:eastAsia="Times New Roman" w:hAnsi="Times New Roman" w:cs="Times New Roman"/>
          <w:kern w:val="2"/>
          <w:sz w:val="24"/>
          <w:szCs w:val="24"/>
          <w:lang w:eastAsia="en-GB"/>
          <w14:ligatures w14:val="standardContextual"/>
        </w:rPr>
        <w:t>silty</w:t>
      </w:r>
      <w:proofErr w:type="spellEnd"/>
      <w:r w:rsidRPr="00755203">
        <w:rPr>
          <w:rFonts w:ascii="Times New Roman" w:eastAsia="Times New Roman" w:hAnsi="Times New Roman" w:cs="Times New Roman"/>
          <w:kern w:val="2"/>
          <w:sz w:val="24"/>
          <w:szCs w:val="24"/>
          <w:lang w:eastAsia="en-GB"/>
          <w14:ligatures w14:val="standardContextual"/>
        </w:rPr>
        <w:t xml:space="preserve"> and high percentage of clay contents, which make them suitable in their raw forms as fillers and coating materials in paint industries</w:t>
      </w:r>
      <w:r w:rsidRPr="00755203">
        <w:rPr>
          <w:rFonts w:ascii="Times New Roman" w:eastAsia="Times New Roman" w:hAnsi="Times New Roman" w:cs="Times New Roman"/>
          <w:b/>
          <w:kern w:val="2"/>
          <w:sz w:val="24"/>
          <w:szCs w:val="24"/>
          <w:lang w:eastAsia="en-GB"/>
          <w14:ligatures w14:val="standardContextual"/>
        </w:rPr>
        <w:t xml:space="preserve"> (</w:t>
      </w:r>
      <w:proofErr w:type="spellStart"/>
      <w:r w:rsidRPr="00755203">
        <w:rPr>
          <w:rFonts w:ascii="Times New Roman" w:eastAsia="Times New Roman" w:hAnsi="Times New Roman" w:cs="Times New Roman"/>
          <w:b/>
          <w:kern w:val="2"/>
          <w:sz w:val="24"/>
          <w:szCs w:val="24"/>
          <w:lang w:eastAsia="en-GB"/>
          <w14:ligatures w14:val="standardContextual"/>
        </w:rPr>
        <w:t>Adedeji</w:t>
      </w:r>
      <w:proofErr w:type="spellEnd"/>
      <w:r w:rsidRPr="00755203">
        <w:rPr>
          <w:rFonts w:ascii="Times New Roman" w:eastAsia="Times New Roman" w:hAnsi="Times New Roman" w:cs="Times New Roman"/>
          <w:b/>
          <w:kern w:val="2"/>
          <w:sz w:val="24"/>
          <w:szCs w:val="24"/>
          <w:lang w:eastAsia="en-GB"/>
          <w14:ligatures w14:val="standardContextual"/>
        </w:rPr>
        <w:t xml:space="preserve"> </w:t>
      </w:r>
      <w:r w:rsidRPr="00755203">
        <w:rPr>
          <w:rFonts w:ascii="Times New Roman" w:eastAsia="Times New Roman" w:hAnsi="Times New Roman" w:cs="Times New Roman"/>
          <w:b/>
          <w:i/>
          <w:kern w:val="2"/>
          <w:sz w:val="24"/>
          <w:szCs w:val="24"/>
          <w:lang w:eastAsia="en-GB"/>
          <w14:ligatures w14:val="standardContextual"/>
        </w:rPr>
        <w:t>et al,</w:t>
      </w:r>
      <w:r w:rsidRPr="00755203">
        <w:rPr>
          <w:rFonts w:ascii="Times New Roman" w:eastAsia="Times New Roman" w:hAnsi="Times New Roman" w:cs="Times New Roman"/>
          <w:b/>
          <w:kern w:val="2"/>
          <w:sz w:val="24"/>
          <w:szCs w:val="24"/>
          <w:lang w:eastAsia="en-GB"/>
          <w14:ligatures w14:val="standardContextual"/>
        </w:rPr>
        <w:t xml:space="preserve"> 2025).</w:t>
      </w:r>
      <w:r w:rsidRPr="00755203">
        <w:rPr>
          <w:rFonts w:ascii="Times New Roman" w:eastAsia="Times New Roman" w:hAnsi="Times New Roman" w:cs="Times New Roman"/>
          <w:kern w:val="2"/>
          <w:sz w:val="24"/>
          <w:szCs w:val="24"/>
          <w:lang w:eastAsia="en-GB"/>
          <w14:ligatures w14:val="standardContextual"/>
        </w:rPr>
        <w:t xml:space="preserve">  </w:t>
      </w:r>
    </w:p>
    <w:p w:rsidR="00755203" w:rsidRPr="00755203" w:rsidRDefault="00755203" w:rsidP="00755203">
      <w:pPr>
        <w:spacing w:after="160" w:line="278" w:lineRule="auto"/>
        <w:rPr>
          <w:rFonts w:ascii="Times New Roman" w:eastAsia="Times New Roman" w:hAnsi="Times New Roman" w:cs="Times New Roman"/>
          <w:b/>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 xml:space="preserve">4.4 </w:t>
      </w:r>
      <w:r w:rsidRPr="00755203">
        <w:rPr>
          <w:rFonts w:ascii="Times New Roman" w:eastAsia="Times New Roman" w:hAnsi="Times New Roman" w:cs="Times New Roman"/>
          <w:b/>
          <w:kern w:val="2"/>
          <w:sz w:val="24"/>
          <w:szCs w:val="24"/>
          <w:lang w:val="en-GB" w:eastAsia="en-GB"/>
          <w14:ligatures w14:val="standardContextual"/>
        </w:rPr>
        <w:tab/>
      </w:r>
      <w:proofErr w:type="spellStart"/>
      <w:r w:rsidRPr="00755203">
        <w:rPr>
          <w:rFonts w:ascii="Times New Roman" w:eastAsia="Times New Roman" w:hAnsi="Times New Roman" w:cs="Times New Roman"/>
          <w:b/>
          <w:kern w:val="2"/>
          <w:sz w:val="24"/>
          <w:szCs w:val="24"/>
          <w:lang w:val="en-GB" w:eastAsia="en-GB"/>
          <w14:ligatures w14:val="standardContextual"/>
        </w:rPr>
        <w:t>Atterberg</w:t>
      </w:r>
      <w:proofErr w:type="spellEnd"/>
      <w:r w:rsidRPr="00755203">
        <w:rPr>
          <w:rFonts w:ascii="Times New Roman" w:eastAsia="Times New Roman" w:hAnsi="Times New Roman" w:cs="Times New Roman"/>
          <w:b/>
          <w:kern w:val="2"/>
          <w:sz w:val="24"/>
          <w:szCs w:val="24"/>
          <w:lang w:val="en-GB" w:eastAsia="en-GB"/>
          <w14:ligatures w14:val="standardContextual"/>
        </w:rPr>
        <w:t xml:space="preserve"> Limits </w:t>
      </w:r>
    </w:p>
    <w:p w:rsidR="00755203" w:rsidRPr="00755203" w:rsidRDefault="00755203" w:rsidP="00755203">
      <w:pPr>
        <w:spacing w:after="160" w:line="278" w:lineRule="auto"/>
        <w:rPr>
          <w:rFonts w:ascii="Times New Roman" w:eastAsia="Times New Roman" w:hAnsi="Times New Roman" w:cs="Times New Roman"/>
          <w:b/>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4.4.1</w:t>
      </w:r>
      <w:r w:rsidRPr="00755203">
        <w:rPr>
          <w:rFonts w:ascii="Times New Roman" w:eastAsia="Times New Roman" w:hAnsi="Times New Roman" w:cs="Times New Roman"/>
          <w:b/>
          <w:kern w:val="2"/>
          <w:sz w:val="24"/>
          <w:szCs w:val="24"/>
          <w:lang w:val="en-GB" w:eastAsia="en-GB"/>
          <w14:ligatures w14:val="standardContextual"/>
        </w:rPr>
        <w:tab/>
        <w:t xml:space="preserve"> Liquid Limit Determination of Sample A2 </w:t>
      </w:r>
      <w:proofErr w:type="gramStart"/>
      <w:r w:rsidRPr="00755203">
        <w:rPr>
          <w:rFonts w:ascii="Times New Roman" w:eastAsia="Times New Roman" w:hAnsi="Times New Roman" w:cs="Times New Roman"/>
          <w:b/>
          <w:kern w:val="2"/>
          <w:sz w:val="24"/>
          <w:szCs w:val="24"/>
          <w:lang w:val="en-GB" w:eastAsia="en-GB"/>
          <w14:ligatures w14:val="standardContextual"/>
        </w:rPr>
        <w:t>And</w:t>
      </w:r>
      <w:proofErr w:type="gramEnd"/>
      <w:r w:rsidRPr="00755203">
        <w:rPr>
          <w:rFonts w:ascii="Times New Roman" w:eastAsia="Times New Roman" w:hAnsi="Times New Roman" w:cs="Times New Roman"/>
          <w:b/>
          <w:kern w:val="2"/>
          <w:sz w:val="24"/>
          <w:szCs w:val="24"/>
          <w:lang w:val="en-GB" w:eastAsia="en-GB"/>
          <w14:ligatures w14:val="standardContextual"/>
        </w:rPr>
        <w:t xml:space="preserve"> B2 </w:t>
      </w: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 xml:space="preserve">Table 4.8: The Liquid Limit Result for Sample A2 </w:t>
      </w:r>
    </w:p>
    <w:tbl>
      <w:tblPr>
        <w:tblStyle w:val="TableGrid"/>
        <w:tblW w:w="0" w:type="auto"/>
        <w:tblLook w:val="04A0" w:firstRow="1" w:lastRow="0" w:firstColumn="1" w:lastColumn="0" w:noHBand="0" w:noVBand="1"/>
      </w:tblPr>
      <w:tblGrid>
        <w:gridCol w:w="2718"/>
        <w:gridCol w:w="1440"/>
        <w:gridCol w:w="1080"/>
        <w:gridCol w:w="1170"/>
        <w:gridCol w:w="1170"/>
      </w:tblGrid>
      <w:tr w:rsidR="00755203" w:rsidRPr="00755203" w:rsidTr="003A11D3">
        <w:tc>
          <w:tcPr>
            <w:tcW w:w="271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Can No.</w:t>
            </w:r>
          </w:p>
        </w:tc>
        <w:tc>
          <w:tcPr>
            <w:tcW w:w="144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A</w:t>
            </w:r>
          </w:p>
        </w:tc>
        <w:tc>
          <w:tcPr>
            <w:tcW w:w="108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B</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C</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D</w:t>
            </w:r>
          </w:p>
        </w:tc>
      </w:tr>
      <w:tr w:rsidR="00755203" w:rsidRPr="00755203" w:rsidTr="003A11D3">
        <w:tc>
          <w:tcPr>
            <w:tcW w:w="271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wet soil + can (g)</w:t>
            </w:r>
          </w:p>
        </w:tc>
        <w:tc>
          <w:tcPr>
            <w:tcW w:w="144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32.82</w:t>
            </w:r>
          </w:p>
        </w:tc>
        <w:tc>
          <w:tcPr>
            <w:tcW w:w="108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31.43</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28.39</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33.10</w:t>
            </w:r>
          </w:p>
        </w:tc>
      </w:tr>
      <w:tr w:rsidR="00755203" w:rsidRPr="00755203" w:rsidTr="003A11D3">
        <w:tc>
          <w:tcPr>
            <w:tcW w:w="271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dry soil + can (g)</w:t>
            </w:r>
          </w:p>
        </w:tc>
        <w:tc>
          <w:tcPr>
            <w:tcW w:w="144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29.58</w:t>
            </w:r>
          </w:p>
        </w:tc>
        <w:tc>
          <w:tcPr>
            <w:tcW w:w="108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28.90</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26.32</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29.95</w:t>
            </w:r>
          </w:p>
        </w:tc>
      </w:tr>
      <w:tr w:rsidR="00755203" w:rsidRPr="00755203" w:rsidTr="003A11D3">
        <w:tc>
          <w:tcPr>
            <w:tcW w:w="271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can (g)</w:t>
            </w:r>
          </w:p>
        </w:tc>
        <w:tc>
          <w:tcPr>
            <w:tcW w:w="144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21.83</w:t>
            </w:r>
          </w:p>
        </w:tc>
        <w:tc>
          <w:tcPr>
            <w:tcW w:w="108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23.11</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21.74</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23.25</w:t>
            </w:r>
          </w:p>
        </w:tc>
      </w:tr>
      <w:tr w:rsidR="00755203" w:rsidRPr="00755203" w:rsidTr="003A11D3">
        <w:tc>
          <w:tcPr>
            <w:tcW w:w="271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dry soil (g)</w:t>
            </w:r>
          </w:p>
        </w:tc>
        <w:tc>
          <w:tcPr>
            <w:tcW w:w="144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7.75</w:t>
            </w:r>
          </w:p>
        </w:tc>
        <w:tc>
          <w:tcPr>
            <w:tcW w:w="108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5.79</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4.58</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6.70</w:t>
            </w:r>
          </w:p>
        </w:tc>
      </w:tr>
      <w:tr w:rsidR="00755203" w:rsidRPr="00755203" w:rsidTr="003A11D3">
        <w:tc>
          <w:tcPr>
            <w:tcW w:w="271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moisture (g)</w:t>
            </w:r>
          </w:p>
        </w:tc>
        <w:tc>
          <w:tcPr>
            <w:tcW w:w="144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3.24</w:t>
            </w:r>
          </w:p>
        </w:tc>
        <w:tc>
          <w:tcPr>
            <w:tcW w:w="108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2.53</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2.07</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3.15</w:t>
            </w:r>
          </w:p>
        </w:tc>
      </w:tr>
      <w:tr w:rsidR="00755203" w:rsidRPr="00755203" w:rsidTr="003A11D3">
        <w:tc>
          <w:tcPr>
            <w:tcW w:w="271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Water content, w%</w:t>
            </w:r>
          </w:p>
        </w:tc>
        <w:tc>
          <w:tcPr>
            <w:tcW w:w="144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41.8</w:t>
            </w:r>
          </w:p>
        </w:tc>
        <w:tc>
          <w:tcPr>
            <w:tcW w:w="108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43.7</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45.2</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47.0</w:t>
            </w:r>
          </w:p>
        </w:tc>
      </w:tr>
      <w:tr w:rsidR="00755203" w:rsidRPr="00755203" w:rsidTr="003A11D3">
        <w:tc>
          <w:tcPr>
            <w:tcW w:w="271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No of blows, N</w:t>
            </w:r>
          </w:p>
        </w:tc>
        <w:tc>
          <w:tcPr>
            <w:tcW w:w="144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52</w:t>
            </w:r>
          </w:p>
        </w:tc>
        <w:tc>
          <w:tcPr>
            <w:tcW w:w="108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39</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28</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14</w:t>
            </w:r>
          </w:p>
        </w:tc>
      </w:tr>
    </w:tbl>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noProof/>
          <w:kern w:val="2"/>
          <w:sz w:val="24"/>
          <w:szCs w:val="24"/>
          <w14:ligatures w14:val="standardContextual"/>
        </w:rPr>
        <w:lastRenderedPageBreak/>
        <w:drawing>
          <wp:anchor distT="0" distB="0" distL="114300" distR="114300" simplePos="0" relativeHeight="251659264" behindDoc="0" locked="0" layoutInCell="1" allowOverlap="1" wp14:anchorId="46A74750" wp14:editId="1A67B1F0">
            <wp:simplePos x="0" y="0"/>
            <wp:positionH relativeFrom="column">
              <wp:posOffset>30480</wp:posOffset>
            </wp:positionH>
            <wp:positionV relativeFrom="paragraph">
              <wp:posOffset>322580</wp:posOffset>
            </wp:positionV>
            <wp:extent cx="3188335" cy="1718310"/>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45736" name=""/>
                    <pic:cNvPicPr/>
                  </pic:nvPicPr>
                  <pic:blipFill>
                    <a:blip r:embed="rId7"/>
                    <a:stretch>
                      <a:fillRect/>
                    </a:stretch>
                  </pic:blipFill>
                  <pic:spPr>
                    <a:xfrm>
                      <a:off x="0" y="0"/>
                      <a:ext cx="3188335" cy="1718310"/>
                    </a:xfrm>
                    <a:prstGeom prst="rect">
                      <a:avLst/>
                    </a:prstGeom>
                  </pic:spPr>
                </pic:pic>
              </a:graphicData>
            </a:graphic>
            <wp14:sizeRelH relativeFrom="margin">
              <wp14:pctWidth>0</wp14:pctWidth>
            </wp14:sizeRelH>
            <wp14:sizeRelV relativeFrom="margin">
              <wp14:pctHeight>0</wp14:pctHeight>
            </wp14:sizeRelV>
          </wp:anchor>
        </w:drawing>
      </w:r>
      <w:r w:rsidRPr="00755203">
        <w:rPr>
          <w:rFonts w:ascii="Times New Roman" w:eastAsia="Times New Roman" w:hAnsi="Times New Roman" w:cs="Times New Roman"/>
          <w:kern w:val="2"/>
          <w:sz w:val="24"/>
          <w:szCs w:val="24"/>
          <w:lang w:val="en-GB" w:eastAsia="en-GB"/>
          <w14:ligatures w14:val="standardContextual"/>
        </w:rPr>
        <w:t xml:space="preserve">                                               LL = 49.5%</w:t>
      </w: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 xml:space="preserve">Figure: 4.3 </w:t>
      </w:r>
      <w:proofErr w:type="gramStart"/>
      <w:r w:rsidRPr="00755203">
        <w:rPr>
          <w:rFonts w:ascii="Times New Roman" w:eastAsia="Times New Roman" w:hAnsi="Times New Roman" w:cs="Times New Roman"/>
          <w:kern w:val="2"/>
          <w:sz w:val="24"/>
          <w:szCs w:val="24"/>
          <w:lang w:val="en-GB" w:eastAsia="en-GB"/>
          <w14:ligatures w14:val="standardContextual"/>
        </w:rPr>
        <w:t>The</w:t>
      </w:r>
      <w:proofErr w:type="gramEnd"/>
      <w:r w:rsidRPr="00755203">
        <w:rPr>
          <w:rFonts w:ascii="Times New Roman" w:eastAsia="Times New Roman" w:hAnsi="Times New Roman" w:cs="Times New Roman"/>
          <w:kern w:val="2"/>
          <w:sz w:val="24"/>
          <w:szCs w:val="24"/>
          <w:lang w:val="en-GB" w:eastAsia="en-GB"/>
          <w14:ligatures w14:val="standardContextual"/>
        </w:rPr>
        <w:t xml:space="preserve"> liquid limit of sample A2 </w:t>
      </w: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Table 4.9</w:t>
      </w:r>
      <w:r w:rsidRPr="00755203">
        <w:rPr>
          <w:rFonts w:ascii="Times New Roman" w:eastAsia="Times New Roman" w:hAnsi="Times New Roman" w:cs="Times New Roman"/>
          <w:kern w:val="2"/>
          <w:sz w:val="24"/>
          <w:szCs w:val="24"/>
          <w:lang w:val="en-GB" w:eastAsia="en-GB"/>
          <w14:ligatures w14:val="standardContextual"/>
        </w:rPr>
        <w:t xml:space="preserve">: The Liquid Limit Result </w:t>
      </w:r>
      <w:proofErr w:type="gramStart"/>
      <w:r w:rsidRPr="00755203">
        <w:rPr>
          <w:rFonts w:ascii="Times New Roman" w:eastAsia="Times New Roman" w:hAnsi="Times New Roman" w:cs="Times New Roman"/>
          <w:kern w:val="2"/>
          <w:sz w:val="24"/>
          <w:szCs w:val="24"/>
          <w:lang w:val="en-GB" w:eastAsia="en-GB"/>
          <w14:ligatures w14:val="standardContextual"/>
        </w:rPr>
        <w:t>For</w:t>
      </w:r>
      <w:proofErr w:type="gramEnd"/>
      <w:r w:rsidRPr="00755203">
        <w:rPr>
          <w:rFonts w:ascii="Times New Roman" w:eastAsia="Times New Roman" w:hAnsi="Times New Roman" w:cs="Times New Roman"/>
          <w:kern w:val="2"/>
          <w:sz w:val="24"/>
          <w:szCs w:val="24"/>
          <w:lang w:val="en-GB" w:eastAsia="en-GB"/>
          <w14:ligatures w14:val="standardContextual"/>
        </w:rPr>
        <w:t xml:space="preserve"> Sample B2 </w:t>
      </w:r>
    </w:p>
    <w:tbl>
      <w:tblPr>
        <w:tblStyle w:val="TableGrid"/>
        <w:tblW w:w="0" w:type="auto"/>
        <w:tblLook w:val="04A0" w:firstRow="1" w:lastRow="0" w:firstColumn="1" w:lastColumn="0" w:noHBand="0" w:noVBand="1"/>
      </w:tblPr>
      <w:tblGrid>
        <w:gridCol w:w="2988"/>
        <w:gridCol w:w="1350"/>
        <w:gridCol w:w="1350"/>
        <w:gridCol w:w="1260"/>
        <w:gridCol w:w="1170"/>
      </w:tblGrid>
      <w:tr w:rsidR="00755203" w:rsidRPr="00755203" w:rsidTr="003A11D3">
        <w:tc>
          <w:tcPr>
            <w:tcW w:w="298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Can No.</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A</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B</w:t>
            </w:r>
          </w:p>
        </w:tc>
        <w:tc>
          <w:tcPr>
            <w:tcW w:w="126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C</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D</w:t>
            </w:r>
          </w:p>
        </w:tc>
      </w:tr>
      <w:tr w:rsidR="00755203" w:rsidRPr="00755203" w:rsidTr="003A11D3">
        <w:tc>
          <w:tcPr>
            <w:tcW w:w="298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wet soil + can (g)</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32.82</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31.43</w:t>
            </w:r>
          </w:p>
        </w:tc>
        <w:tc>
          <w:tcPr>
            <w:tcW w:w="126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28.39</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33.10</w:t>
            </w:r>
          </w:p>
        </w:tc>
      </w:tr>
      <w:tr w:rsidR="00755203" w:rsidRPr="00755203" w:rsidTr="003A11D3">
        <w:trPr>
          <w:trHeight w:val="377"/>
        </w:trPr>
        <w:tc>
          <w:tcPr>
            <w:tcW w:w="298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dry soil + can (g)</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29.58</w:t>
            </w:r>
            <w:r w:rsidRPr="00755203">
              <w:rPr>
                <w:rFonts w:ascii="Times New Roman" w:hAnsi="Times New Roman" w:cs="Times New Roman"/>
              </w:rPr>
              <w:tab/>
            </w:r>
            <w:r w:rsidRPr="00755203">
              <w:rPr>
                <w:rFonts w:ascii="Times New Roman" w:hAnsi="Times New Roman" w:cs="Times New Roman"/>
              </w:rPr>
              <w:tab/>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28.90</w:t>
            </w:r>
          </w:p>
        </w:tc>
        <w:tc>
          <w:tcPr>
            <w:tcW w:w="126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26.32</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 xml:space="preserve">29.95 </w:t>
            </w:r>
          </w:p>
        </w:tc>
      </w:tr>
      <w:tr w:rsidR="00755203" w:rsidRPr="00755203" w:rsidTr="003A11D3">
        <w:tc>
          <w:tcPr>
            <w:tcW w:w="298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can (g)</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21.83</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23.11</w:t>
            </w:r>
          </w:p>
        </w:tc>
        <w:tc>
          <w:tcPr>
            <w:tcW w:w="126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21.74</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23.25</w:t>
            </w:r>
          </w:p>
        </w:tc>
      </w:tr>
      <w:tr w:rsidR="00755203" w:rsidRPr="00755203" w:rsidTr="003A11D3">
        <w:tc>
          <w:tcPr>
            <w:tcW w:w="298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dry soil (g)</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7.75</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5.79</w:t>
            </w:r>
          </w:p>
        </w:tc>
        <w:tc>
          <w:tcPr>
            <w:tcW w:w="126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4.58</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6.70</w:t>
            </w:r>
          </w:p>
        </w:tc>
      </w:tr>
      <w:tr w:rsidR="00755203" w:rsidRPr="00755203" w:rsidTr="003A11D3">
        <w:tc>
          <w:tcPr>
            <w:tcW w:w="298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moisture(g)</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3.24</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2.53</w:t>
            </w:r>
          </w:p>
        </w:tc>
        <w:tc>
          <w:tcPr>
            <w:tcW w:w="126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2.07</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3.15</w:t>
            </w:r>
          </w:p>
        </w:tc>
      </w:tr>
      <w:tr w:rsidR="00755203" w:rsidRPr="00755203" w:rsidTr="003A11D3">
        <w:tc>
          <w:tcPr>
            <w:tcW w:w="298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Water content, w%</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41.8</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43.7</w:t>
            </w:r>
          </w:p>
        </w:tc>
        <w:tc>
          <w:tcPr>
            <w:tcW w:w="126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45.2</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47.0</w:t>
            </w:r>
          </w:p>
        </w:tc>
      </w:tr>
      <w:tr w:rsidR="00755203" w:rsidRPr="00755203" w:rsidTr="003A11D3">
        <w:tc>
          <w:tcPr>
            <w:tcW w:w="2988"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No of blows, N</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52</w:t>
            </w:r>
          </w:p>
        </w:tc>
        <w:tc>
          <w:tcPr>
            <w:tcW w:w="135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39</w:t>
            </w:r>
          </w:p>
        </w:tc>
        <w:tc>
          <w:tcPr>
            <w:tcW w:w="126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28</w:t>
            </w:r>
          </w:p>
        </w:tc>
        <w:tc>
          <w:tcPr>
            <w:tcW w:w="1170"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14</w:t>
            </w:r>
          </w:p>
        </w:tc>
      </w:tr>
    </w:tbl>
    <w:p w:rsidR="00755203" w:rsidRPr="00755203" w:rsidRDefault="00755203" w:rsidP="00755203">
      <w:pPr>
        <w:spacing w:after="160" w:line="278" w:lineRule="auto"/>
        <w:ind w:left="3600"/>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 xml:space="preserve">  LL = 45.7%</w:t>
      </w:r>
    </w:p>
    <w:p w:rsidR="00755203" w:rsidRPr="00755203" w:rsidRDefault="00755203" w:rsidP="00755203">
      <w:pPr>
        <w:spacing w:after="160" w:line="278" w:lineRule="auto"/>
        <w:ind w:left="3600"/>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noProof/>
          <w:kern w:val="2"/>
          <w:sz w:val="24"/>
          <w:szCs w:val="24"/>
          <w14:ligatures w14:val="standardContextual"/>
        </w:rPr>
        <w:drawing>
          <wp:anchor distT="0" distB="0" distL="114300" distR="114300" simplePos="0" relativeHeight="251660288" behindDoc="0" locked="0" layoutInCell="1" allowOverlap="1" wp14:anchorId="172210EB" wp14:editId="10EFBADA">
            <wp:simplePos x="0" y="0"/>
            <wp:positionH relativeFrom="column">
              <wp:posOffset>0</wp:posOffset>
            </wp:positionH>
            <wp:positionV relativeFrom="paragraph">
              <wp:posOffset>314960</wp:posOffset>
            </wp:positionV>
            <wp:extent cx="4417695" cy="2627630"/>
            <wp:effectExtent l="0" t="0" r="1905" b="127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28870" name=""/>
                    <pic:cNvPicPr/>
                  </pic:nvPicPr>
                  <pic:blipFill>
                    <a:blip r:embed="rId8"/>
                    <a:stretch>
                      <a:fillRect/>
                    </a:stretch>
                  </pic:blipFill>
                  <pic:spPr>
                    <a:xfrm>
                      <a:off x="0" y="0"/>
                      <a:ext cx="4417695" cy="2627630"/>
                    </a:xfrm>
                    <a:prstGeom prst="rect">
                      <a:avLst/>
                    </a:prstGeom>
                  </pic:spPr>
                </pic:pic>
              </a:graphicData>
            </a:graphic>
            <wp14:sizeRelH relativeFrom="margin">
              <wp14:pctWidth>0</wp14:pctWidth>
            </wp14:sizeRelH>
            <wp14:sizeRelV relativeFrom="margin">
              <wp14:pctHeight>0</wp14:pctHeight>
            </wp14:sizeRelV>
          </wp:anchor>
        </w:drawing>
      </w: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 xml:space="preserve">Figure: 4.4 </w:t>
      </w:r>
      <w:proofErr w:type="gramStart"/>
      <w:r w:rsidRPr="00755203">
        <w:rPr>
          <w:rFonts w:ascii="Times New Roman" w:eastAsia="Times New Roman" w:hAnsi="Times New Roman" w:cs="Times New Roman"/>
          <w:kern w:val="2"/>
          <w:sz w:val="24"/>
          <w:szCs w:val="24"/>
          <w:lang w:val="en-GB" w:eastAsia="en-GB"/>
          <w14:ligatures w14:val="standardContextual"/>
        </w:rPr>
        <w:t>The</w:t>
      </w:r>
      <w:proofErr w:type="gramEnd"/>
      <w:r w:rsidRPr="00755203">
        <w:rPr>
          <w:rFonts w:ascii="Times New Roman" w:eastAsia="Times New Roman" w:hAnsi="Times New Roman" w:cs="Times New Roman"/>
          <w:kern w:val="2"/>
          <w:sz w:val="24"/>
          <w:szCs w:val="24"/>
          <w:lang w:val="en-GB" w:eastAsia="en-GB"/>
          <w14:ligatures w14:val="standardContextual"/>
        </w:rPr>
        <w:t xml:space="preserve"> liquid limit for sample B2</w:t>
      </w:r>
    </w:p>
    <w:p w:rsidR="00755203" w:rsidRPr="00755203" w:rsidRDefault="00755203" w:rsidP="00755203">
      <w:pPr>
        <w:spacing w:after="160" w:line="278" w:lineRule="auto"/>
        <w:jc w:val="both"/>
        <w:rPr>
          <w:rFonts w:ascii="Times New Roman" w:eastAsia="Times New Roman" w:hAnsi="Times New Roman" w:cs="Times New Roman"/>
          <w:kern w:val="2"/>
          <w:sz w:val="24"/>
          <w:szCs w:val="24"/>
          <w:lang w:val="en-GB" w:eastAsia="en-GB"/>
          <w14:ligatures w14:val="standardContextual"/>
        </w:rPr>
      </w:pPr>
    </w:p>
    <w:p w:rsidR="00755203" w:rsidRPr="00755203" w:rsidRDefault="00755203" w:rsidP="00755203">
      <w:pPr>
        <w:spacing w:after="160" w:line="278" w:lineRule="auto"/>
        <w:jc w:val="both"/>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lastRenderedPageBreak/>
        <w:t xml:space="preserve">Sample A2 has a higher liquid limit, suggesting it is more plastic than Sample B2. This could affect how these soils behave in construction or agricultural applications. The similarities in water contents and blows indicate that other factors such as soil type, texture, and mineral composition may contribute to the differing liquid limits. In civil engineering or geotechnical assessments, understanding the liquid limit and the associated water content helps in predicting the suitability of these soils for construction projects (Das and </w:t>
      </w:r>
      <w:proofErr w:type="spellStart"/>
      <w:r w:rsidRPr="00755203">
        <w:rPr>
          <w:rFonts w:ascii="Times New Roman" w:eastAsia="Times New Roman" w:hAnsi="Times New Roman" w:cs="Times New Roman"/>
          <w:kern w:val="2"/>
          <w:sz w:val="24"/>
          <w:szCs w:val="24"/>
          <w:lang w:val="en-GB" w:eastAsia="en-GB"/>
          <w14:ligatures w14:val="standardContextual"/>
        </w:rPr>
        <w:t>Sobhan</w:t>
      </w:r>
      <w:proofErr w:type="spellEnd"/>
      <w:r w:rsidRPr="00755203">
        <w:rPr>
          <w:rFonts w:ascii="Times New Roman" w:eastAsia="Times New Roman" w:hAnsi="Times New Roman" w:cs="Times New Roman"/>
          <w:kern w:val="2"/>
          <w:sz w:val="24"/>
          <w:szCs w:val="24"/>
          <w:lang w:val="en-GB" w:eastAsia="en-GB"/>
          <w14:ligatures w14:val="standardContextual"/>
        </w:rPr>
        <w:t>, 2018).</w:t>
      </w:r>
    </w:p>
    <w:p w:rsidR="00755203" w:rsidRPr="00755203" w:rsidRDefault="00755203" w:rsidP="00755203">
      <w:pPr>
        <w:spacing w:after="160" w:line="278" w:lineRule="auto"/>
        <w:rPr>
          <w:rFonts w:ascii="Times New Roman" w:eastAsia="Times New Roman" w:hAnsi="Times New Roman" w:cs="Times New Roman"/>
          <w:b/>
          <w:kern w:val="2"/>
          <w:sz w:val="24"/>
          <w:szCs w:val="24"/>
          <w:lang w:val="en-GB" w:eastAsia="en-GB"/>
          <w14:ligatures w14:val="standardContextual"/>
        </w:rPr>
      </w:pPr>
    </w:p>
    <w:p w:rsidR="00755203" w:rsidRPr="00755203" w:rsidRDefault="00755203" w:rsidP="00755203">
      <w:pPr>
        <w:spacing w:after="160" w:line="278" w:lineRule="auto"/>
        <w:rPr>
          <w:rFonts w:ascii="Times New Roman" w:eastAsia="Times New Roman" w:hAnsi="Times New Roman" w:cs="Times New Roman"/>
          <w:b/>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 xml:space="preserve">4.4.2 </w:t>
      </w:r>
      <w:r w:rsidRPr="00755203">
        <w:rPr>
          <w:rFonts w:ascii="Times New Roman" w:eastAsia="Times New Roman" w:hAnsi="Times New Roman" w:cs="Times New Roman"/>
          <w:b/>
          <w:kern w:val="2"/>
          <w:sz w:val="24"/>
          <w:szCs w:val="24"/>
          <w:lang w:val="en-GB" w:eastAsia="en-GB"/>
          <w14:ligatures w14:val="standardContextual"/>
        </w:rPr>
        <w:tab/>
        <w:t xml:space="preserve">Plastic Limit Determination </w:t>
      </w:r>
      <w:proofErr w:type="gramStart"/>
      <w:r w:rsidRPr="00755203">
        <w:rPr>
          <w:rFonts w:ascii="Times New Roman" w:eastAsia="Times New Roman" w:hAnsi="Times New Roman" w:cs="Times New Roman"/>
          <w:b/>
          <w:kern w:val="2"/>
          <w:sz w:val="24"/>
          <w:szCs w:val="24"/>
          <w:lang w:val="en-GB" w:eastAsia="en-GB"/>
          <w14:ligatures w14:val="standardContextual"/>
        </w:rPr>
        <w:t>Of</w:t>
      </w:r>
      <w:proofErr w:type="gramEnd"/>
      <w:r w:rsidRPr="00755203">
        <w:rPr>
          <w:rFonts w:ascii="Times New Roman" w:eastAsia="Times New Roman" w:hAnsi="Times New Roman" w:cs="Times New Roman"/>
          <w:b/>
          <w:kern w:val="2"/>
          <w:sz w:val="24"/>
          <w:szCs w:val="24"/>
          <w:lang w:val="en-GB" w:eastAsia="en-GB"/>
          <w14:ligatures w14:val="standardContextual"/>
        </w:rPr>
        <w:t xml:space="preserve"> Sample A2 And B2 </w:t>
      </w: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Table 4.10:</w:t>
      </w:r>
      <w:r w:rsidRPr="00755203">
        <w:rPr>
          <w:rFonts w:ascii="Times New Roman" w:eastAsia="Times New Roman" w:hAnsi="Times New Roman" w:cs="Times New Roman"/>
          <w:kern w:val="2"/>
          <w:sz w:val="24"/>
          <w:szCs w:val="24"/>
          <w:lang w:val="en-GB" w:eastAsia="en-GB"/>
          <w14:ligatures w14:val="standardContextual"/>
        </w:rPr>
        <w:t xml:space="preserve"> The Plastic Limits Result </w:t>
      </w:r>
      <w:proofErr w:type="gramStart"/>
      <w:r w:rsidRPr="00755203">
        <w:rPr>
          <w:rFonts w:ascii="Times New Roman" w:eastAsia="Times New Roman" w:hAnsi="Times New Roman" w:cs="Times New Roman"/>
          <w:kern w:val="2"/>
          <w:sz w:val="24"/>
          <w:szCs w:val="24"/>
          <w:lang w:val="en-GB" w:eastAsia="en-GB"/>
          <w14:ligatures w14:val="standardContextual"/>
        </w:rPr>
        <w:t>For</w:t>
      </w:r>
      <w:proofErr w:type="gramEnd"/>
      <w:r w:rsidRPr="00755203">
        <w:rPr>
          <w:rFonts w:ascii="Times New Roman" w:eastAsia="Times New Roman" w:hAnsi="Times New Roman" w:cs="Times New Roman"/>
          <w:kern w:val="2"/>
          <w:sz w:val="24"/>
          <w:szCs w:val="24"/>
          <w:lang w:val="en-GB" w:eastAsia="en-GB"/>
          <w14:ligatures w14:val="standardContextual"/>
        </w:rPr>
        <w:t xml:space="preserve"> Sample A2 </w:t>
      </w:r>
    </w:p>
    <w:tbl>
      <w:tblPr>
        <w:tblStyle w:val="TableGrid"/>
        <w:tblW w:w="0" w:type="auto"/>
        <w:tblLook w:val="04A0" w:firstRow="1" w:lastRow="0" w:firstColumn="1" w:lastColumn="0" w:noHBand="0" w:noVBand="1"/>
      </w:tblPr>
      <w:tblGrid>
        <w:gridCol w:w="2626"/>
        <w:gridCol w:w="2625"/>
        <w:gridCol w:w="2626"/>
      </w:tblGrid>
      <w:tr w:rsidR="00755203" w:rsidRPr="00755203" w:rsidTr="003A11D3">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Can No.</w:t>
            </w:r>
          </w:p>
        </w:tc>
        <w:tc>
          <w:tcPr>
            <w:tcW w:w="262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A1</w:t>
            </w:r>
          </w:p>
        </w:tc>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B1</w:t>
            </w:r>
          </w:p>
        </w:tc>
      </w:tr>
      <w:tr w:rsidR="00755203" w:rsidRPr="00755203" w:rsidTr="003A11D3">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wet soil + can (g)</w:t>
            </w:r>
          </w:p>
        </w:tc>
        <w:tc>
          <w:tcPr>
            <w:tcW w:w="262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45.58</w:t>
            </w:r>
          </w:p>
        </w:tc>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46.65</w:t>
            </w:r>
          </w:p>
        </w:tc>
      </w:tr>
      <w:tr w:rsidR="00755203" w:rsidRPr="00755203" w:rsidTr="003A11D3">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dry soil + can (g)</w:t>
            </w:r>
          </w:p>
        </w:tc>
        <w:tc>
          <w:tcPr>
            <w:tcW w:w="262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40.43</w:t>
            </w:r>
          </w:p>
        </w:tc>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41.91</w:t>
            </w:r>
          </w:p>
        </w:tc>
      </w:tr>
      <w:tr w:rsidR="00755203" w:rsidRPr="00755203" w:rsidTr="003A11D3">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can (g)</w:t>
            </w:r>
          </w:p>
        </w:tc>
        <w:tc>
          <w:tcPr>
            <w:tcW w:w="262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20.47</w:t>
            </w:r>
          </w:p>
        </w:tc>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21.65</w:t>
            </w:r>
          </w:p>
        </w:tc>
      </w:tr>
      <w:tr w:rsidR="00755203" w:rsidRPr="00755203" w:rsidTr="003A11D3">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dry soil (g)</w:t>
            </w:r>
          </w:p>
        </w:tc>
        <w:tc>
          <w:tcPr>
            <w:tcW w:w="262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19.96</w:t>
            </w:r>
          </w:p>
        </w:tc>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20.26</w:t>
            </w:r>
          </w:p>
        </w:tc>
      </w:tr>
      <w:tr w:rsidR="00755203" w:rsidRPr="00755203" w:rsidTr="003A11D3">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moisture (g)</w:t>
            </w:r>
          </w:p>
        </w:tc>
        <w:tc>
          <w:tcPr>
            <w:tcW w:w="262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5.15</w:t>
            </w:r>
          </w:p>
        </w:tc>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4.74</w:t>
            </w:r>
          </w:p>
        </w:tc>
      </w:tr>
      <w:tr w:rsidR="00755203" w:rsidRPr="00755203" w:rsidTr="003A11D3">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Water content (%)</w:t>
            </w:r>
          </w:p>
        </w:tc>
        <w:tc>
          <w:tcPr>
            <w:tcW w:w="262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25.8</w:t>
            </w:r>
          </w:p>
        </w:tc>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23.4</w:t>
            </w:r>
          </w:p>
        </w:tc>
      </w:tr>
      <w:tr w:rsidR="00755203" w:rsidRPr="00755203" w:rsidTr="003A11D3">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Plastic Limit (%</w:t>
            </w:r>
          </w:p>
        </w:tc>
        <w:tc>
          <w:tcPr>
            <w:tcW w:w="5251" w:type="dxa"/>
            <w:gridSpan w:val="2"/>
          </w:tcPr>
          <w:p w:rsidR="00755203" w:rsidRPr="00755203" w:rsidRDefault="00755203" w:rsidP="00755203">
            <w:pPr>
              <w:rPr>
                <w:rFonts w:ascii="Times New Roman" w:hAnsi="Times New Roman" w:cs="Times New Roman"/>
              </w:rPr>
            </w:pPr>
            <w:r w:rsidRPr="00755203">
              <w:rPr>
                <w:rFonts w:ascii="Times New Roman" w:hAnsi="Times New Roman" w:cs="Times New Roman"/>
              </w:rPr>
              <w:t xml:space="preserve">                                     24.6</w:t>
            </w:r>
          </w:p>
        </w:tc>
      </w:tr>
    </w:tbl>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PI = LL – PL</w:t>
      </w: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PI = 49.5 – 24.6</w:t>
      </w: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PI = 24.9%</w:t>
      </w: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Table 4.11:</w:t>
      </w:r>
      <w:r w:rsidRPr="00755203">
        <w:rPr>
          <w:rFonts w:ascii="Times New Roman" w:eastAsia="Times New Roman" w:hAnsi="Times New Roman" w:cs="Times New Roman"/>
          <w:kern w:val="2"/>
          <w:sz w:val="24"/>
          <w:szCs w:val="24"/>
          <w:lang w:val="en-GB" w:eastAsia="en-GB"/>
          <w14:ligatures w14:val="standardContextual"/>
        </w:rPr>
        <w:t xml:space="preserve"> the plastic limits result for Sample B2 </w:t>
      </w:r>
    </w:p>
    <w:tbl>
      <w:tblPr>
        <w:tblStyle w:val="TableGrid"/>
        <w:tblW w:w="0" w:type="auto"/>
        <w:tblLook w:val="04A0" w:firstRow="1" w:lastRow="0" w:firstColumn="1" w:lastColumn="0" w:noHBand="0" w:noVBand="1"/>
      </w:tblPr>
      <w:tblGrid>
        <w:gridCol w:w="2626"/>
        <w:gridCol w:w="2625"/>
        <w:gridCol w:w="2626"/>
      </w:tblGrid>
      <w:tr w:rsidR="00755203" w:rsidRPr="00755203" w:rsidTr="003A11D3">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 xml:space="preserve">Can No.                                    </w:t>
            </w:r>
          </w:p>
        </w:tc>
        <w:tc>
          <w:tcPr>
            <w:tcW w:w="262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A1</w:t>
            </w:r>
          </w:p>
        </w:tc>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B1</w:t>
            </w:r>
          </w:p>
        </w:tc>
      </w:tr>
      <w:tr w:rsidR="00755203" w:rsidRPr="00755203" w:rsidTr="003A11D3">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wet soil + can (g)</w:t>
            </w:r>
          </w:p>
        </w:tc>
        <w:tc>
          <w:tcPr>
            <w:tcW w:w="262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45.59</w:t>
            </w:r>
          </w:p>
        </w:tc>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45.65</w:t>
            </w:r>
          </w:p>
        </w:tc>
      </w:tr>
      <w:tr w:rsidR="00755203" w:rsidRPr="00755203" w:rsidTr="003A11D3">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dry soil + can (g)</w:t>
            </w:r>
          </w:p>
        </w:tc>
        <w:tc>
          <w:tcPr>
            <w:tcW w:w="262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40.81</w:t>
            </w:r>
          </w:p>
        </w:tc>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41.70</w:t>
            </w:r>
          </w:p>
        </w:tc>
      </w:tr>
      <w:tr w:rsidR="00755203" w:rsidRPr="00755203" w:rsidTr="003A11D3">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can (g)</w:t>
            </w:r>
          </w:p>
        </w:tc>
        <w:tc>
          <w:tcPr>
            <w:tcW w:w="262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20.47</w:t>
            </w:r>
            <w:r w:rsidRPr="00755203">
              <w:rPr>
                <w:rFonts w:ascii="Times New Roman" w:hAnsi="Times New Roman" w:cs="Times New Roman"/>
              </w:rPr>
              <w:tab/>
            </w:r>
          </w:p>
        </w:tc>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21.65</w:t>
            </w:r>
          </w:p>
        </w:tc>
      </w:tr>
      <w:tr w:rsidR="00755203" w:rsidRPr="00755203" w:rsidTr="003A11D3">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dry soil (g)</w:t>
            </w:r>
          </w:p>
        </w:tc>
        <w:tc>
          <w:tcPr>
            <w:tcW w:w="262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20.34</w:t>
            </w:r>
          </w:p>
        </w:tc>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20.05</w:t>
            </w:r>
          </w:p>
        </w:tc>
      </w:tr>
      <w:tr w:rsidR="00755203" w:rsidRPr="00755203" w:rsidTr="003A11D3">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moisture (g)</w:t>
            </w:r>
          </w:p>
        </w:tc>
        <w:tc>
          <w:tcPr>
            <w:tcW w:w="262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4.78</w:t>
            </w:r>
          </w:p>
        </w:tc>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3.95</w:t>
            </w:r>
          </w:p>
        </w:tc>
      </w:tr>
      <w:tr w:rsidR="00755203" w:rsidRPr="00755203" w:rsidTr="003A11D3">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Water content (%)</w:t>
            </w:r>
          </w:p>
        </w:tc>
        <w:tc>
          <w:tcPr>
            <w:tcW w:w="262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23.5</w:t>
            </w:r>
          </w:p>
        </w:tc>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19.7</w:t>
            </w:r>
          </w:p>
        </w:tc>
      </w:tr>
      <w:tr w:rsidR="00755203" w:rsidRPr="00755203" w:rsidTr="003A11D3">
        <w:tc>
          <w:tcPr>
            <w:tcW w:w="262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Plastic Limit (%)</w:t>
            </w:r>
          </w:p>
        </w:tc>
        <w:tc>
          <w:tcPr>
            <w:tcW w:w="5251" w:type="dxa"/>
            <w:gridSpan w:val="2"/>
          </w:tcPr>
          <w:p w:rsidR="00755203" w:rsidRPr="00755203" w:rsidRDefault="00755203" w:rsidP="00755203">
            <w:pPr>
              <w:rPr>
                <w:rFonts w:ascii="Times New Roman" w:hAnsi="Times New Roman" w:cs="Times New Roman"/>
              </w:rPr>
            </w:pPr>
            <w:r w:rsidRPr="00755203">
              <w:rPr>
                <w:rFonts w:ascii="Times New Roman" w:hAnsi="Times New Roman" w:cs="Times New Roman"/>
              </w:rPr>
              <w:t xml:space="preserve">                                      21.6</w:t>
            </w:r>
          </w:p>
        </w:tc>
      </w:tr>
    </w:tbl>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PI = LL – PL</w:t>
      </w: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PI = 45.7 – 21.6</w:t>
      </w: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P I = 24.1%</w:t>
      </w: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noProof/>
          <w:kern w:val="2"/>
          <w:sz w:val="24"/>
          <w:szCs w:val="24"/>
          <w14:ligatures w14:val="standardContextual"/>
        </w:rPr>
        <w:lastRenderedPageBreak/>
        <w:drawing>
          <wp:anchor distT="0" distB="0" distL="114300" distR="114300" simplePos="0" relativeHeight="251661312" behindDoc="0" locked="0" layoutInCell="1" allowOverlap="1" wp14:anchorId="57DFE881" wp14:editId="43E77641">
            <wp:simplePos x="0" y="0"/>
            <wp:positionH relativeFrom="column">
              <wp:posOffset>-138430</wp:posOffset>
            </wp:positionH>
            <wp:positionV relativeFrom="paragraph">
              <wp:posOffset>299085</wp:posOffset>
            </wp:positionV>
            <wp:extent cx="4256405" cy="2127885"/>
            <wp:effectExtent l="0" t="0" r="0" b="5715"/>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32908" name=""/>
                    <pic:cNvPicPr/>
                  </pic:nvPicPr>
                  <pic:blipFill>
                    <a:blip r:embed="rId9"/>
                    <a:stretch>
                      <a:fillRect/>
                    </a:stretch>
                  </pic:blipFill>
                  <pic:spPr>
                    <a:xfrm>
                      <a:off x="0" y="0"/>
                      <a:ext cx="4256405" cy="2127885"/>
                    </a:xfrm>
                    <a:prstGeom prst="rect">
                      <a:avLst/>
                    </a:prstGeom>
                  </pic:spPr>
                </pic:pic>
              </a:graphicData>
            </a:graphic>
            <wp14:sizeRelH relativeFrom="margin">
              <wp14:pctWidth>0</wp14:pctWidth>
            </wp14:sizeRelH>
            <wp14:sizeRelV relativeFrom="margin">
              <wp14:pctHeight>0</wp14:pctHeight>
            </wp14:sizeRelV>
          </wp:anchor>
        </w:drawing>
      </w:r>
      <w:r w:rsidRPr="00755203">
        <w:rPr>
          <w:rFonts w:ascii="Times New Roman" w:eastAsia="Times New Roman" w:hAnsi="Times New Roman" w:cs="Times New Roman"/>
          <w:kern w:val="2"/>
          <w:sz w:val="24"/>
          <w:szCs w:val="24"/>
          <w:lang w:val="en-GB" w:eastAsia="en-GB"/>
          <w14:ligatures w14:val="standardContextual"/>
        </w:rPr>
        <w:t>Figure 4.5: The plastic limit and liquid limit of sample A2 and B2</w:t>
      </w:r>
    </w:p>
    <w:p w:rsidR="00755203" w:rsidRPr="00755203" w:rsidRDefault="00755203" w:rsidP="00755203">
      <w:pPr>
        <w:spacing w:after="160" w:line="278" w:lineRule="auto"/>
        <w:jc w:val="both"/>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 xml:space="preserve">Sample A2 has a higher plastic limit (24.6%) compared to Sample B2 (21.6%). This indicates that Sample A2 can retain plasticity at higher moisture content levels than Sample B2. Sample A2 has a plasticity index of 24.9%, while Sample B2 shows a similar plasticity index of 24.1%. This suggests that both samples exhibit similar </w:t>
      </w:r>
      <w:proofErr w:type="spellStart"/>
      <w:r w:rsidRPr="00755203">
        <w:rPr>
          <w:rFonts w:ascii="Times New Roman" w:eastAsia="Times New Roman" w:hAnsi="Times New Roman" w:cs="Times New Roman"/>
          <w:kern w:val="2"/>
          <w:sz w:val="24"/>
          <w:szCs w:val="24"/>
          <w:lang w:val="en-GB" w:eastAsia="en-GB"/>
          <w14:ligatures w14:val="standardContextual"/>
        </w:rPr>
        <w:t>behavior</w:t>
      </w:r>
      <w:proofErr w:type="spellEnd"/>
      <w:r w:rsidRPr="00755203">
        <w:rPr>
          <w:rFonts w:ascii="Times New Roman" w:eastAsia="Times New Roman" w:hAnsi="Times New Roman" w:cs="Times New Roman"/>
          <w:kern w:val="2"/>
          <w:sz w:val="24"/>
          <w:szCs w:val="24"/>
          <w:lang w:val="en-GB" w:eastAsia="en-GB"/>
          <w14:ligatures w14:val="standardContextual"/>
        </w:rPr>
        <w:t xml:space="preserve"> concerning their plasticity. Sample A2 has a higher moisture content of 25.0% compared to Sample B2 at 19.7%. This could imply that Sample A2 may present more challenges in construction or engineering applications due to its ability to retain more water. Higher plastic limits are often associated with more cohesive soils, which can influence considerations such as compaction, stability, and load-bearing qualities in engineering projects (Craig, 2004; Das and </w:t>
      </w:r>
      <w:proofErr w:type="spellStart"/>
      <w:r w:rsidRPr="00755203">
        <w:rPr>
          <w:rFonts w:ascii="Times New Roman" w:eastAsia="Times New Roman" w:hAnsi="Times New Roman" w:cs="Times New Roman"/>
          <w:kern w:val="2"/>
          <w:sz w:val="24"/>
          <w:szCs w:val="24"/>
          <w:lang w:val="en-GB" w:eastAsia="en-GB"/>
          <w14:ligatures w14:val="standardContextual"/>
        </w:rPr>
        <w:t>Sobhan</w:t>
      </w:r>
      <w:proofErr w:type="spellEnd"/>
      <w:r w:rsidRPr="00755203">
        <w:rPr>
          <w:rFonts w:ascii="Times New Roman" w:eastAsia="Times New Roman" w:hAnsi="Times New Roman" w:cs="Times New Roman"/>
          <w:kern w:val="2"/>
          <w:sz w:val="24"/>
          <w:szCs w:val="24"/>
          <w:lang w:val="en-GB" w:eastAsia="en-GB"/>
          <w14:ligatures w14:val="standardContextual"/>
        </w:rPr>
        <w:t>, 2018).</w:t>
      </w:r>
    </w:p>
    <w:p w:rsidR="00755203" w:rsidRPr="00755203" w:rsidRDefault="00755203" w:rsidP="00755203">
      <w:pPr>
        <w:spacing w:after="160" w:line="278" w:lineRule="auto"/>
        <w:rPr>
          <w:rFonts w:ascii="Times New Roman" w:eastAsia="Times New Roman" w:hAnsi="Times New Roman" w:cs="Times New Roman"/>
          <w:b/>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 xml:space="preserve">4.5 </w:t>
      </w:r>
      <w:r w:rsidRPr="00755203">
        <w:rPr>
          <w:rFonts w:ascii="Times New Roman" w:eastAsia="Times New Roman" w:hAnsi="Times New Roman" w:cs="Times New Roman"/>
          <w:b/>
          <w:kern w:val="2"/>
          <w:sz w:val="24"/>
          <w:szCs w:val="24"/>
          <w:lang w:val="en-GB" w:eastAsia="en-GB"/>
          <w14:ligatures w14:val="standardContextual"/>
        </w:rPr>
        <w:tab/>
        <w:t xml:space="preserve">Determination </w:t>
      </w:r>
      <w:proofErr w:type="gramStart"/>
      <w:r w:rsidRPr="00755203">
        <w:rPr>
          <w:rFonts w:ascii="Times New Roman" w:eastAsia="Times New Roman" w:hAnsi="Times New Roman" w:cs="Times New Roman"/>
          <w:b/>
          <w:kern w:val="2"/>
          <w:sz w:val="24"/>
          <w:szCs w:val="24"/>
          <w:lang w:val="en-GB" w:eastAsia="en-GB"/>
          <w14:ligatures w14:val="standardContextual"/>
        </w:rPr>
        <w:t>Of</w:t>
      </w:r>
      <w:proofErr w:type="gramEnd"/>
      <w:r w:rsidRPr="00755203">
        <w:rPr>
          <w:rFonts w:ascii="Times New Roman" w:eastAsia="Times New Roman" w:hAnsi="Times New Roman" w:cs="Times New Roman"/>
          <w:b/>
          <w:kern w:val="2"/>
          <w:sz w:val="24"/>
          <w:szCs w:val="24"/>
          <w:lang w:val="en-GB" w:eastAsia="en-GB"/>
          <w14:ligatures w14:val="standardContextual"/>
        </w:rPr>
        <w:t xml:space="preserve"> Shrinkage Limits</w:t>
      </w: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Table 4.12:</w:t>
      </w:r>
      <w:r w:rsidRPr="00755203">
        <w:rPr>
          <w:rFonts w:ascii="Times New Roman" w:eastAsia="Times New Roman" w:hAnsi="Times New Roman" w:cs="Times New Roman"/>
          <w:kern w:val="2"/>
          <w:sz w:val="24"/>
          <w:szCs w:val="24"/>
          <w:lang w:val="en-GB" w:eastAsia="en-GB"/>
          <w14:ligatures w14:val="standardContextual"/>
        </w:rPr>
        <w:t xml:space="preserve"> The Shrinkage Limit Results</w:t>
      </w:r>
    </w:p>
    <w:tbl>
      <w:tblPr>
        <w:tblStyle w:val="TableGrid"/>
        <w:tblW w:w="0" w:type="auto"/>
        <w:tblLook w:val="04A0" w:firstRow="1" w:lastRow="0" w:firstColumn="1" w:lastColumn="0" w:noHBand="0" w:noVBand="1"/>
      </w:tblPr>
      <w:tblGrid>
        <w:gridCol w:w="3005"/>
        <w:gridCol w:w="3005"/>
        <w:gridCol w:w="3006"/>
      </w:tblGrid>
      <w:tr w:rsidR="00755203" w:rsidRPr="00755203" w:rsidTr="003A11D3">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Sample label</w:t>
            </w:r>
            <w:r w:rsidRPr="00755203">
              <w:rPr>
                <w:rFonts w:ascii="Times New Roman" w:hAnsi="Times New Roman" w:cs="Times New Roman"/>
              </w:rPr>
              <w:tab/>
            </w:r>
          </w:p>
        </w:tc>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A2</w:t>
            </w:r>
          </w:p>
        </w:tc>
        <w:tc>
          <w:tcPr>
            <w:tcW w:w="300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B2</w:t>
            </w:r>
          </w:p>
        </w:tc>
      </w:tr>
      <w:tr w:rsidR="00755203" w:rsidRPr="00755203" w:rsidTr="003A11D3">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Original length of sample(cm)</w:t>
            </w:r>
          </w:p>
        </w:tc>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20.3</w:t>
            </w:r>
          </w:p>
        </w:tc>
        <w:tc>
          <w:tcPr>
            <w:tcW w:w="300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22.0</w:t>
            </w:r>
          </w:p>
        </w:tc>
      </w:tr>
      <w:tr w:rsidR="00755203" w:rsidRPr="00755203" w:rsidTr="003A11D3">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Final length of sample(cm)</w:t>
            </w:r>
          </w:p>
        </w:tc>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19.0</w:t>
            </w:r>
          </w:p>
        </w:tc>
        <w:tc>
          <w:tcPr>
            <w:tcW w:w="300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21.1</w:t>
            </w:r>
          </w:p>
        </w:tc>
      </w:tr>
      <w:tr w:rsidR="00755203" w:rsidRPr="00755203" w:rsidTr="003A11D3">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Change in length (cm)</w:t>
            </w:r>
          </w:p>
        </w:tc>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1.3</w:t>
            </w:r>
          </w:p>
        </w:tc>
        <w:tc>
          <w:tcPr>
            <w:tcW w:w="300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0.9</w:t>
            </w:r>
          </w:p>
        </w:tc>
      </w:tr>
      <w:tr w:rsidR="00755203" w:rsidRPr="00755203" w:rsidTr="003A11D3">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Linear shrinkage (%)</w:t>
            </w:r>
          </w:p>
        </w:tc>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6.4</w:t>
            </w:r>
          </w:p>
        </w:tc>
        <w:tc>
          <w:tcPr>
            <w:tcW w:w="300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4.1</w:t>
            </w:r>
          </w:p>
        </w:tc>
      </w:tr>
    </w:tbl>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p>
    <w:p w:rsidR="00755203" w:rsidRPr="00755203" w:rsidRDefault="00755203" w:rsidP="00755203">
      <w:pPr>
        <w:tabs>
          <w:tab w:val="left" w:pos="1701"/>
        </w:tabs>
        <w:spacing w:after="160" w:line="278" w:lineRule="auto"/>
        <w:jc w:val="both"/>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val="en-GB" w:eastAsia="en-GB"/>
          <w14:ligatures w14:val="standardContextual"/>
        </w:rPr>
        <w:t xml:space="preserve">The higher shrinkage in sample A2 implies that it may be less stable during drying or processing, which could affect applications in construction or manufacturing where dimensional stability is critical. Depending on the intended applications, different shrinkage </w:t>
      </w:r>
      <w:proofErr w:type="spellStart"/>
      <w:r w:rsidRPr="00755203">
        <w:rPr>
          <w:rFonts w:ascii="Times New Roman" w:eastAsia="Times New Roman" w:hAnsi="Times New Roman" w:cs="Times New Roman"/>
          <w:kern w:val="2"/>
          <w:sz w:val="24"/>
          <w:szCs w:val="24"/>
          <w:lang w:val="en-GB" w:eastAsia="en-GB"/>
          <w14:ligatures w14:val="standardContextual"/>
        </w:rPr>
        <w:t>behaviors</w:t>
      </w:r>
      <w:proofErr w:type="spellEnd"/>
      <w:r w:rsidRPr="00755203">
        <w:rPr>
          <w:rFonts w:ascii="Times New Roman" w:eastAsia="Times New Roman" w:hAnsi="Times New Roman" w:cs="Times New Roman"/>
          <w:kern w:val="2"/>
          <w:sz w:val="24"/>
          <w:szCs w:val="24"/>
          <w:lang w:val="en-GB" w:eastAsia="en-GB"/>
          <w14:ligatures w14:val="standardContextual"/>
        </w:rPr>
        <w:t xml:space="preserve"> might inform the choice of material. For example, materials like A2 might need additives or special processing techniques to minimize shrinkage. It could be beneficial to explore the conditions under which these samples were tested to identify factors contributing to the observed differences in </w:t>
      </w:r>
      <w:r w:rsidRPr="00755203">
        <w:rPr>
          <w:rFonts w:ascii="Times New Roman" w:eastAsia="Times New Roman" w:hAnsi="Times New Roman" w:cs="Times New Roman"/>
          <w:kern w:val="2"/>
          <w:sz w:val="24"/>
          <w:szCs w:val="24"/>
          <w:lang w:val="en-GB" w:eastAsia="en-GB"/>
          <w14:ligatures w14:val="standardContextual"/>
        </w:rPr>
        <w:lastRenderedPageBreak/>
        <w:t xml:space="preserve">shrinkage, such as moisture content, temperature, or material composition (Nelson and Miller, 1992; Das and </w:t>
      </w:r>
      <w:proofErr w:type="spellStart"/>
      <w:r w:rsidRPr="00755203">
        <w:rPr>
          <w:rFonts w:ascii="Times New Roman" w:eastAsia="Times New Roman" w:hAnsi="Times New Roman" w:cs="Times New Roman"/>
          <w:kern w:val="2"/>
          <w:sz w:val="24"/>
          <w:szCs w:val="24"/>
          <w:lang w:val="en-GB" w:eastAsia="en-GB"/>
          <w14:ligatures w14:val="standardContextual"/>
        </w:rPr>
        <w:t>Sobhan</w:t>
      </w:r>
      <w:proofErr w:type="spellEnd"/>
      <w:r w:rsidRPr="00755203">
        <w:rPr>
          <w:rFonts w:ascii="Times New Roman" w:eastAsia="Times New Roman" w:hAnsi="Times New Roman" w:cs="Times New Roman"/>
          <w:kern w:val="2"/>
          <w:sz w:val="24"/>
          <w:szCs w:val="24"/>
          <w:lang w:val="en-GB" w:eastAsia="en-GB"/>
          <w14:ligatures w14:val="standardContextual"/>
        </w:rPr>
        <w:t>, 2018).</w:t>
      </w:r>
    </w:p>
    <w:p w:rsidR="00755203" w:rsidRPr="00755203" w:rsidRDefault="00755203" w:rsidP="00755203">
      <w:pPr>
        <w:spacing w:after="160" w:line="278" w:lineRule="auto"/>
        <w:rPr>
          <w:rFonts w:ascii="Times New Roman" w:eastAsia="Times New Roman" w:hAnsi="Times New Roman" w:cs="Times New Roman"/>
          <w:b/>
          <w:kern w:val="2"/>
          <w:sz w:val="24"/>
          <w:szCs w:val="24"/>
          <w:lang w:val="en-GB" w:eastAsia="en-GB"/>
          <w14:ligatures w14:val="standardContextual"/>
        </w:rPr>
      </w:pPr>
    </w:p>
    <w:p w:rsidR="00755203" w:rsidRPr="00755203" w:rsidRDefault="00755203" w:rsidP="00755203">
      <w:pPr>
        <w:spacing w:after="160" w:line="278" w:lineRule="auto"/>
        <w:rPr>
          <w:rFonts w:ascii="Times New Roman" w:eastAsia="Times New Roman" w:hAnsi="Times New Roman" w:cs="Times New Roman"/>
          <w:b/>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4.6</w:t>
      </w:r>
      <w:r w:rsidRPr="00755203">
        <w:rPr>
          <w:rFonts w:ascii="Times New Roman" w:eastAsia="Times New Roman" w:hAnsi="Times New Roman" w:cs="Times New Roman"/>
          <w:b/>
          <w:kern w:val="2"/>
          <w:sz w:val="24"/>
          <w:szCs w:val="24"/>
          <w:lang w:val="en-GB" w:eastAsia="en-GB"/>
          <w14:ligatures w14:val="standardContextual"/>
        </w:rPr>
        <w:tab/>
        <w:t xml:space="preserve"> Determination of Cation Exchange Capacity</w:t>
      </w: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 xml:space="preserve">Table </w:t>
      </w:r>
      <w:proofErr w:type="gramStart"/>
      <w:r w:rsidRPr="00755203">
        <w:rPr>
          <w:rFonts w:ascii="Times New Roman" w:eastAsia="Times New Roman" w:hAnsi="Times New Roman" w:cs="Times New Roman"/>
          <w:b/>
          <w:kern w:val="2"/>
          <w:sz w:val="24"/>
          <w:szCs w:val="24"/>
          <w:lang w:val="en-GB" w:eastAsia="en-GB"/>
          <w14:ligatures w14:val="standardContextual"/>
        </w:rPr>
        <w:t>4.13 :</w:t>
      </w:r>
      <w:proofErr w:type="gramEnd"/>
      <w:r w:rsidRPr="00755203">
        <w:rPr>
          <w:rFonts w:ascii="Times New Roman" w:eastAsia="Times New Roman" w:hAnsi="Times New Roman" w:cs="Times New Roman"/>
          <w:kern w:val="2"/>
          <w:sz w:val="24"/>
          <w:szCs w:val="24"/>
          <w:lang w:val="en-GB" w:eastAsia="en-GB"/>
          <w14:ligatures w14:val="standardContextual"/>
        </w:rPr>
        <w:t xml:space="preserve"> The Cation Exchange Capacity Results </w:t>
      </w:r>
    </w:p>
    <w:tbl>
      <w:tblPr>
        <w:tblStyle w:val="TableGrid"/>
        <w:tblW w:w="0" w:type="auto"/>
        <w:tblLook w:val="04A0" w:firstRow="1" w:lastRow="0" w:firstColumn="1" w:lastColumn="0" w:noHBand="0" w:noVBand="1"/>
      </w:tblPr>
      <w:tblGrid>
        <w:gridCol w:w="3005"/>
        <w:gridCol w:w="3005"/>
        <w:gridCol w:w="3006"/>
      </w:tblGrid>
      <w:tr w:rsidR="00755203" w:rsidRPr="00755203" w:rsidTr="003A11D3">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Sample Name</w:t>
            </w:r>
          </w:p>
        </w:tc>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A2</w:t>
            </w:r>
          </w:p>
        </w:tc>
        <w:tc>
          <w:tcPr>
            <w:tcW w:w="300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B2</w:t>
            </w:r>
          </w:p>
        </w:tc>
      </w:tr>
      <w:tr w:rsidR="00755203" w:rsidRPr="00755203" w:rsidTr="003A11D3">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Wt. Of soil sample (g)</w:t>
            </w:r>
          </w:p>
        </w:tc>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10.00</w:t>
            </w:r>
          </w:p>
        </w:tc>
        <w:tc>
          <w:tcPr>
            <w:tcW w:w="300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10.00</w:t>
            </w:r>
          </w:p>
        </w:tc>
      </w:tr>
      <w:tr w:rsidR="00755203" w:rsidRPr="00755203" w:rsidTr="003A11D3">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Vol. Of solution (g)</w:t>
            </w:r>
          </w:p>
        </w:tc>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50.00</w:t>
            </w:r>
          </w:p>
        </w:tc>
        <w:tc>
          <w:tcPr>
            <w:tcW w:w="300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50.00</w:t>
            </w:r>
          </w:p>
        </w:tc>
      </w:tr>
      <w:tr w:rsidR="00755203" w:rsidRPr="00755203" w:rsidTr="003A11D3">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Ammonium ion concentration (</w:t>
            </w:r>
            <w:proofErr w:type="spellStart"/>
            <w:r w:rsidRPr="00755203">
              <w:rPr>
                <w:rFonts w:ascii="Times New Roman" w:hAnsi="Times New Roman" w:cs="Times New Roman"/>
              </w:rPr>
              <w:t>cmol</w:t>
            </w:r>
            <w:proofErr w:type="spellEnd"/>
            <w:r w:rsidRPr="00755203">
              <w:rPr>
                <w:rFonts w:ascii="Times New Roman" w:hAnsi="Times New Roman" w:cs="Times New Roman"/>
              </w:rPr>
              <w:t>/kg)</w:t>
            </w:r>
          </w:p>
        </w:tc>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0.068</w:t>
            </w:r>
          </w:p>
        </w:tc>
        <w:tc>
          <w:tcPr>
            <w:tcW w:w="300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0.042</w:t>
            </w:r>
          </w:p>
        </w:tc>
      </w:tr>
      <w:tr w:rsidR="00755203" w:rsidRPr="00755203" w:rsidTr="003A11D3">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Cation ion exchange (</w:t>
            </w:r>
            <w:proofErr w:type="spellStart"/>
            <w:r w:rsidRPr="00755203">
              <w:rPr>
                <w:rFonts w:ascii="Times New Roman" w:hAnsi="Times New Roman" w:cs="Times New Roman"/>
              </w:rPr>
              <w:t>cmol</w:t>
            </w:r>
            <w:proofErr w:type="spellEnd"/>
            <w:r w:rsidRPr="00755203">
              <w:rPr>
                <w:rFonts w:ascii="Times New Roman" w:hAnsi="Times New Roman" w:cs="Times New Roman"/>
              </w:rPr>
              <w:t>/kg)</w:t>
            </w:r>
          </w:p>
        </w:tc>
        <w:tc>
          <w:tcPr>
            <w:tcW w:w="300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0.34</w:t>
            </w:r>
          </w:p>
        </w:tc>
        <w:tc>
          <w:tcPr>
            <w:tcW w:w="300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0.21</w:t>
            </w:r>
          </w:p>
        </w:tc>
      </w:tr>
    </w:tbl>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p>
    <w:p w:rsidR="00755203" w:rsidRPr="00755203" w:rsidRDefault="00755203" w:rsidP="00755203">
      <w:pPr>
        <w:spacing w:after="160" w:line="278" w:lineRule="auto"/>
        <w:jc w:val="both"/>
        <w:rPr>
          <w:rFonts w:ascii="Times New Roman" w:eastAsia="Times New Roman" w:hAnsi="Times New Roman" w:cs="Times New Roman"/>
          <w:kern w:val="2"/>
          <w:sz w:val="24"/>
          <w:szCs w:val="24"/>
          <w:lang w:eastAsia="en-GB"/>
          <w14:ligatures w14:val="standardContextual"/>
        </w:rPr>
      </w:pPr>
      <w:r w:rsidRPr="00755203">
        <w:rPr>
          <w:rFonts w:ascii="Times New Roman" w:eastAsia="Times New Roman" w:hAnsi="Times New Roman" w:cs="Times New Roman"/>
          <w:kern w:val="2"/>
          <w:sz w:val="24"/>
          <w:szCs w:val="24"/>
          <w:lang w:eastAsia="en-GB"/>
          <w14:ligatures w14:val="standardContextual"/>
        </w:rPr>
        <w:t xml:space="preserve">The </w:t>
      </w:r>
      <w:proofErr w:type="spellStart"/>
      <w:r w:rsidRPr="00755203">
        <w:rPr>
          <w:rFonts w:ascii="Times New Roman" w:eastAsia="Times New Roman" w:hAnsi="Times New Roman" w:cs="Times New Roman"/>
          <w:kern w:val="2"/>
          <w:sz w:val="24"/>
          <w:szCs w:val="24"/>
          <w:lang w:eastAsia="en-GB"/>
          <w14:ligatures w14:val="standardContextual"/>
        </w:rPr>
        <w:t>cation</w:t>
      </w:r>
      <w:proofErr w:type="spellEnd"/>
      <w:r w:rsidRPr="00755203">
        <w:rPr>
          <w:rFonts w:ascii="Times New Roman" w:eastAsia="Times New Roman" w:hAnsi="Times New Roman" w:cs="Times New Roman"/>
          <w:kern w:val="2"/>
          <w:sz w:val="24"/>
          <w:szCs w:val="24"/>
          <w:lang w:eastAsia="en-GB"/>
          <w14:ligatures w14:val="standardContextual"/>
        </w:rPr>
        <w:t xml:space="preserve"> exchange capacity of the studied clay is presented in table 4.13 with the values are 0.34 </w:t>
      </w:r>
      <w:proofErr w:type="spellStart"/>
      <w:r w:rsidRPr="00755203">
        <w:rPr>
          <w:rFonts w:ascii="Times New Roman" w:eastAsia="Times New Roman" w:hAnsi="Times New Roman" w:cs="Times New Roman"/>
          <w:kern w:val="2"/>
          <w:sz w:val="24"/>
          <w:szCs w:val="24"/>
          <w:lang w:eastAsia="en-GB"/>
          <w14:ligatures w14:val="standardContextual"/>
        </w:rPr>
        <w:t>cmol</w:t>
      </w:r>
      <w:proofErr w:type="spellEnd"/>
      <w:r w:rsidRPr="00755203">
        <w:rPr>
          <w:rFonts w:ascii="Times New Roman" w:eastAsia="Times New Roman" w:hAnsi="Times New Roman" w:cs="Times New Roman"/>
          <w:kern w:val="2"/>
          <w:sz w:val="24"/>
          <w:szCs w:val="24"/>
          <w:lang w:eastAsia="en-GB"/>
          <w14:ligatures w14:val="standardContextual"/>
        </w:rPr>
        <w:t xml:space="preserve">/kg and 0.21 </w:t>
      </w:r>
      <w:proofErr w:type="spellStart"/>
      <w:r w:rsidRPr="00755203">
        <w:rPr>
          <w:rFonts w:ascii="Times New Roman" w:eastAsia="Times New Roman" w:hAnsi="Times New Roman" w:cs="Times New Roman"/>
          <w:kern w:val="2"/>
          <w:sz w:val="24"/>
          <w:szCs w:val="24"/>
          <w:lang w:eastAsia="en-GB"/>
          <w14:ligatures w14:val="standardContextual"/>
        </w:rPr>
        <w:t>cmol</w:t>
      </w:r>
      <w:proofErr w:type="spellEnd"/>
      <w:r w:rsidRPr="00755203">
        <w:rPr>
          <w:rFonts w:ascii="Times New Roman" w:eastAsia="Times New Roman" w:hAnsi="Times New Roman" w:cs="Times New Roman"/>
          <w:kern w:val="2"/>
          <w:sz w:val="24"/>
          <w:szCs w:val="24"/>
          <w:lang w:eastAsia="en-GB"/>
          <w14:ligatures w14:val="standardContextual"/>
        </w:rPr>
        <w:t xml:space="preserve">/kg for sample A2 and B2. Cation exchange capacity significantly impacts the industrial applications of clays, influencing their suitability for industrial usages. Clays with high </w:t>
      </w:r>
      <w:proofErr w:type="spellStart"/>
      <w:r w:rsidRPr="00755203">
        <w:rPr>
          <w:rFonts w:ascii="Times New Roman" w:eastAsia="Times New Roman" w:hAnsi="Times New Roman" w:cs="Times New Roman"/>
          <w:kern w:val="2"/>
          <w:sz w:val="24"/>
          <w:szCs w:val="24"/>
          <w:lang w:eastAsia="en-GB"/>
          <w14:ligatures w14:val="standardContextual"/>
        </w:rPr>
        <w:t>cation</w:t>
      </w:r>
      <w:proofErr w:type="spellEnd"/>
      <w:r w:rsidRPr="00755203">
        <w:rPr>
          <w:rFonts w:ascii="Times New Roman" w:eastAsia="Times New Roman" w:hAnsi="Times New Roman" w:cs="Times New Roman"/>
          <w:kern w:val="2"/>
          <w:sz w:val="24"/>
          <w:szCs w:val="24"/>
          <w:lang w:eastAsia="en-GB"/>
          <w14:ligatures w14:val="standardContextual"/>
        </w:rPr>
        <w:t xml:space="preserve"> exchange capacity are used in drilling muds due to their ability to retain and exchange </w:t>
      </w:r>
      <w:proofErr w:type="spellStart"/>
      <w:r w:rsidRPr="00755203">
        <w:rPr>
          <w:rFonts w:ascii="Times New Roman" w:eastAsia="Times New Roman" w:hAnsi="Times New Roman" w:cs="Times New Roman"/>
          <w:kern w:val="2"/>
          <w:sz w:val="24"/>
          <w:szCs w:val="24"/>
          <w:lang w:eastAsia="en-GB"/>
          <w14:ligatures w14:val="standardContextual"/>
        </w:rPr>
        <w:t>cation</w:t>
      </w:r>
      <w:proofErr w:type="spellEnd"/>
      <w:r w:rsidRPr="00755203">
        <w:rPr>
          <w:rFonts w:ascii="Times New Roman" w:eastAsia="Times New Roman" w:hAnsi="Times New Roman" w:cs="Times New Roman"/>
          <w:kern w:val="2"/>
          <w:sz w:val="24"/>
          <w:szCs w:val="24"/>
          <w:lang w:eastAsia="en-GB"/>
          <w14:ligatures w14:val="standardContextual"/>
        </w:rPr>
        <w:t>, enhancing drilling efficiency (</w:t>
      </w:r>
      <w:proofErr w:type="spellStart"/>
      <w:r w:rsidRPr="00755203">
        <w:rPr>
          <w:rFonts w:ascii="Times New Roman" w:eastAsia="Times New Roman" w:hAnsi="Times New Roman" w:cs="Times New Roman"/>
          <w:kern w:val="2"/>
          <w:sz w:val="24"/>
          <w:szCs w:val="24"/>
          <w:lang w:eastAsia="en-GB"/>
          <w14:ligatures w14:val="standardContextual"/>
        </w:rPr>
        <w:t>Ahuwan</w:t>
      </w:r>
      <w:proofErr w:type="spellEnd"/>
      <w:r w:rsidRPr="00755203">
        <w:rPr>
          <w:rFonts w:ascii="Times New Roman" w:eastAsia="Times New Roman" w:hAnsi="Times New Roman" w:cs="Times New Roman"/>
          <w:kern w:val="2"/>
          <w:sz w:val="24"/>
          <w:szCs w:val="24"/>
          <w:lang w:eastAsia="en-GB"/>
          <w14:ligatures w14:val="standardContextual"/>
        </w:rPr>
        <w:t xml:space="preserve">, 2002). While clays with low CEC, kaolinites, are suitable for applications where low </w:t>
      </w:r>
      <w:proofErr w:type="spellStart"/>
      <w:r w:rsidRPr="00755203">
        <w:rPr>
          <w:rFonts w:ascii="Times New Roman" w:eastAsia="Times New Roman" w:hAnsi="Times New Roman" w:cs="Times New Roman"/>
          <w:kern w:val="2"/>
          <w:sz w:val="24"/>
          <w:szCs w:val="24"/>
          <w:lang w:eastAsia="en-GB"/>
          <w14:ligatures w14:val="standardContextual"/>
        </w:rPr>
        <w:t>cation</w:t>
      </w:r>
      <w:proofErr w:type="spellEnd"/>
      <w:r w:rsidRPr="00755203">
        <w:rPr>
          <w:rFonts w:ascii="Times New Roman" w:eastAsia="Times New Roman" w:hAnsi="Times New Roman" w:cs="Times New Roman"/>
          <w:kern w:val="2"/>
          <w:sz w:val="24"/>
          <w:szCs w:val="24"/>
          <w:lang w:eastAsia="en-GB"/>
          <w14:ligatures w14:val="standardContextual"/>
        </w:rPr>
        <w:t xml:space="preserve"> exchange are desired such as ceramics, pottery </w:t>
      </w:r>
      <w:proofErr w:type="spellStart"/>
      <w:r w:rsidRPr="00755203">
        <w:rPr>
          <w:rFonts w:ascii="Times New Roman" w:eastAsia="Times New Roman" w:hAnsi="Times New Roman" w:cs="Times New Roman"/>
          <w:kern w:val="2"/>
          <w:sz w:val="24"/>
          <w:szCs w:val="24"/>
          <w:lang w:eastAsia="en-GB"/>
          <w14:ligatures w14:val="standardContextual"/>
        </w:rPr>
        <w:t>e.t.c</w:t>
      </w:r>
      <w:proofErr w:type="spellEnd"/>
      <w:r w:rsidRPr="00755203">
        <w:rPr>
          <w:rFonts w:ascii="Times New Roman" w:eastAsia="Times New Roman" w:hAnsi="Times New Roman" w:cs="Times New Roman"/>
          <w:kern w:val="2"/>
          <w:sz w:val="24"/>
          <w:szCs w:val="24"/>
          <w:lang w:eastAsia="en-GB"/>
          <w14:ligatures w14:val="standardContextual"/>
        </w:rPr>
        <w:t xml:space="preserve">, the studied clays fall within the low </w:t>
      </w:r>
      <w:proofErr w:type="spellStart"/>
      <w:r w:rsidRPr="00755203">
        <w:rPr>
          <w:rFonts w:ascii="Times New Roman" w:eastAsia="Times New Roman" w:hAnsi="Times New Roman" w:cs="Times New Roman"/>
          <w:kern w:val="2"/>
          <w:sz w:val="24"/>
          <w:szCs w:val="24"/>
          <w:lang w:eastAsia="en-GB"/>
          <w14:ligatures w14:val="standardContextual"/>
        </w:rPr>
        <w:t>cation</w:t>
      </w:r>
      <w:proofErr w:type="spellEnd"/>
      <w:r w:rsidRPr="00755203">
        <w:rPr>
          <w:rFonts w:ascii="Times New Roman" w:eastAsia="Times New Roman" w:hAnsi="Times New Roman" w:cs="Times New Roman"/>
          <w:kern w:val="2"/>
          <w:sz w:val="24"/>
          <w:szCs w:val="24"/>
          <w:lang w:eastAsia="en-GB"/>
          <w14:ligatures w14:val="standardContextual"/>
        </w:rPr>
        <w:t xml:space="preserve"> exchange capacity, thus they are suitable in making ceramic and pottery (Adnan, 2011).</w:t>
      </w:r>
    </w:p>
    <w:p w:rsidR="00755203" w:rsidRPr="00755203" w:rsidRDefault="00755203" w:rsidP="00755203">
      <w:pPr>
        <w:spacing w:after="160" w:line="278" w:lineRule="auto"/>
        <w:rPr>
          <w:rFonts w:ascii="Times New Roman" w:eastAsia="Times New Roman" w:hAnsi="Times New Roman" w:cs="Times New Roman"/>
          <w:b/>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 xml:space="preserve">4.7 </w:t>
      </w:r>
      <w:r w:rsidRPr="00755203">
        <w:rPr>
          <w:rFonts w:ascii="Times New Roman" w:eastAsia="Times New Roman" w:hAnsi="Times New Roman" w:cs="Times New Roman"/>
          <w:b/>
          <w:kern w:val="2"/>
          <w:sz w:val="24"/>
          <w:szCs w:val="24"/>
          <w:lang w:val="en-GB" w:eastAsia="en-GB"/>
          <w14:ligatures w14:val="standardContextual"/>
        </w:rPr>
        <w:tab/>
        <w:t>Determination of Thermal Conductivity</w:t>
      </w:r>
    </w:p>
    <w:p w:rsidR="00755203" w:rsidRPr="00755203" w:rsidRDefault="00755203" w:rsidP="00755203">
      <w:pPr>
        <w:spacing w:after="160" w:line="278" w:lineRule="auto"/>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b/>
          <w:kern w:val="2"/>
          <w:sz w:val="24"/>
          <w:szCs w:val="24"/>
          <w:lang w:val="en-GB" w:eastAsia="en-GB"/>
          <w14:ligatures w14:val="standardContextual"/>
        </w:rPr>
        <w:t xml:space="preserve">Table 4.14: </w:t>
      </w:r>
      <w:r w:rsidRPr="00755203">
        <w:rPr>
          <w:rFonts w:ascii="Times New Roman" w:eastAsia="Times New Roman" w:hAnsi="Times New Roman" w:cs="Times New Roman"/>
          <w:kern w:val="2"/>
          <w:sz w:val="24"/>
          <w:szCs w:val="24"/>
          <w:lang w:val="en-GB" w:eastAsia="en-GB"/>
          <w14:ligatures w14:val="standardContextual"/>
        </w:rPr>
        <w:t xml:space="preserve">The Thermal Conductivity Result </w:t>
      </w:r>
    </w:p>
    <w:tbl>
      <w:tblPr>
        <w:tblStyle w:val="TableGrid"/>
        <w:tblW w:w="0" w:type="auto"/>
        <w:tblLook w:val="04A0" w:firstRow="1" w:lastRow="0" w:firstColumn="1" w:lastColumn="0" w:noHBand="0" w:noVBand="1"/>
      </w:tblPr>
      <w:tblGrid>
        <w:gridCol w:w="986"/>
        <w:gridCol w:w="986"/>
        <w:gridCol w:w="996"/>
        <w:gridCol w:w="1190"/>
        <w:gridCol w:w="984"/>
        <w:gridCol w:w="984"/>
        <w:gridCol w:w="984"/>
        <w:gridCol w:w="1461"/>
      </w:tblGrid>
      <w:tr w:rsidR="00755203" w:rsidRPr="00755203" w:rsidTr="003A11D3">
        <w:tc>
          <w:tcPr>
            <w:tcW w:w="98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Sample Name</w:t>
            </w:r>
            <w:r w:rsidRPr="00755203">
              <w:rPr>
                <w:rFonts w:ascii="Times New Roman" w:hAnsi="Times New Roman" w:cs="Times New Roman"/>
              </w:rPr>
              <w:tab/>
            </w:r>
          </w:p>
        </w:tc>
        <w:tc>
          <w:tcPr>
            <w:tcW w:w="98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Heat Flow (Q)</w:t>
            </w:r>
          </w:p>
        </w:tc>
        <w:tc>
          <w:tcPr>
            <w:tcW w:w="98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Surface Area of the Sample, A (m2)</w:t>
            </w:r>
          </w:p>
        </w:tc>
        <w:tc>
          <w:tcPr>
            <w:tcW w:w="98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Thickness of the Sample, t (m)</w:t>
            </w:r>
          </w:p>
        </w:tc>
        <w:tc>
          <w:tcPr>
            <w:tcW w:w="98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Tempo at the initial end, t1 (K)</w:t>
            </w:r>
          </w:p>
        </w:tc>
        <w:tc>
          <w:tcPr>
            <w:tcW w:w="98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Tempo at the final end, t2 (K)</w:t>
            </w:r>
          </w:p>
        </w:tc>
        <w:tc>
          <w:tcPr>
            <w:tcW w:w="98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 xml:space="preserve">Change in Tempo, </w:t>
            </w:r>
            <w:proofErr w:type="spellStart"/>
            <w:r w:rsidRPr="00755203">
              <w:rPr>
                <w:rFonts w:ascii="Times New Roman" w:hAnsi="Times New Roman" w:cs="Times New Roman"/>
              </w:rPr>
              <w:t>Dt</w:t>
            </w:r>
            <w:proofErr w:type="spellEnd"/>
            <w:r w:rsidRPr="00755203">
              <w:rPr>
                <w:rFonts w:ascii="Times New Roman" w:hAnsi="Times New Roman" w:cs="Times New Roman"/>
              </w:rPr>
              <w:t xml:space="preserve"> (K)</w:t>
            </w:r>
          </w:p>
        </w:tc>
        <w:tc>
          <w:tcPr>
            <w:tcW w:w="98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Thermal conductivity, λ (W/Km)</w:t>
            </w:r>
          </w:p>
        </w:tc>
      </w:tr>
      <w:tr w:rsidR="00755203" w:rsidRPr="00755203" w:rsidTr="003A11D3">
        <w:tc>
          <w:tcPr>
            <w:tcW w:w="98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A2</w:t>
            </w:r>
          </w:p>
        </w:tc>
        <w:tc>
          <w:tcPr>
            <w:tcW w:w="98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872</w:t>
            </w:r>
          </w:p>
        </w:tc>
        <w:tc>
          <w:tcPr>
            <w:tcW w:w="98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0.16</w:t>
            </w:r>
          </w:p>
        </w:tc>
        <w:tc>
          <w:tcPr>
            <w:tcW w:w="98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0.03</w:t>
            </w:r>
          </w:p>
        </w:tc>
        <w:tc>
          <w:tcPr>
            <w:tcW w:w="98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761.6</w:t>
            </w:r>
          </w:p>
        </w:tc>
        <w:tc>
          <w:tcPr>
            <w:tcW w:w="98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532.5</w:t>
            </w:r>
          </w:p>
        </w:tc>
        <w:tc>
          <w:tcPr>
            <w:tcW w:w="98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229.1</w:t>
            </w:r>
          </w:p>
        </w:tc>
        <w:tc>
          <w:tcPr>
            <w:tcW w:w="98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0.714</w:t>
            </w:r>
          </w:p>
        </w:tc>
      </w:tr>
      <w:tr w:rsidR="00755203" w:rsidRPr="00755203" w:rsidTr="003A11D3">
        <w:tc>
          <w:tcPr>
            <w:tcW w:w="98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B2</w:t>
            </w:r>
          </w:p>
        </w:tc>
        <w:tc>
          <w:tcPr>
            <w:tcW w:w="986"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872</w:t>
            </w:r>
          </w:p>
        </w:tc>
        <w:tc>
          <w:tcPr>
            <w:tcW w:w="985"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0.16</w:t>
            </w:r>
          </w:p>
        </w:tc>
        <w:tc>
          <w:tcPr>
            <w:tcW w:w="98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0.03</w:t>
            </w:r>
          </w:p>
        </w:tc>
        <w:tc>
          <w:tcPr>
            <w:tcW w:w="98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1281.2</w:t>
            </w:r>
          </w:p>
        </w:tc>
        <w:tc>
          <w:tcPr>
            <w:tcW w:w="98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97.3</w:t>
            </w:r>
          </w:p>
        </w:tc>
        <w:tc>
          <w:tcPr>
            <w:tcW w:w="98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1183.9</w:t>
            </w:r>
          </w:p>
        </w:tc>
        <w:tc>
          <w:tcPr>
            <w:tcW w:w="984" w:type="dxa"/>
          </w:tcPr>
          <w:p w:rsidR="00755203" w:rsidRPr="00755203" w:rsidRDefault="00755203" w:rsidP="00755203">
            <w:pPr>
              <w:rPr>
                <w:rFonts w:ascii="Times New Roman" w:hAnsi="Times New Roman" w:cs="Times New Roman"/>
              </w:rPr>
            </w:pPr>
            <w:r w:rsidRPr="00755203">
              <w:rPr>
                <w:rFonts w:ascii="Times New Roman" w:hAnsi="Times New Roman" w:cs="Times New Roman"/>
              </w:rPr>
              <w:t>0.138</w:t>
            </w:r>
          </w:p>
        </w:tc>
      </w:tr>
    </w:tbl>
    <w:p w:rsidR="00755203" w:rsidRPr="00755203" w:rsidRDefault="00755203" w:rsidP="00755203">
      <w:pPr>
        <w:spacing w:after="160" w:line="360" w:lineRule="auto"/>
        <w:jc w:val="both"/>
        <w:rPr>
          <w:rFonts w:ascii="Times New Roman" w:eastAsia="Times New Roman" w:hAnsi="Times New Roman" w:cs="Times New Roman"/>
          <w:kern w:val="2"/>
          <w:sz w:val="24"/>
          <w:szCs w:val="24"/>
          <w:lang w:eastAsia="en-GB"/>
          <w14:ligatures w14:val="standardContextual"/>
        </w:rPr>
      </w:pPr>
    </w:p>
    <w:p w:rsidR="00755203" w:rsidRPr="00755203" w:rsidRDefault="00755203" w:rsidP="00755203">
      <w:pPr>
        <w:spacing w:after="160" w:line="360" w:lineRule="auto"/>
        <w:jc w:val="both"/>
        <w:rPr>
          <w:rFonts w:ascii="Times New Roman" w:eastAsia="Times New Roman" w:hAnsi="Times New Roman" w:cs="Times New Roman"/>
          <w:kern w:val="2"/>
          <w:sz w:val="24"/>
          <w:szCs w:val="24"/>
          <w:lang w:val="en-GB" w:eastAsia="en-GB"/>
          <w14:ligatures w14:val="standardContextual"/>
        </w:rPr>
      </w:pPr>
      <w:r w:rsidRPr="00755203">
        <w:rPr>
          <w:rFonts w:ascii="Times New Roman" w:eastAsia="Times New Roman" w:hAnsi="Times New Roman" w:cs="Times New Roman"/>
          <w:kern w:val="2"/>
          <w:sz w:val="24"/>
          <w:szCs w:val="24"/>
          <w:lang w:eastAsia="en-GB"/>
          <w14:ligatures w14:val="standardContextual"/>
        </w:rPr>
        <w:t>Clay behaves as a good insulator due to its low thermal conductivity, which helps retain heat or cold. It has a high specific heat capacity, allowing it absorb and release heat slowly, which can regulate temperature fluctuations (Job, 2017). Thermal conductivity of the examined clay samples ranged from 0.138W/</w:t>
      </w:r>
      <w:proofErr w:type="spellStart"/>
      <w:r w:rsidRPr="00755203">
        <w:rPr>
          <w:rFonts w:ascii="Times New Roman" w:eastAsia="Times New Roman" w:hAnsi="Times New Roman" w:cs="Times New Roman"/>
          <w:kern w:val="2"/>
          <w:sz w:val="24"/>
          <w:szCs w:val="24"/>
          <w:lang w:eastAsia="en-GB"/>
          <w14:ligatures w14:val="standardContextual"/>
        </w:rPr>
        <w:t>mK</w:t>
      </w:r>
      <w:proofErr w:type="spellEnd"/>
      <w:r w:rsidRPr="00755203">
        <w:rPr>
          <w:rFonts w:ascii="Times New Roman" w:eastAsia="Times New Roman" w:hAnsi="Times New Roman" w:cs="Times New Roman"/>
          <w:kern w:val="2"/>
          <w:sz w:val="24"/>
          <w:szCs w:val="24"/>
          <w:lang w:eastAsia="en-GB"/>
          <w14:ligatures w14:val="standardContextual"/>
        </w:rPr>
        <w:t xml:space="preserve"> to 0.714W/</w:t>
      </w:r>
      <w:proofErr w:type="spellStart"/>
      <w:r w:rsidRPr="00755203">
        <w:rPr>
          <w:rFonts w:ascii="Times New Roman" w:eastAsia="Times New Roman" w:hAnsi="Times New Roman" w:cs="Times New Roman"/>
          <w:kern w:val="2"/>
          <w:sz w:val="24"/>
          <w:szCs w:val="24"/>
          <w:lang w:eastAsia="en-GB"/>
          <w14:ligatures w14:val="standardContextual"/>
        </w:rPr>
        <w:t>mK</w:t>
      </w:r>
      <w:proofErr w:type="spellEnd"/>
      <w:r w:rsidRPr="00755203">
        <w:rPr>
          <w:rFonts w:ascii="Times New Roman" w:eastAsia="Times New Roman" w:hAnsi="Times New Roman" w:cs="Times New Roman"/>
          <w:kern w:val="2"/>
          <w:sz w:val="24"/>
          <w:szCs w:val="24"/>
          <w:lang w:eastAsia="en-GB"/>
          <w14:ligatures w14:val="standardContextual"/>
        </w:rPr>
        <w:t xml:space="preserve"> and fell within the standard value of 0.01 – 1.1W/</w:t>
      </w:r>
      <w:proofErr w:type="spellStart"/>
      <w:r w:rsidRPr="00755203">
        <w:rPr>
          <w:rFonts w:ascii="Times New Roman" w:eastAsia="Times New Roman" w:hAnsi="Times New Roman" w:cs="Times New Roman"/>
          <w:kern w:val="2"/>
          <w:sz w:val="24"/>
          <w:szCs w:val="24"/>
          <w:lang w:eastAsia="en-GB"/>
          <w14:ligatures w14:val="standardContextual"/>
        </w:rPr>
        <w:t>mK</w:t>
      </w:r>
      <w:proofErr w:type="spellEnd"/>
      <w:r w:rsidRPr="00755203">
        <w:rPr>
          <w:rFonts w:ascii="Times New Roman" w:eastAsia="Times New Roman" w:hAnsi="Times New Roman" w:cs="Times New Roman"/>
          <w:kern w:val="2"/>
          <w:sz w:val="24"/>
          <w:szCs w:val="24"/>
          <w:lang w:eastAsia="en-GB"/>
          <w14:ligatures w14:val="standardContextual"/>
        </w:rPr>
        <w:t xml:space="preserve"> for fireclay refractory bricks (</w:t>
      </w:r>
      <w:proofErr w:type="spellStart"/>
      <w:r w:rsidRPr="00755203">
        <w:rPr>
          <w:rFonts w:ascii="Times New Roman" w:eastAsia="Times New Roman" w:hAnsi="Times New Roman" w:cs="Times New Roman"/>
          <w:kern w:val="2"/>
          <w:sz w:val="24"/>
          <w:szCs w:val="24"/>
          <w:lang w:eastAsia="en-GB"/>
          <w14:ligatures w14:val="standardContextual"/>
        </w:rPr>
        <w:t>Cengel</w:t>
      </w:r>
      <w:proofErr w:type="spellEnd"/>
      <w:r w:rsidRPr="00755203">
        <w:rPr>
          <w:rFonts w:ascii="Times New Roman" w:eastAsia="Times New Roman" w:hAnsi="Times New Roman" w:cs="Times New Roman"/>
          <w:kern w:val="2"/>
          <w:sz w:val="24"/>
          <w:szCs w:val="24"/>
          <w:lang w:eastAsia="en-GB"/>
          <w14:ligatures w14:val="standardContextual"/>
        </w:rPr>
        <w:t xml:space="preserve"> and </w:t>
      </w:r>
      <w:proofErr w:type="spellStart"/>
      <w:r w:rsidRPr="00755203">
        <w:rPr>
          <w:rFonts w:ascii="Times New Roman" w:eastAsia="Times New Roman" w:hAnsi="Times New Roman" w:cs="Times New Roman"/>
          <w:kern w:val="2"/>
          <w:sz w:val="24"/>
          <w:szCs w:val="24"/>
          <w:lang w:eastAsia="en-GB"/>
          <w14:ligatures w14:val="standardContextual"/>
        </w:rPr>
        <w:t>Ghajar</w:t>
      </w:r>
      <w:proofErr w:type="spellEnd"/>
      <w:r w:rsidRPr="00755203">
        <w:rPr>
          <w:rFonts w:ascii="Times New Roman" w:eastAsia="Times New Roman" w:hAnsi="Times New Roman" w:cs="Times New Roman"/>
          <w:kern w:val="2"/>
          <w:sz w:val="24"/>
          <w:szCs w:val="24"/>
          <w:lang w:eastAsia="en-GB"/>
          <w14:ligatures w14:val="standardContextual"/>
        </w:rPr>
        <w:t xml:space="preserve">, 2015). The thermal conductivity was </w:t>
      </w:r>
      <w:r w:rsidRPr="00755203">
        <w:rPr>
          <w:rFonts w:ascii="Times New Roman" w:eastAsia="Times New Roman" w:hAnsi="Times New Roman" w:cs="Times New Roman"/>
          <w:kern w:val="2"/>
          <w:sz w:val="24"/>
          <w:szCs w:val="24"/>
          <w:lang w:eastAsia="en-GB"/>
          <w14:ligatures w14:val="standardContextual"/>
        </w:rPr>
        <w:lastRenderedPageBreak/>
        <w:t>obtained as a result of the atomic and lattice vibration which is impeded via structural disorder using the steady state method. Temperature gradient determines the direction of heat flow.</w:t>
      </w:r>
    </w:p>
    <w:p w:rsidR="001A6771" w:rsidRDefault="00755203">
      <w:bookmarkStart w:id="0" w:name="_GoBack"/>
      <w:bookmarkEnd w:id="0"/>
    </w:p>
    <w:sectPr w:rsidR="001A6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203"/>
    <w:rsid w:val="00504AD8"/>
    <w:rsid w:val="00634BF3"/>
    <w:rsid w:val="0075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5203"/>
    <w:pPr>
      <w:spacing w:after="0" w:line="240" w:lineRule="auto"/>
    </w:pPr>
    <w:rPr>
      <w:rFonts w:eastAsia="Times New Roman"/>
      <w:kern w:val="2"/>
      <w:sz w:val="24"/>
      <w:szCs w:val="24"/>
      <w:lang w:val="en-GB" w:eastAsia="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5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5203"/>
    <w:pPr>
      <w:spacing w:after="0" w:line="240" w:lineRule="auto"/>
    </w:pPr>
    <w:rPr>
      <w:rFonts w:eastAsia="Times New Roman"/>
      <w:kern w:val="2"/>
      <w:sz w:val="24"/>
      <w:szCs w:val="24"/>
      <w:lang w:val="en-GB" w:eastAsia="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5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1754</Words>
  <Characters>10004</Characters>
  <Application>Microsoft Office Word</Application>
  <DocSecurity>0</DocSecurity>
  <Lines>83</Lines>
  <Paragraphs>23</Paragraphs>
  <ScaleCrop>false</ScaleCrop>
  <Company/>
  <LinksUpToDate>false</LinksUpToDate>
  <CharactersWithSpaces>11735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2025-07-29T08:37:00Z</dcterms:created>
  <dcterms:modified xsi:type="dcterms:W3CDTF">2025-07-29T08:46:00Z</dcterms:modified>
</cp:coreProperties>
</file>