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8A45F5">
      <w:pPr>
        <w:spacing w:line="480" w:lineRule="auto"/>
        <w:jc w:val="center"/>
        <w:rPr>
          <w:rFonts w:ascii="Times New Roman" w:hAnsi="Times New Roman" w:cs="Times New Roman"/>
          <w:sz w:val="28"/>
          <w:szCs w:val="28"/>
        </w:rPr>
      </w:pPr>
      <w:r>
        <w:rPr>
          <w:rFonts w:ascii="Times New Roman" w:hAnsi="Times New Roman" w:cs="Times New Roman"/>
          <w:sz w:val="28"/>
          <w:szCs w:val="28"/>
        </w:rPr>
        <w:t>CHAPTER FOUR</w:t>
      </w:r>
    </w:p>
    <w:p w14:paraId="44451F8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4.0 Discussion and Conclusion </w:t>
      </w:r>
    </w:p>
    <w:p w14:paraId="346CC1E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Discussion </w:t>
      </w:r>
    </w:p>
    <w:p w14:paraId="24DC204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growth observation (Table 3.1) revealed that only the cereal field 1 sample showed growth of Bacillus cereus colonies after 24 hours, with more extensive growth at 48 hours. No growth was observed in vegetable field and cereal field 2. This is consistent with prior research indicating that the prevalence of B. cereus in soil varies significantly depending on field type, soil composition, and prior agricultural practices (Liu et al., 2023). Kim et al. (2023) reported higher B. cereus recovery from cereal crop fields compSared to vegetable fields, likely due to spore persistence and enrichment through cereal debris. The absence of growth in some samples aligns with the heterogeneity of B. cereus distribution in soils (Choi et al., 2024). The morphological and biochemical characteristics observed (Table 3.2) including large rough colonies, Gram-positive rods, catalase positivity, and endospore formation were consistent with standard profiles of Bacillus cereus described in recent literature (Tran et al., 2024; Logan &amp; De Vos, 2023). The presence of undulated margins and creamy colonies matches the descriptions by Guinebretière et al. (2023), further confirming the identity of B. cereus. The confirmation of spore formation is particularly relevant, as spores contribute to environmental persistence and resilience (Dietrich et al., 2023). </w:t>
      </w:r>
    </w:p>
    <w:p w14:paraId="7900469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results of this study demonstrate that administration of Bacillus cereus toxin to rats induces a dose-dependent toxicological response, with clinical signs and pathological findings becoming more severe as the concentration of toxin increases. This pattern was clearly observable across the different experimental groups (Tables 3.4 to 3.7). The observations align closely with prior studies, which have characterized </w:t>
      </w:r>
      <w:r>
        <w:rPr>
          <w:rFonts w:ascii="Times New Roman" w:hAnsi="Times New Roman" w:cs="Times New Roman"/>
          <w:i/>
          <w:sz w:val="28"/>
          <w:szCs w:val="28"/>
        </w:rPr>
        <w:t>B. cereus</w:t>
      </w:r>
      <w:r>
        <w:rPr>
          <w:rFonts w:ascii="Times New Roman" w:hAnsi="Times New Roman" w:cs="Times New Roman"/>
          <w:sz w:val="28"/>
          <w:szCs w:val="28"/>
        </w:rPr>
        <w:t xml:space="preserve"> toxins as potent enterotoxins and cytotoxins capable of causing significant systemic effects in mammalian models (Dietrich et al., 2023; Mohan et al., 2023).</w:t>
      </w:r>
    </w:p>
    <w:p w14:paraId="0BFB5D7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In the group exposed to 100% toxin concentration (Table 3.4), clinical signs of toxicity appeared rapidly, with significant changes noted as early as the second day of observation. The rats exhibited considerable weight loss (from 120 g to 105 g), progressive weakness, and marked reduction in locomotor activity and feeding behavior. By day 3, accelerated breathing and weakness were prominent, consistent with findings from Singh et al. (2024), who reported that high-dose </w:t>
      </w:r>
      <w:r>
        <w:rPr>
          <w:rFonts w:ascii="Times New Roman" w:hAnsi="Times New Roman" w:cs="Times New Roman"/>
          <w:i/>
          <w:iCs/>
          <w:sz w:val="28"/>
          <w:szCs w:val="28"/>
        </w:rPr>
        <w:t>B. cereus</w:t>
      </w:r>
      <w:r>
        <w:rPr>
          <w:rFonts w:ascii="Times New Roman" w:hAnsi="Times New Roman" w:cs="Times New Roman"/>
          <w:sz w:val="28"/>
          <w:szCs w:val="28"/>
        </w:rPr>
        <w:t xml:space="preserve"> toxin exposure can induce respiratory distress due to systemic inflammatory responses. Additionally, skin changes, including severe itching and barbering, were evident by day 5. This is consistent with the work of Elhariry et al. (2023), who found that skin irritation and behavioral changes are reliable indicators of systemic distress in rodents exposed to bacterial toxins. In the 80% toxin group (Table 3.5), the pattern of toxicity was similar but slightly delayed and less severe compared to the 100% group. While rats maintained their body weight more consistently through day 5, they still displayed behavioral changes such as body itching, reduced locomotion, and decreased feeding starting from day 3. Symptoms of respiratory distress, including accelerated breathing and palpitations, became evident by day 4–5, again mirroring trends reported by Chakraborty et al. (2023), who observed that mid-level doses of </w:t>
      </w:r>
      <w:r>
        <w:rPr>
          <w:rFonts w:ascii="Times New Roman" w:hAnsi="Times New Roman" w:cs="Times New Roman"/>
          <w:i/>
          <w:iCs/>
          <w:sz w:val="28"/>
          <w:szCs w:val="28"/>
        </w:rPr>
        <w:t>B. cereus</w:t>
      </w:r>
      <w:r>
        <w:rPr>
          <w:rFonts w:ascii="Times New Roman" w:hAnsi="Times New Roman" w:cs="Times New Roman"/>
          <w:sz w:val="28"/>
          <w:szCs w:val="28"/>
        </w:rPr>
        <w:t xml:space="preserve"> enterotoxin can cause subacute toxicity with progressive worsening over time. In contrast, rats exposed to 60% toxin concentration (Table 3.6) exhibited a delayed onset of symptoms. Rats remained largely normal through day 3, with significant symptoms such as weakness, reduced feeding, accelerated breathing, and itching emerging primarily on days 4 and 5. These results align with the findings of Okshevsky et al. (2023), who documented that lower but sustained exposure to</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toxins can produce cumulative effects, especially in the respiratory and integumentary systems. Notably, even though the intensity of clinical signs was lower than in higher-dose groups, the presence of palpitations, red eye, and watery excretions indicates that sub-lethal toxin exposure can still significantly disrupt physiological functions.</w:t>
      </w:r>
    </w:p>
    <w:p w14:paraId="24294B2E">
      <w:pPr>
        <w:spacing w:line="480" w:lineRule="auto"/>
        <w:jc w:val="both"/>
        <w:rPr>
          <w:rFonts w:ascii="Times New Roman" w:hAnsi="Times New Roman" w:cs="Times New Roman"/>
          <w:sz w:val="28"/>
          <w:szCs w:val="28"/>
        </w:rPr>
      </w:pPr>
      <w:r>
        <w:rPr>
          <w:rFonts w:ascii="Times New Roman" w:hAnsi="Times New Roman" w:cs="Times New Roman"/>
          <w:sz w:val="28"/>
          <w:szCs w:val="28"/>
        </w:rPr>
        <w:t>The group exposed to 50% toxin concentration (Table 3.7) exhibited the mildest response, with most rats maintaining normal behavior through day 3. Only by day 4–5 did signs of weakness, reduced feeding, skin itching, and palpitations become apparent. Importantly, these observations suggest that even at relatively low concentrations,</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toxin retains a capacity to induce subtle but measurable toxic effects, reinforcing warnings from EFSA BIOHAZ Panel (2023) about the risks posed by low-dose environmental and foodborne contamination with this pathogen. The pattern of weight changes also supports the dose-dependent toxicity hypothesis. Rats in the 100% group lost approximately 15 g over five days, compared to minimal or negligible weight changes in the 50% group. Similarly, locomotor reduction and feeding aversion were most profound in the higher-dose groups, further substantiating the correlation between dose and severity of clinical outcomes. A visual summary of these trends can be derived from the combined analysis of Tables 3.4 through 3.7. The onset of clinical symptoms was earliest in the 100% and 80% groups (day 2), while symptoms in the 60% and 50% groups were delayed until days 4–5. Furthermore, the severity of respiratory distress, skin abnormalities, and feeding reduction was proportional to toxin concentration. Such findings are consistent with Tran et al. (2024), who emphasized that the biological activity of </w:t>
      </w:r>
      <w:r>
        <w:rPr>
          <w:rFonts w:ascii="Times New Roman" w:hAnsi="Times New Roman" w:cs="Times New Roman"/>
          <w:i/>
          <w:iCs/>
          <w:sz w:val="28"/>
          <w:szCs w:val="28"/>
        </w:rPr>
        <w:t>B. cereus</w:t>
      </w:r>
      <w:r>
        <w:rPr>
          <w:rFonts w:ascii="Times New Roman" w:hAnsi="Times New Roman" w:cs="Times New Roman"/>
          <w:sz w:val="28"/>
          <w:szCs w:val="28"/>
        </w:rPr>
        <w:t xml:space="preserve"> toxins in vivo is strongly dose-dependent, with systemic inflammatory pathways and epithelial damage being the primary drivers of clinical manifestations. </w:t>
      </w:r>
    </w:p>
    <w:p w14:paraId="4F3920A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Importantly, these behavioral and physiological observations correlated well with the post-mortem pathological findings reported in Table 3.8. Rats in the higher-dose groups (Red and Black, corresponding to 100% and 80% toxin) exhibited significant organ inflammation and discoloration, particularly in the liver, heart, kidneys, and intestines. These findings are congruent with earlier reports by Mohan et al. (2023), who demonstrated that </w:t>
      </w:r>
      <w:r>
        <w:rPr>
          <w:rFonts w:ascii="Times New Roman" w:hAnsi="Times New Roman" w:cs="Times New Roman"/>
          <w:i/>
          <w:iCs/>
          <w:sz w:val="28"/>
          <w:szCs w:val="28"/>
        </w:rPr>
        <w:t xml:space="preserve">B. cereus </w:t>
      </w:r>
      <w:r>
        <w:rPr>
          <w:rFonts w:ascii="Times New Roman" w:hAnsi="Times New Roman" w:cs="Times New Roman"/>
          <w:sz w:val="28"/>
          <w:szCs w:val="28"/>
        </w:rPr>
        <w:t xml:space="preserve">toxins can induce multi-organ damage through direct cytotoxic effects and systemic inflammatory responses. In contrast, rats in the lower-dose groups (Green and Blue, corresponding to 60% and 50%) showed milder but still notable changes in organ appearance, further reinforcing the dose-response relationship. Overall, the results of this study clearly demonstrate that </w:t>
      </w:r>
      <w:r>
        <w:rPr>
          <w:rFonts w:ascii="Times New Roman" w:hAnsi="Times New Roman" w:cs="Times New Roman"/>
          <w:i/>
          <w:iCs/>
          <w:sz w:val="28"/>
          <w:szCs w:val="28"/>
        </w:rPr>
        <w:t>Bacillus cereus</w:t>
      </w:r>
      <w:r>
        <w:rPr>
          <w:rFonts w:ascii="Times New Roman" w:hAnsi="Times New Roman" w:cs="Times New Roman"/>
          <w:sz w:val="28"/>
          <w:szCs w:val="28"/>
        </w:rPr>
        <w:t xml:space="preserve"> toxin induces progressive systemic toxicity in a dose-dependent manner. The clinical signs observed including weight loss, locomotor impairment, respiratory distress, skin abnormalities, and organ pathology are consistent with the known pathophysiological effects of</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enterotoxins and cytotoxins as documented in prior research (Dietrich et al., 2023; Singh et al., 2024; Chakraborty et al., 2023). These findings underscore the importance of rigorous control of </w:t>
      </w:r>
      <w:r>
        <w:rPr>
          <w:rFonts w:ascii="Times New Roman" w:hAnsi="Times New Roman" w:cs="Times New Roman"/>
          <w:i/>
          <w:iCs/>
          <w:sz w:val="28"/>
          <w:szCs w:val="28"/>
        </w:rPr>
        <w:t>B. cereus</w:t>
      </w:r>
      <w:r>
        <w:rPr>
          <w:rFonts w:ascii="Times New Roman" w:hAnsi="Times New Roman" w:cs="Times New Roman"/>
          <w:sz w:val="28"/>
          <w:szCs w:val="28"/>
        </w:rPr>
        <w:t xml:space="preserve"> contamination in food and environmental sources, as even low-level exposure can result in sub-acute toxicity and potentially harmful cumulative effects (Okshevsky et al., 2023; EFSA BIOHAZ Panel, 2023).</w:t>
      </w:r>
    </w:p>
    <w:p w14:paraId="7117A3A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Conclusion </w:t>
      </w:r>
    </w:p>
    <w:p w14:paraId="4F56C935">
      <w:pPr>
        <w:spacing w:line="480" w:lineRule="auto"/>
        <w:jc w:val="both"/>
        <w:rPr>
          <w:rFonts w:ascii="Times New Roman" w:hAnsi="Times New Roman" w:cs="Times New Roman"/>
          <w:sz w:val="28"/>
          <w:szCs w:val="28"/>
        </w:rPr>
      </w:pPr>
      <w:r>
        <w:rPr>
          <w:rFonts w:ascii="Times New Roman" w:hAnsi="Times New Roman" w:cs="Times New Roman"/>
          <w:i/>
          <w:iCs/>
          <w:sz w:val="28"/>
          <w:szCs w:val="28"/>
        </w:rPr>
        <w:t>Bacillus cereus</w:t>
      </w:r>
      <w:r>
        <w:rPr>
          <w:rFonts w:ascii="Times New Roman" w:hAnsi="Times New Roman" w:cs="Times New Roman"/>
          <w:sz w:val="28"/>
          <w:szCs w:val="28"/>
        </w:rPr>
        <w:t xml:space="preserve"> was isolated from cereal field soil and confirmed through distinct morphological and biochemical characteristics. Exposure to its toxin in rats showed clear dose-dependent effects, including weakness, reduced activity, and organ inflammation. These findings underscore the organism’s pathogenic potential and the need for proper monitoring in food and agricultural environments.</w:t>
      </w:r>
    </w:p>
    <w:p w14:paraId="5634F221">
      <w:pPr>
        <w:spacing w:line="480" w:lineRule="auto"/>
        <w:jc w:val="both"/>
        <w:rPr>
          <w:rFonts w:ascii="Times New Roman" w:hAnsi="Times New Roman" w:cs="Times New Roman"/>
          <w:sz w:val="28"/>
          <w:szCs w:val="28"/>
        </w:rPr>
      </w:pPr>
    </w:p>
    <w:p w14:paraId="24544669">
      <w:bookmarkStart w:id="0" w:name="_GoBack"/>
      <w:bookmarkEnd w:id="0"/>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C854A5"/>
    <w:rsid w:val="10C85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2025-07-27T00:33:00Z</dcterms:created>
  <dc:creator>Badmos Nurudeen Olanrewaju</dc:creator>
  <cp:lastModifiedBy>Badmos Nurudeen Olanrewaju</cp:lastModifiedBy>
  <dcterms:modified xsi:type="dcterms:W3CDTF">2025-07-27T00:33:36Z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CDC7D873FB51442EB8A8E2E69B47E54A_11</vt:lpwstr>
  </property>
</Properties>
</file>