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C0" w:rsidRPr="007C7383" w:rsidRDefault="009F2AC0" w:rsidP="009F2AC0">
      <w:pPr>
        <w:pStyle w:val="Heading2"/>
        <w:spacing w:before="0" w:beforeAutospacing="0" w:after="0" w:afterAutospacing="0" w:line="360" w:lineRule="auto"/>
        <w:jc w:val="center"/>
        <w:rPr>
          <w:sz w:val="24"/>
          <w:szCs w:val="24"/>
        </w:rPr>
      </w:pPr>
      <w:r w:rsidRPr="007C7383">
        <w:rPr>
          <w:rStyle w:val="Strong"/>
          <w:b/>
          <w:bCs/>
          <w:sz w:val="24"/>
          <w:szCs w:val="24"/>
        </w:rPr>
        <w:t>CHAPTER FOUR</w:t>
      </w:r>
    </w:p>
    <w:p w:rsidR="009F2AC0" w:rsidRPr="007C7383" w:rsidRDefault="009F2AC0" w:rsidP="009F2AC0">
      <w:pPr>
        <w:pStyle w:val="Heading2"/>
        <w:spacing w:before="0" w:beforeAutospacing="0" w:after="0" w:afterAutospacing="0" w:line="360" w:lineRule="auto"/>
        <w:jc w:val="center"/>
        <w:rPr>
          <w:sz w:val="24"/>
          <w:szCs w:val="24"/>
        </w:rPr>
      </w:pPr>
      <w:r w:rsidRPr="007C7383">
        <w:rPr>
          <w:rStyle w:val="Strong"/>
          <w:b/>
          <w:bCs/>
          <w:sz w:val="24"/>
          <w:szCs w:val="24"/>
        </w:rPr>
        <w:t>DATA PRESENTATION AND ANALYSIS</w:t>
      </w: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 xml:space="preserve">4.1 </w:t>
      </w:r>
      <w:r>
        <w:rPr>
          <w:rStyle w:val="Strong"/>
          <w:b/>
          <w:bCs/>
          <w:sz w:val="24"/>
          <w:szCs w:val="24"/>
        </w:rPr>
        <w:tab/>
      </w:r>
      <w:r w:rsidRPr="007C7383">
        <w:rPr>
          <w:rStyle w:val="Strong"/>
          <w:b/>
          <w:bCs/>
          <w:sz w:val="24"/>
          <w:szCs w:val="24"/>
        </w:rPr>
        <w:t>Introduction</w:t>
      </w:r>
    </w:p>
    <w:p w:rsidR="009F2AC0" w:rsidRPr="007C7383" w:rsidRDefault="009F2AC0" w:rsidP="009F2AC0">
      <w:pPr>
        <w:pStyle w:val="NormalWeb"/>
        <w:spacing w:before="0" w:beforeAutospacing="0" w:after="0" w:afterAutospacing="0" w:line="360" w:lineRule="auto"/>
        <w:ind w:firstLine="720"/>
        <w:jc w:val="both"/>
      </w:pPr>
      <w:r w:rsidRPr="007C7383">
        <w:t>This chapter presents the data obtained from the field survey and provides analyses based on the research objectives. The data were analyzed using cross-tabulation to understand relationships between variables. Results are presented in tables, followed by interpretations that highlight trends and implications. This method facilitates the identification of patterns in how land policies influence real estate development in the Study Area.</w:t>
      </w:r>
    </w:p>
    <w:p w:rsidR="009F2AC0" w:rsidRPr="007C7383" w:rsidRDefault="009F2AC0" w:rsidP="009F2AC0">
      <w:pPr>
        <w:pStyle w:val="Heading2"/>
        <w:spacing w:before="0" w:beforeAutospacing="0" w:after="0" w:afterAutospacing="0" w:line="360" w:lineRule="auto"/>
        <w:rPr>
          <w:i/>
          <w:sz w:val="24"/>
          <w:szCs w:val="24"/>
        </w:rPr>
      </w:pPr>
      <w:r w:rsidRPr="007C7383">
        <w:rPr>
          <w:rStyle w:val="Emphasis"/>
          <w:i w:val="0"/>
          <w:sz w:val="24"/>
          <w:szCs w:val="24"/>
        </w:rPr>
        <w:t>4.2</w:t>
      </w:r>
      <w:r w:rsidRPr="007C7383">
        <w:rPr>
          <w:rStyle w:val="Emphasis"/>
          <w:i w:val="0"/>
          <w:sz w:val="24"/>
          <w:szCs w:val="24"/>
        </w:rPr>
        <w:tab/>
        <w:t xml:space="preserve">Existing land policies governing land acquisition and development in </w:t>
      </w:r>
      <w:r>
        <w:rPr>
          <w:rStyle w:val="Emphasis"/>
          <w:i w:val="0"/>
          <w:sz w:val="24"/>
          <w:szCs w:val="24"/>
        </w:rPr>
        <w:tab/>
      </w:r>
      <w:r w:rsidRPr="007C7383">
        <w:rPr>
          <w:rStyle w:val="Emphasis"/>
          <w:i w:val="0"/>
          <w:sz w:val="24"/>
          <w:szCs w:val="24"/>
        </w:rPr>
        <w:t>Ilorin, with specific reference to the Alagbon area</w:t>
      </w: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4.2.1</w:t>
      </w:r>
      <w:r w:rsidRPr="007C7383">
        <w:rPr>
          <w:rStyle w:val="Strong"/>
          <w:b/>
          <w:bCs/>
          <w:sz w:val="24"/>
          <w:szCs w:val="24"/>
        </w:rPr>
        <w:tab/>
        <w:t>Awareness of Land Policies by Occupation</w:t>
      </w:r>
    </w:p>
    <w:p w:rsidR="009F2AC0"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 data in Table 4.1 reveals that a significant proportion of respondents in Alagbon are aware of existing land policies, though awareness levels vary by occupation. Among civil servants, 73.3% reported being aware of land policies, while only 26.7% indicated a lack of awareness. Similarly, a high awareness level of 83.3% was recorded among private developers, suggesting that professionals directly engaged in property development are more familiar with land-related regulations. In contrast, only 60% of landowners were aware of land policies, while 40% were not. This shows a moderate understanding among those who hold land assets but may not be fully engaged in formal development processes. The lowest level of awareness was observed among tenants, with only 33.3% aware and 66.7% unaware of land policies, reflecting limited exposure or perceived irrelevance of such policies to their status.</w:t>
      </w:r>
    </w:p>
    <w:p w:rsidR="009F2AC0" w:rsidRPr="007C7383"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This distribution highlights an occupational divide in policy awareness, which is critical for understanding how land policy is internalized across different societal groups. The high percentage of informed developers and civil servants implies that individuals directly involved in formal procedures or governance are more exposed to land regulations. On the other hand, the lower awareness among tenants and landowners suggests that access to accurate information about land policies is uneven, and this could limit compliance, promote informal transactions, or lead to conflicts. These findings justify the need for targeted sensitization programs and simplified communication strategies that can reach all land stakeholders regardless of their socio-economic or professional status.</w:t>
      </w: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Table 4.1: Awareness of Land Policies by Occupation</w:t>
      </w:r>
    </w:p>
    <w:tbl>
      <w:tblPr>
        <w:tblStyle w:val="TableGrid"/>
        <w:tblW w:w="0" w:type="auto"/>
        <w:tblLook w:val="04A0"/>
      </w:tblPr>
      <w:tblGrid>
        <w:gridCol w:w="2394"/>
        <w:gridCol w:w="2394"/>
        <w:gridCol w:w="2394"/>
        <w:gridCol w:w="2394"/>
      </w:tblGrid>
      <w:tr w:rsidR="009F2AC0" w:rsidRPr="007C7383" w:rsidTr="00301C61">
        <w:tc>
          <w:tcPr>
            <w:tcW w:w="2394"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lastRenderedPageBreak/>
              <w:t>Occupation</w:t>
            </w:r>
          </w:p>
        </w:tc>
        <w:tc>
          <w:tcPr>
            <w:tcW w:w="2394"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Aware of Land Policy</w:t>
            </w:r>
          </w:p>
        </w:tc>
        <w:tc>
          <w:tcPr>
            <w:tcW w:w="2394"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Not Aware</w:t>
            </w:r>
          </w:p>
        </w:tc>
        <w:tc>
          <w:tcPr>
            <w:tcW w:w="2394"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Total</w:t>
            </w:r>
          </w:p>
        </w:tc>
      </w:tr>
      <w:tr w:rsidR="009F2AC0" w:rsidRPr="007C7383" w:rsidTr="00301C61">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Civil Servants</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22</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8</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Private Developers</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5</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Landowners</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18</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12</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Tenants</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10</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75</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45</w:t>
            </w:r>
          </w:p>
        </w:tc>
        <w:tc>
          <w:tcPr>
            <w:tcW w:w="2394"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r>
    </w:tbl>
    <w:p w:rsidR="009F2AC0"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4.2.2:</w:t>
      </w:r>
      <w:r w:rsidRPr="007C7383">
        <w:rPr>
          <w:rStyle w:val="Strong"/>
          <w:b/>
          <w:bCs/>
          <w:sz w:val="24"/>
          <w:szCs w:val="24"/>
        </w:rPr>
        <w:tab/>
        <w:t>Sources of Information on Land Policy</w:t>
      </w:r>
    </w:p>
    <w:p w:rsidR="009F2AC0" w:rsidRPr="007C7383"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data presented in Table 4.2 shows that the majority of respondents (37.5%) identified </w:t>
      </w:r>
      <w:r w:rsidRPr="007C7383">
        <w:rPr>
          <w:rFonts w:ascii="Times New Roman" w:eastAsia="Times New Roman" w:hAnsi="Times New Roman" w:cs="Times New Roman"/>
          <w:bCs/>
          <w:sz w:val="24"/>
          <w:szCs w:val="24"/>
        </w:rPr>
        <w:t>government agencies</w:t>
      </w:r>
      <w:r w:rsidRPr="007C7383">
        <w:rPr>
          <w:rFonts w:ascii="Times New Roman" w:eastAsia="Times New Roman" w:hAnsi="Times New Roman" w:cs="Times New Roman"/>
          <w:sz w:val="24"/>
          <w:szCs w:val="24"/>
        </w:rPr>
        <w:t xml:space="preserve"> as their primary source of information on land policy. This indicates a significant reliance on official institutions for guidance, updates, and interpretation of land regulations in the Alagbon area. </w:t>
      </w:r>
      <w:r w:rsidRPr="007C7383">
        <w:rPr>
          <w:rFonts w:ascii="Times New Roman" w:eastAsia="Times New Roman" w:hAnsi="Times New Roman" w:cs="Times New Roman"/>
          <w:bCs/>
          <w:sz w:val="24"/>
          <w:szCs w:val="24"/>
        </w:rPr>
        <w:t>Developers’ associations</w:t>
      </w:r>
      <w:r w:rsidRPr="007C7383">
        <w:rPr>
          <w:rFonts w:ascii="Times New Roman" w:eastAsia="Times New Roman" w:hAnsi="Times New Roman" w:cs="Times New Roman"/>
          <w:sz w:val="24"/>
          <w:szCs w:val="24"/>
        </w:rPr>
        <w:t xml:space="preserve"> follow closely, accounting for 25.0% of the responses, suggesting that professional networks and industry-based platforms also play a substantial role in disseminating policy-related information. </w:t>
      </w:r>
      <w:r w:rsidRPr="007C7383">
        <w:rPr>
          <w:rFonts w:ascii="Times New Roman" w:eastAsia="Times New Roman" w:hAnsi="Times New Roman" w:cs="Times New Roman"/>
          <w:bCs/>
          <w:sz w:val="24"/>
          <w:szCs w:val="24"/>
        </w:rPr>
        <w:t>Informal networks</w:t>
      </w:r>
      <w:r w:rsidRPr="007C7383">
        <w:rPr>
          <w:rFonts w:ascii="Times New Roman" w:eastAsia="Times New Roman" w:hAnsi="Times New Roman" w:cs="Times New Roman"/>
          <w:sz w:val="24"/>
          <w:szCs w:val="24"/>
        </w:rPr>
        <w:t xml:space="preserve">, such as friends, family, and community leaders, contributed 20.8% to the information flow, reflecting the importance of non-institutional channels in shaping local understanding of land issues. Meanwhile, </w:t>
      </w:r>
      <w:r w:rsidRPr="007C7383">
        <w:rPr>
          <w:rFonts w:ascii="Times New Roman" w:eastAsia="Times New Roman" w:hAnsi="Times New Roman" w:cs="Times New Roman"/>
          <w:bCs/>
          <w:sz w:val="24"/>
          <w:szCs w:val="24"/>
        </w:rPr>
        <w:t>legal practitioners</w:t>
      </w:r>
      <w:r w:rsidRPr="007C7383">
        <w:rPr>
          <w:rFonts w:ascii="Times New Roman" w:eastAsia="Times New Roman" w:hAnsi="Times New Roman" w:cs="Times New Roman"/>
          <w:sz w:val="24"/>
          <w:szCs w:val="24"/>
        </w:rPr>
        <w:t xml:space="preserve"> accounted for 16.7%, indicating that a smaller proportion of respondents rely on formal legal consultation, possibly due to associated costs or limited access.</w:t>
      </w:r>
    </w:p>
    <w:p w:rsidR="009F2AC0" w:rsidRPr="007C7383" w:rsidRDefault="009F2AC0" w:rsidP="009F2AC0">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These findings reveal the multi-channel nature of land policy awareness in the area, with a noticeable tilt towards formal institutions and organized groups. The relatively high percentage of reliance on government agencies and developers' associations implies a reasonable level of trust in structured and authoritative information sources. However, the notable proportion of informal networks also emphasizes the need for more inclusive communication strategies that reach beyond formal stakeholders. Ensuring that accurate and clear land policy information circulates through both formal and informal means will enhance compliance, reduce misinformation, and improve decision-making among residents, developers, and landowners alike.</w:t>
      </w: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Table 4.2: Sources of Information on Land Policy</w:t>
      </w:r>
    </w:p>
    <w:tbl>
      <w:tblPr>
        <w:tblStyle w:val="TableGrid"/>
        <w:tblW w:w="0" w:type="auto"/>
        <w:tblLook w:val="04A0"/>
      </w:tblPr>
      <w:tblGrid>
        <w:gridCol w:w="3438"/>
        <w:gridCol w:w="2340"/>
        <w:gridCol w:w="3150"/>
      </w:tblGrid>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Source of Information</w:t>
            </w:r>
          </w:p>
        </w:tc>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Frequency</w:t>
            </w:r>
          </w:p>
        </w:tc>
        <w:tc>
          <w:tcPr>
            <w:tcW w:w="315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Percentage (%)</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Government Agencies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45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37.5</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lastRenderedPageBreak/>
              <w:t>Legal Practitioners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16.7</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Developers’ Associations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25.0</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Informal Networks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20.8</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100.0</w:t>
            </w:r>
          </w:p>
        </w:tc>
      </w:tr>
    </w:tbl>
    <w:p w:rsidR="009F2AC0" w:rsidRPr="007C7383"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4.2.3</w:t>
      </w:r>
      <w:r w:rsidRPr="007C7383">
        <w:rPr>
          <w:rStyle w:val="Strong"/>
          <w:b/>
          <w:bCs/>
          <w:sz w:val="24"/>
          <w:szCs w:val="24"/>
        </w:rPr>
        <w:tab/>
        <w:t>Respondents’ Rating of Policy Clarity</w:t>
      </w:r>
    </w:p>
    <w:p w:rsidR="009F2AC0"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data in Table 4.3 reveals varying levels of understanding of land policy clarity among respondents in the Alagbon area of Ilorin. A total of 33.3% of respondents rated the policy as “Somewhat Clear,” indicating that while they have a basic understanding of the content or purpose of land policies, there may still be ambiguities in interpretation or application. However, a significant 29.2% described the policies as “Not Clear,” while another 20.8% found them “Confusing.” Combined, these two groups make up </w:t>
      </w:r>
      <w:r w:rsidRPr="007C7383">
        <w:rPr>
          <w:rFonts w:ascii="Times New Roman" w:eastAsia="Times New Roman" w:hAnsi="Times New Roman" w:cs="Times New Roman"/>
          <w:bCs/>
          <w:sz w:val="24"/>
          <w:szCs w:val="24"/>
        </w:rPr>
        <w:t>50%</w:t>
      </w:r>
      <w:r w:rsidRPr="007C7383">
        <w:rPr>
          <w:rFonts w:ascii="Times New Roman" w:eastAsia="Times New Roman" w:hAnsi="Times New Roman" w:cs="Times New Roman"/>
          <w:sz w:val="24"/>
          <w:szCs w:val="24"/>
        </w:rPr>
        <w:t xml:space="preserve"> of the respondents, showing that half of the sampled population struggles with comprehending the current land policies. Only a small proportion (16.7%) believed the policies are “Very Clear,” which suggests that the language, accessibility, or dissemination of the policies might be inadequate.</w:t>
      </w:r>
    </w:p>
    <w:p w:rsidR="009F2AC0" w:rsidRPr="007C7383"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These findings justify the concern that a lack of clarity in land policy contributes to irregularities in compliance and enforcement. When land policies are not clearly communicated or understood by stakeholders, particularly developers and landowners, it creates room for misinterpretation, conflict, and procedural errors. The fact that only a minority finds the policy very clear implies an urgent need for simplified, user-friendly policy documentation and increased stakeholder engagement through awareness campaigns. Improving policy clarity is crucial to ensuring transparency, encouraging compliance, and promoting orderly real estate development in the area.</w:t>
      </w: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Table 4.3: Respondents’ Rating of Policy Clarity</w:t>
      </w:r>
    </w:p>
    <w:tbl>
      <w:tblPr>
        <w:tblStyle w:val="TableGrid"/>
        <w:tblW w:w="0" w:type="auto"/>
        <w:tblLook w:val="04A0"/>
      </w:tblPr>
      <w:tblGrid>
        <w:gridCol w:w="3438"/>
        <w:gridCol w:w="2340"/>
        <w:gridCol w:w="3150"/>
      </w:tblGrid>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Rating of Policy Clarity</w:t>
            </w:r>
          </w:p>
        </w:tc>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Frequency</w:t>
            </w:r>
          </w:p>
        </w:tc>
        <w:tc>
          <w:tcPr>
            <w:tcW w:w="315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Percentage (%)</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Very Clear</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16.7</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Somewhat Clear</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40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33.3</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Not Clear</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29.2</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Confusing</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20.8</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100.0</w:t>
            </w:r>
          </w:p>
        </w:tc>
      </w:tr>
    </w:tbl>
    <w:p w:rsidR="009F2AC0" w:rsidRDefault="009F2AC0" w:rsidP="009F2AC0">
      <w:pPr>
        <w:pStyle w:val="Heading2"/>
        <w:spacing w:before="0" w:beforeAutospacing="0" w:after="0" w:afterAutospacing="0" w:line="360" w:lineRule="auto"/>
        <w:rPr>
          <w:rStyle w:val="Emphasis"/>
          <w:i w:val="0"/>
          <w:sz w:val="24"/>
          <w:szCs w:val="24"/>
        </w:rPr>
      </w:pPr>
    </w:p>
    <w:p w:rsidR="009F2AC0" w:rsidRPr="007C7383" w:rsidRDefault="009F2AC0" w:rsidP="009F2AC0">
      <w:pPr>
        <w:pStyle w:val="Heading2"/>
        <w:spacing w:before="0" w:beforeAutospacing="0" w:after="0" w:afterAutospacing="0" w:line="360" w:lineRule="auto"/>
        <w:rPr>
          <w:i/>
          <w:sz w:val="24"/>
          <w:szCs w:val="24"/>
        </w:rPr>
      </w:pPr>
      <w:r w:rsidRPr="007C7383">
        <w:rPr>
          <w:rStyle w:val="Emphasis"/>
          <w:i w:val="0"/>
          <w:sz w:val="24"/>
          <w:szCs w:val="24"/>
        </w:rPr>
        <w:lastRenderedPageBreak/>
        <w:t>4.3</w:t>
      </w:r>
      <w:r w:rsidRPr="007C7383">
        <w:rPr>
          <w:rStyle w:val="Emphasis"/>
          <w:i w:val="0"/>
          <w:sz w:val="24"/>
          <w:szCs w:val="24"/>
        </w:rPr>
        <w:tab/>
        <w:t xml:space="preserve">The influence of land policy implementation on the pace and pattern of </w:t>
      </w:r>
      <w:r>
        <w:rPr>
          <w:rStyle w:val="Emphasis"/>
          <w:i w:val="0"/>
          <w:sz w:val="24"/>
          <w:szCs w:val="24"/>
        </w:rPr>
        <w:tab/>
      </w:r>
      <w:r w:rsidRPr="007C7383">
        <w:rPr>
          <w:rStyle w:val="Emphasis"/>
          <w:i w:val="0"/>
          <w:sz w:val="24"/>
          <w:szCs w:val="24"/>
        </w:rPr>
        <w:t>real estate development</w:t>
      </w: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4.3.1</w:t>
      </w:r>
      <w:r w:rsidRPr="007C7383">
        <w:rPr>
          <w:rStyle w:val="Strong"/>
          <w:b/>
          <w:bCs/>
          <w:sz w:val="24"/>
          <w:szCs w:val="24"/>
        </w:rPr>
        <w:tab/>
        <w:t>Type of Land Ownership vs. Ease of Development</w:t>
      </w:r>
    </w:p>
    <w:p w:rsidR="009F2AC0" w:rsidRDefault="009F2AC0" w:rsidP="009F2AC0">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Based on the data presented in Table 4.4, the analysis of land ownership type versus ease of development in the Alagbon area of Ilorin reveals distinct patterns in how ownership affects development processes. Among those who owned </w:t>
      </w:r>
      <w:r w:rsidRPr="007C7383">
        <w:rPr>
          <w:rFonts w:ascii="Times New Roman" w:eastAsia="Times New Roman" w:hAnsi="Times New Roman" w:cs="Times New Roman"/>
          <w:bCs/>
          <w:sz w:val="24"/>
          <w:szCs w:val="24"/>
        </w:rPr>
        <w:t>privately purchased land</w:t>
      </w:r>
      <w:r w:rsidRPr="007C7383">
        <w:rPr>
          <w:rFonts w:ascii="Times New Roman" w:eastAsia="Times New Roman" w:hAnsi="Times New Roman" w:cs="Times New Roman"/>
          <w:sz w:val="24"/>
          <w:szCs w:val="24"/>
        </w:rPr>
        <w:t xml:space="preserve">, 80% (24 out of 30) reported ease in development, making this the most favorable category. Similarly, </w:t>
      </w:r>
      <w:r w:rsidRPr="007C7383">
        <w:rPr>
          <w:rFonts w:ascii="Times New Roman" w:eastAsia="Times New Roman" w:hAnsi="Times New Roman" w:cs="Times New Roman"/>
          <w:bCs/>
          <w:sz w:val="24"/>
          <w:szCs w:val="24"/>
        </w:rPr>
        <w:t>60%</w:t>
      </w:r>
      <w:r w:rsidRPr="007C7383">
        <w:rPr>
          <w:rFonts w:ascii="Times New Roman" w:eastAsia="Times New Roman" w:hAnsi="Times New Roman" w:cs="Times New Roman"/>
          <w:sz w:val="24"/>
          <w:szCs w:val="24"/>
        </w:rPr>
        <w:t xml:space="preserve"> of respondents with government-allocated land found it easy to develop, while the remaining </w:t>
      </w:r>
      <w:r w:rsidRPr="007C7383">
        <w:rPr>
          <w:rFonts w:ascii="Times New Roman" w:eastAsia="Times New Roman" w:hAnsi="Times New Roman" w:cs="Times New Roman"/>
          <w:bCs/>
          <w:sz w:val="24"/>
          <w:szCs w:val="24"/>
        </w:rPr>
        <w:t>40%</w:t>
      </w:r>
      <w:r w:rsidRPr="007C7383">
        <w:rPr>
          <w:rFonts w:ascii="Times New Roman" w:eastAsia="Times New Roman" w:hAnsi="Times New Roman" w:cs="Times New Roman"/>
          <w:sz w:val="24"/>
          <w:szCs w:val="24"/>
        </w:rPr>
        <w:t xml:space="preserve"> experienced difficulty, often due to bureaucratic hurdles or delayed documentation. In contrast, respondents who held </w:t>
      </w:r>
      <w:r w:rsidRPr="007C7383">
        <w:rPr>
          <w:rFonts w:ascii="Times New Roman" w:eastAsia="Times New Roman" w:hAnsi="Times New Roman" w:cs="Times New Roman"/>
          <w:bCs/>
          <w:sz w:val="24"/>
          <w:szCs w:val="24"/>
        </w:rPr>
        <w:t>customary land</w:t>
      </w:r>
      <w:r w:rsidRPr="007C7383">
        <w:rPr>
          <w:rFonts w:ascii="Times New Roman" w:eastAsia="Times New Roman" w:hAnsi="Times New Roman" w:cs="Times New Roman"/>
          <w:sz w:val="24"/>
          <w:szCs w:val="24"/>
        </w:rPr>
        <w:t xml:space="preserve"> showed an equal split, with </w:t>
      </w:r>
      <w:r w:rsidRPr="007C7383">
        <w:rPr>
          <w:rFonts w:ascii="Times New Roman" w:eastAsia="Times New Roman" w:hAnsi="Times New Roman" w:cs="Times New Roman"/>
          <w:bCs/>
          <w:sz w:val="24"/>
          <w:szCs w:val="24"/>
        </w:rPr>
        <w:t>50%</w:t>
      </w:r>
      <w:r w:rsidRPr="007C7383">
        <w:rPr>
          <w:rFonts w:ascii="Times New Roman" w:eastAsia="Times New Roman" w:hAnsi="Times New Roman" w:cs="Times New Roman"/>
          <w:sz w:val="24"/>
          <w:szCs w:val="24"/>
        </w:rPr>
        <w:t xml:space="preserve"> finding it easy and </w:t>
      </w:r>
      <w:r w:rsidRPr="007C7383">
        <w:rPr>
          <w:rFonts w:ascii="Times New Roman" w:eastAsia="Times New Roman" w:hAnsi="Times New Roman" w:cs="Times New Roman"/>
          <w:bCs/>
          <w:sz w:val="24"/>
          <w:szCs w:val="24"/>
        </w:rPr>
        <w:t>50%</w:t>
      </w:r>
      <w:r w:rsidRPr="007C7383">
        <w:rPr>
          <w:rFonts w:ascii="Times New Roman" w:eastAsia="Times New Roman" w:hAnsi="Times New Roman" w:cs="Times New Roman"/>
          <w:sz w:val="24"/>
          <w:szCs w:val="24"/>
        </w:rPr>
        <w:t xml:space="preserve"> reporting development difficulties. This indicates a mix of outcomes possibly influenced by traditional leadership systems and lack of formal titles. Meanwhile, </w:t>
      </w:r>
      <w:r w:rsidRPr="007C7383">
        <w:rPr>
          <w:rFonts w:ascii="Times New Roman" w:eastAsia="Times New Roman" w:hAnsi="Times New Roman" w:cs="Times New Roman"/>
          <w:bCs/>
          <w:sz w:val="24"/>
          <w:szCs w:val="24"/>
        </w:rPr>
        <w:t>inherited land</w:t>
      </w:r>
      <w:r w:rsidRPr="007C7383">
        <w:rPr>
          <w:rFonts w:ascii="Times New Roman" w:eastAsia="Times New Roman" w:hAnsi="Times New Roman" w:cs="Times New Roman"/>
          <w:sz w:val="24"/>
          <w:szCs w:val="24"/>
        </w:rPr>
        <w:t xml:space="preserve"> presented the highest rate of difficulty, as </w:t>
      </w:r>
      <w:r w:rsidRPr="007C7383">
        <w:rPr>
          <w:rFonts w:ascii="Times New Roman" w:eastAsia="Times New Roman" w:hAnsi="Times New Roman" w:cs="Times New Roman"/>
          <w:bCs/>
          <w:sz w:val="24"/>
          <w:szCs w:val="24"/>
        </w:rPr>
        <w:t>66.7%</w:t>
      </w:r>
      <w:r w:rsidRPr="007C7383">
        <w:rPr>
          <w:rFonts w:ascii="Times New Roman" w:eastAsia="Times New Roman" w:hAnsi="Times New Roman" w:cs="Times New Roman"/>
          <w:sz w:val="24"/>
          <w:szCs w:val="24"/>
        </w:rPr>
        <w:t xml:space="preserve"> of respondents reported development challenges, likely due to disputes among heirs, lack of proper documentation, or unclear land boundaries.</w:t>
      </w:r>
    </w:p>
    <w:p w:rsidR="009F2AC0" w:rsidRPr="007C7383"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These findings justify the assertion that the </w:t>
      </w:r>
      <w:r w:rsidRPr="007C7383">
        <w:rPr>
          <w:rFonts w:ascii="Times New Roman" w:eastAsia="Times New Roman" w:hAnsi="Times New Roman" w:cs="Times New Roman"/>
          <w:bCs/>
          <w:sz w:val="24"/>
          <w:szCs w:val="24"/>
        </w:rPr>
        <w:t>type of land ownership significantly influences the ease of real estate development</w:t>
      </w:r>
      <w:r w:rsidRPr="007C7383">
        <w:rPr>
          <w:rFonts w:ascii="Times New Roman" w:eastAsia="Times New Roman" w:hAnsi="Times New Roman" w:cs="Times New Roman"/>
          <w:sz w:val="24"/>
          <w:szCs w:val="24"/>
        </w:rPr>
        <w:t xml:space="preserve"> in Alagbon. Privately purchased and government-allocated lands appear more development-friendly due to clearer documentation and legal recognition. On the other hand, inherited and customary lands, despite being prevalent, are often plagued by issues such as ownership conflicts, absence of formal titles, and unclear boundaries—factors that complicate or delay development. These outcomes emphasize the need for policy reforms that simplify title registration and support formalization of customary and inherited lands to ensure smoother development processes and promote orderly urban growth.</w:t>
      </w: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Table 4.4: Type of Land Ownership vs. Ease of Development</w:t>
      </w:r>
    </w:p>
    <w:tbl>
      <w:tblPr>
        <w:tblStyle w:val="TableGrid"/>
        <w:tblW w:w="0" w:type="auto"/>
        <w:tblLook w:val="04A0"/>
      </w:tblPr>
      <w:tblGrid>
        <w:gridCol w:w="2718"/>
        <w:gridCol w:w="2070"/>
        <w:gridCol w:w="2790"/>
        <w:gridCol w:w="1998"/>
      </w:tblGrid>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Land Ownership Type</w:t>
            </w:r>
          </w:p>
        </w:tc>
        <w:tc>
          <w:tcPr>
            <w:tcW w:w="207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Easy to Develop</w:t>
            </w:r>
          </w:p>
        </w:tc>
        <w:tc>
          <w:tcPr>
            <w:tcW w:w="279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Difficult to Develop</w:t>
            </w:r>
          </w:p>
        </w:tc>
        <w:tc>
          <w:tcPr>
            <w:tcW w:w="199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Total</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Government Allocated</w:t>
            </w:r>
          </w:p>
        </w:tc>
        <w:tc>
          <w:tcPr>
            <w:tcW w:w="207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18</w:t>
            </w:r>
          </w:p>
        </w:tc>
        <w:tc>
          <w:tcPr>
            <w:tcW w:w="279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12</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Customary Land</w:t>
            </w:r>
          </w:p>
        </w:tc>
        <w:tc>
          <w:tcPr>
            <w:tcW w:w="207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15</w:t>
            </w:r>
          </w:p>
        </w:tc>
        <w:tc>
          <w:tcPr>
            <w:tcW w:w="279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15</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Purchased (Private)</w:t>
            </w:r>
          </w:p>
        </w:tc>
        <w:tc>
          <w:tcPr>
            <w:tcW w:w="207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24</w:t>
            </w:r>
          </w:p>
        </w:tc>
        <w:tc>
          <w:tcPr>
            <w:tcW w:w="279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6</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Inherited</w:t>
            </w:r>
          </w:p>
        </w:tc>
        <w:tc>
          <w:tcPr>
            <w:tcW w:w="207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10</w:t>
            </w:r>
          </w:p>
        </w:tc>
        <w:tc>
          <w:tcPr>
            <w:tcW w:w="279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07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67</w:t>
            </w:r>
          </w:p>
        </w:tc>
        <w:tc>
          <w:tcPr>
            <w:tcW w:w="279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53</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r>
    </w:tbl>
    <w:p w:rsidR="009F2AC0" w:rsidRDefault="009F2AC0" w:rsidP="009F2AC0">
      <w:pPr>
        <w:pStyle w:val="Heading3"/>
        <w:spacing w:before="0" w:beforeAutospacing="0" w:after="0" w:afterAutospacing="0"/>
        <w:rPr>
          <w:rStyle w:val="Strong"/>
          <w:b/>
          <w:bCs/>
          <w:sz w:val="24"/>
          <w:szCs w:val="24"/>
        </w:rPr>
      </w:pPr>
    </w:p>
    <w:p w:rsidR="009F2AC0"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rPr>
          <w:rStyle w:val="Strong"/>
          <w:b/>
          <w:bCs/>
          <w:sz w:val="24"/>
          <w:szCs w:val="24"/>
        </w:rPr>
      </w:pPr>
      <w:r w:rsidRPr="007C7383">
        <w:rPr>
          <w:rStyle w:val="Strong"/>
          <w:b/>
          <w:bCs/>
          <w:sz w:val="24"/>
          <w:szCs w:val="24"/>
        </w:rPr>
        <w:lastRenderedPageBreak/>
        <w:t>4.3.2</w:t>
      </w:r>
      <w:r w:rsidRPr="007C7383">
        <w:rPr>
          <w:rStyle w:val="Strong"/>
          <w:b/>
          <w:bCs/>
          <w:sz w:val="24"/>
          <w:szCs w:val="24"/>
        </w:rPr>
        <w:tab/>
        <w:t>Delay in Approval vs. Source of Land</w:t>
      </w:r>
    </w:p>
    <w:p w:rsidR="009F2AC0"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analysis of Table 4.5 reveals that </w:t>
      </w:r>
      <w:r w:rsidRPr="007C7383">
        <w:rPr>
          <w:rFonts w:ascii="Times New Roman" w:eastAsia="Times New Roman" w:hAnsi="Times New Roman" w:cs="Times New Roman"/>
          <w:bCs/>
          <w:sz w:val="24"/>
          <w:szCs w:val="24"/>
        </w:rPr>
        <w:t>61.7%</w:t>
      </w:r>
      <w:r w:rsidRPr="007C7383">
        <w:rPr>
          <w:rFonts w:ascii="Times New Roman" w:eastAsia="Times New Roman" w:hAnsi="Times New Roman" w:cs="Times New Roman"/>
          <w:sz w:val="24"/>
          <w:szCs w:val="24"/>
        </w:rPr>
        <w:t xml:space="preserve"> of respondents experienced delays in development approval processes, while only </w:t>
      </w:r>
      <w:r w:rsidRPr="007C7383">
        <w:rPr>
          <w:rFonts w:ascii="Times New Roman" w:eastAsia="Times New Roman" w:hAnsi="Times New Roman" w:cs="Times New Roman"/>
          <w:bCs/>
          <w:sz w:val="24"/>
          <w:szCs w:val="24"/>
        </w:rPr>
        <w:t>38.3%</w:t>
      </w:r>
      <w:r w:rsidRPr="007C7383">
        <w:rPr>
          <w:rFonts w:ascii="Times New Roman" w:eastAsia="Times New Roman" w:hAnsi="Times New Roman" w:cs="Times New Roman"/>
          <w:sz w:val="24"/>
          <w:szCs w:val="24"/>
        </w:rPr>
        <w:t xml:space="preserve"> did not encounter such delays. A closer look at the breakdown by land source shows that </w:t>
      </w:r>
      <w:r w:rsidRPr="007C7383">
        <w:rPr>
          <w:rFonts w:ascii="Times New Roman" w:eastAsia="Times New Roman" w:hAnsi="Times New Roman" w:cs="Times New Roman"/>
          <w:bCs/>
          <w:sz w:val="24"/>
          <w:szCs w:val="24"/>
        </w:rPr>
        <w:t>73.3%</w:t>
      </w:r>
      <w:r w:rsidRPr="007C7383">
        <w:rPr>
          <w:rFonts w:ascii="Times New Roman" w:eastAsia="Times New Roman" w:hAnsi="Times New Roman" w:cs="Times New Roman"/>
          <w:sz w:val="24"/>
          <w:szCs w:val="24"/>
        </w:rPr>
        <w:t xml:space="preserve"> of respondents who acquired land through government allocation reported delays, while </w:t>
      </w:r>
      <w:r w:rsidRPr="007C7383">
        <w:rPr>
          <w:rFonts w:ascii="Times New Roman" w:eastAsia="Times New Roman" w:hAnsi="Times New Roman" w:cs="Times New Roman"/>
          <w:bCs/>
          <w:sz w:val="24"/>
          <w:szCs w:val="24"/>
        </w:rPr>
        <w:t>60%</w:t>
      </w:r>
      <w:r w:rsidRPr="007C7383">
        <w:rPr>
          <w:rFonts w:ascii="Times New Roman" w:eastAsia="Times New Roman" w:hAnsi="Times New Roman" w:cs="Times New Roman"/>
          <w:sz w:val="24"/>
          <w:szCs w:val="24"/>
        </w:rPr>
        <w:t xml:space="preserve"> of those who obtained land via customary means also faced delays. In contrast, only </w:t>
      </w:r>
      <w:r w:rsidRPr="007C7383">
        <w:rPr>
          <w:rFonts w:ascii="Times New Roman" w:eastAsia="Times New Roman" w:hAnsi="Times New Roman" w:cs="Times New Roman"/>
          <w:bCs/>
          <w:sz w:val="24"/>
          <w:szCs w:val="24"/>
        </w:rPr>
        <w:t>33.3%</w:t>
      </w:r>
      <w:r w:rsidRPr="007C7383">
        <w:rPr>
          <w:rFonts w:ascii="Times New Roman" w:eastAsia="Times New Roman" w:hAnsi="Times New Roman" w:cs="Times New Roman"/>
          <w:sz w:val="24"/>
          <w:szCs w:val="24"/>
        </w:rPr>
        <w:t xml:space="preserve"> of respondents who purchased land privately experienced delays, while a significant </w:t>
      </w:r>
      <w:r w:rsidRPr="007C7383">
        <w:rPr>
          <w:rFonts w:ascii="Times New Roman" w:eastAsia="Times New Roman" w:hAnsi="Times New Roman" w:cs="Times New Roman"/>
          <w:bCs/>
          <w:sz w:val="24"/>
          <w:szCs w:val="24"/>
        </w:rPr>
        <w:t>66.7%</w:t>
      </w:r>
      <w:r w:rsidRPr="007C7383">
        <w:rPr>
          <w:rFonts w:ascii="Times New Roman" w:eastAsia="Times New Roman" w:hAnsi="Times New Roman" w:cs="Times New Roman"/>
          <w:sz w:val="24"/>
          <w:szCs w:val="24"/>
        </w:rPr>
        <w:t xml:space="preserve"> did not. Meanwhile, among those who inherited land, </w:t>
      </w:r>
      <w:r w:rsidRPr="007C7383">
        <w:rPr>
          <w:rFonts w:ascii="Times New Roman" w:eastAsia="Times New Roman" w:hAnsi="Times New Roman" w:cs="Times New Roman"/>
          <w:bCs/>
          <w:sz w:val="24"/>
          <w:szCs w:val="24"/>
        </w:rPr>
        <w:t>80%</w:t>
      </w:r>
      <w:r w:rsidRPr="007C7383">
        <w:rPr>
          <w:rFonts w:ascii="Times New Roman" w:eastAsia="Times New Roman" w:hAnsi="Times New Roman" w:cs="Times New Roman"/>
          <w:sz w:val="24"/>
          <w:szCs w:val="24"/>
        </w:rPr>
        <w:t xml:space="preserve"> encountered delays, the highest among all categories. These figures suggest that the source of land acquisition plays a major role in determining the likelihood of delay in development approvals.</w:t>
      </w:r>
    </w:p>
    <w:p w:rsidR="009F2AC0" w:rsidRPr="007C7383" w:rsidRDefault="009F2AC0" w:rsidP="009F2AC0">
      <w:pPr>
        <w:spacing w:after="0" w:line="360" w:lineRule="auto"/>
        <w:ind w:firstLine="720"/>
        <w:jc w:val="both"/>
        <w:rPr>
          <w:rStyle w:val="Strong"/>
          <w:rFonts w:ascii="Times New Roman" w:eastAsia="Times New Roman" w:hAnsi="Times New Roman" w:cs="Times New Roman"/>
          <w:b w:val="0"/>
          <w:bCs w:val="0"/>
          <w:sz w:val="24"/>
          <w:szCs w:val="24"/>
        </w:rPr>
      </w:pPr>
      <w:r w:rsidRPr="007C7383">
        <w:rPr>
          <w:rFonts w:ascii="Times New Roman" w:eastAsia="Times New Roman" w:hAnsi="Times New Roman" w:cs="Times New Roman"/>
          <w:sz w:val="24"/>
          <w:szCs w:val="24"/>
        </w:rPr>
        <w:t>The findings justify that bureaucratic procedures and structural inefficiencies are more prevalent in land sources tied to formal institutions or family inheritance. Inherited lands often involve multiple ownership claims and documentation gaps, which can stall approvals. Similarly, lands allocated by government authorities tend to face prolonged verification, survey, or approval timelines due to procedural bottlenecks. In contrast, private purchases—likely involving completed documentation and clear titles—were associated with fewer delays. The evidence therefore supports the view that streamlining land administration processes and improving documentation standards, particularly for government and inherited lands, is essential to enhancing real estate development efficiency in the Alagbon area.</w:t>
      </w:r>
    </w:p>
    <w:p w:rsidR="009F2AC0" w:rsidRPr="007C7383" w:rsidRDefault="009F2AC0" w:rsidP="009F2AC0">
      <w:pPr>
        <w:pStyle w:val="Heading3"/>
        <w:spacing w:before="0" w:beforeAutospacing="0" w:after="0" w:afterAutospacing="0"/>
        <w:rPr>
          <w:sz w:val="24"/>
          <w:szCs w:val="24"/>
        </w:rPr>
      </w:pPr>
      <w:r w:rsidRPr="007C7383">
        <w:rPr>
          <w:rStyle w:val="Strong"/>
          <w:b/>
          <w:bCs/>
          <w:sz w:val="24"/>
          <w:szCs w:val="24"/>
        </w:rPr>
        <w:t>Table 4.5: Delay in Approval vs. Source of Land</w:t>
      </w:r>
    </w:p>
    <w:tbl>
      <w:tblPr>
        <w:tblStyle w:val="TableGrid"/>
        <w:tblW w:w="0" w:type="auto"/>
        <w:tblLook w:val="04A0"/>
      </w:tblPr>
      <w:tblGrid>
        <w:gridCol w:w="2718"/>
        <w:gridCol w:w="2520"/>
        <w:gridCol w:w="2340"/>
        <w:gridCol w:w="1998"/>
      </w:tblGrid>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Source of Land</w:t>
            </w:r>
          </w:p>
        </w:tc>
        <w:tc>
          <w:tcPr>
            <w:tcW w:w="252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Delay Experienced</w:t>
            </w:r>
          </w:p>
        </w:tc>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No Delay</w:t>
            </w:r>
          </w:p>
        </w:tc>
        <w:tc>
          <w:tcPr>
            <w:tcW w:w="199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Total</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Government</w:t>
            </w:r>
          </w:p>
        </w:tc>
        <w:tc>
          <w:tcPr>
            <w:tcW w:w="252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22</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8</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Customary</w:t>
            </w:r>
          </w:p>
        </w:tc>
        <w:tc>
          <w:tcPr>
            <w:tcW w:w="252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18</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12</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Private Purchase</w:t>
            </w:r>
          </w:p>
        </w:tc>
        <w:tc>
          <w:tcPr>
            <w:tcW w:w="252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10</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Inheritance</w:t>
            </w:r>
          </w:p>
        </w:tc>
        <w:tc>
          <w:tcPr>
            <w:tcW w:w="252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24</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6</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52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74</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46</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r>
    </w:tbl>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4.3.3</w:t>
      </w:r>
      <w:r w:rsidRPr="007C7383">
        <w:rPr>
          <w:rStyle w:val="Strong"/>
          <w:b/>
          <w:bCs/>
          <w:sz w:val="24"/>
          <w:szCs w:val="24"/>
        </w:rPr>
        <w:tab/>
        <w:t>Effect of Land Policy on Development Speed</w:t>
      </w:r>
    </w:p>
    <w:p w:rsidR="009F2AC0"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data on the effect of land policy on development speed reveal that 54.2% of respondents indicated that slow development was strongly affected by land policy, while an additional 37.5% said it was just affected, and none believed it was not affected. This indicates a significant perception that land policy plays a major role in slowing down real estate projects. Similarly, among abandoned developments, 75% of respondents felt they were strongly affected </w:t>
      </w:r>
      <w:r w:rsidRPr="007C7383">
        <w:rPr>
          <w:rFonts w:ascii="Times New Roman" w:eastAsia="Times New Roman" w:hAnsi="Times New Roman" w:cs="Times New Roman"/>
          <w:sz w:val="24"/>
          <w:szCs w:val="24"/>
        </w:rPr>
        <w:lastRenderedPageBreak/>
        <w:t>by land policy, with 25% just affected and none unaffected. In contrast, only 33.3% of fast developments were strongly affected by land policy, with 26.7% just affected and 40% not affected at all. Moderate development speed recorded 50% strongly affected, 33.3% just affected, and 16.7% not affected. Overall, 54.2% of all respondents strongly agreed that land policy influences development speed, while 31.7% were moderately affected and 14.2% reported no effect.</w:t>
      </w:r>
    </w:p>
    <w:p w:rsidR="009F2AC0" w:rsidRPr="007C7383"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 findings can be justified by recognizing that land policies often involve procedural requirements, approvals, and regulations which may introduce delays and complexity, particularly for projects already progressing slowly or stalled. Projects that are abandoned or slow likely face more bureaucratic hurdles or land tenure challenges that exacerbate development inertia. Conversely, faster developments tend to navigate the policy environment more efficiently or have access to better resources, reducing the impact of policy-related constraints. The data thus suggest that land policy significantly influences the pace of real estate development, with its impact most pronounced where developments are delayed or abandoned. This highlights the need for more streamlined and supportive policy frameworks to facilitate smoother real estate growth in the area.</w:t>
      </w:r>
    </w:p>
    <w:p w:rsidR="009F2AC0" w:rsidRDefault="009F2AC0" w:rsidP="009F2AC0">
      <w:pPr>
        <w:pStyle w:val="Heading3"/>
        <w:spacing w:before="0" w:beforeAutospacing="0" w:after="0" w:afterAutospacing="0" w:line="360" w:lineRule="auto"/>
        <w:rPr>
          <w:rStyle w:val="Strong"/>
          <w:b/>
          <w:bCs/>
          <w:sz w:val="24"/>
          <w:szCs w:val="24"/>
        </w:rPr>
      </w:pPr>
    </w:p>
    <w:p w:rsidR="009F2AC0"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line="360" w:lineRule="auto"/>
        <w:rPr>
          <w:rStyle w:val="Strong"/>
          <w:b/>
          <w:bCs/>
          <w:sz w:val="24"/>
          <w:szCs w:val="24"/>
        </w:rPr>
      </w:pPr>
    </w:p>
    <w:p w:rsidR="009F2AC0"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Table 4.6: Effect of Land Policy on Development Speed</w:t>
      </w:r>
    </w:p>
    <w:tbl>
      <w:tblPr>
        <w:tblStyle w:val="TableGrid"/>
        <w:tblW w:w="0" w:type="auto"/>
        <w:tblLook w:val="04A0"/>
      </w:tblPr>
      <w:tblGrid>
        <w:gridCol w:w="2340"/>
        <w:gridCol w:w="2222"/>
        <w:gridCol w:w="1893"/>
        <w:gridCol w:w="1639"/>
        <w:gridCol w:w="1482"/>
      </w:tblGrid>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Development Speed</w:t>
            </w:r>
          </w:p>
        </w:tc>
        <w:tc>
          <w:tcPr>
            <w:tcW w:w="2222"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Strongly Affected</w:t>
            </w:r>
          </w:p>
        </w:tc>
        <w:tc>
          <w:tcPr>
            <w:tcW w:w="1893"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Just Affected</w:t>
            </w:r>
          </w:p>
        </w:tc>
        <w:tc>
          <w:tcPr>
            <w:tcW w:w="1639"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Not Affected</w:t>
            </w:r>
          </w:p>
        </w:tc>
        <w:tc>
          <w:tcPr>
            <w:tcW w:w="1482"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Total</w:t>
            </w:r>
          </w:p>
        </w:tc>
      </w:tr>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Fast</w:t>
            </w:r>
          </w:p>
        </w:tc>
        <w:tc>
          <w:tcPr>
            <w:tcW w:w="222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10</w:t>
            </w:r>
          </w:p>
        </w:tc>
        <w:tc>
          <w:tcPr>
            <w:tcW w:w="1893"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8</w:t>
            </w:r>
          </w:p>
        </w:tc>
        <w:tc>
          <w:tcPr>
            <w:tcW w:w="1639"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12</w:t>
            </w:r>
          </w:p>
        </w:tc>
        <w:tc>
          <w:tcPr>
            <w:tcW w:w="148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Moderate</w:t>
            </w:r>
          </w:p>
        </w:tc>
        <w:tc>
          <w:tcPr>
            <w:tcW w:w="222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15</w:t>
            </w:r>
          </w:p>
        </w:tc>
        <w:tc>
          <w:tcPr>
            <w:tcW w:w="1893"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10</w:t>
            </w:r>
          </w:p>
        </w:tc>
        <w:tc>
          <w:tcPr>
            <w:tcW w:w="1639"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5</w:t>
            </w:r>
          </w:p>
        </w:tc>
        <w:tc>
          <w:tcPr>
            <w:tcW w:w="148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Slow</w:t>
            </w:r>
          </w:p>
        </w:tc>
        <w:tc>
          <w:tcPr>
            <w:tcW w:w="222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w:t>
            </w:r>
          </w:p>
        </w:tc>
        <w:tc>
          <w:tcPr>
            <w:tcW w:w="1893"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15</w:t>
            </w:r>
          </w:p>
        </w:tc>
        <w:tc>
          <w:tcPr>
            <w:tcW w:w="1639"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0</w:t>
            </w:r>
          </w:p>
        </w:tc>
        <w:tc>
          <w:tcPr>
            <w:tcW w:w="148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40</w:t>
            </w:r>
          </w:p>
        </w:tc>
      </w:tr>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Abandoned</w:t>
            </w:r>
          </w:p>
        </w:tc>
        <w:tc>
          <w:tcPr>
            <w:tcW w:w="222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15</w:t>
            </w:r>
          </w:p>
        </w:tc>
        <w:tc>
          <w:tcPr>
            <w:tcW w:w="1893"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5</w:t>
            </w:r>
          </w:p>
        </w:tc>
        <w:tc>
          <w:tcPr>
            <w:tcW w:w="1639"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0</w:t>
            </w:r>
          </w:p>
        </w:tc>
        <w:tc>
          <w:tcPr>
            <w:tcW w:w="148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r>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22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65</w:t>
            </w:r>
          </w:p>
        </w:tc>
        <w:tc>
          <w:tcPr>
            <w:tcW w:w="1893"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38</w:t>
            </w:r>
          </w:p>
        </w:tc>
        <w:tc>
          <w:tcPr>
            <w:tcW w:w="1639"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17</w:t>
            </w:r>
          </w:p>
        </w:tc>
        <w:tc>
          <w:tcPr>
            <w:tcW w:w="148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r>
    </w:tbl>
    <w:p w:rsidR="009F2AC0" w:rsidRPr="007C7383" w:rsidRDefault="009F2AC0" w:rsidP="009F2AC0">
      <w:pPr>
        <w:spacing w:after="0" w:line="360" w:lineRule="auto"/>
        <w:rPr>
          <w:rFonts w:ascii="Times New Roman" w:hAnsi="Times New Roman" w:cs="Times New Roman"/>
          <w:sz w:val="24"/>
          <w:szCs w:val="24"/>
        </w:rPr>
      </w:pPr>
    </w:p>
    <w:p w:rsidR="009F2AC0" w:rsidRPr="007C7383" w:rsidRDefault="009F2AC0" w:rsidP="009F2AC0">
      <w:pPr>
        <w:pStyle w:val="Heading2"/>
        <w:spacing w:before="0" w:beforeAutospacing="0" w:after="0" w:afterAutospacing="0" w:line="360" w:lineRule="auto"/>
        <w:rPr>
          <w:i/>
          <w:sz w:val="24"/>
          <w:szCs w:val="24"/>
        </w:rPr>
      </w:pPr>
      <w:r w:rsidRPr="007C7383">
        <w:rPr>
          <w:rStyle w:val="Emphasis"/>
          <w:i w:val="0"/>
          <w:sz w:val="24"/>
          <w:szCs w:val="24"/>
        </w:rPr>
        <w:t>4.4</w:t>
      </w:r>
      <w:r w:rsidRPr="007C7383">
        <w:rPr>
          <w:rStyle w:val="Emphasis"/>
          <w:i w:val="0"/>
          <w:sz w:val="24"/>
          <w:szCs w:val="24"/>
        </w:rPr>
        <w:tab/>
      </w:r>
      <w:r>
        <w:rPr>
          <w:rStyle w:val="Emphasis"/>
          <w:i w:val="0"/>
          <w:sz w:val="24"/>
          <w:szCs w:val="24"/>
        </w:rPr>
        <w:t>C</w:t>
      </w:r>
      <w:r w:rsidRPr="007C7383">
        <w:rPr>
          <w:rStyle w:val="Emphasis"/>
          <w:i w:val="0"/>
          <w:sz w:val="24"/>
          <w:szCs w:val="24"/>
        </w:rPr>
        <w:t xml:space="preserve">hallenges faced by real estate developers and investors due to land policy </w:t>
      </w:r>
      <w:r>
        <w:rPr>
          <w:rStyle w:val="Emphasis"/>
          <w:i w:val="0"/>
          <w:sz w:val="24"/>
          <w:szCs w:val="24"/>
        </w:rPr>
        <w:tab/>
      </w:r>
      <w:r w:rsidRPr="007C7383">
        <w:rPr>
          <w:rStyle w:val="Emphasis"/>
          <w:i w:val="0"/>
          <w:sz w:val="24"/>
          <w:szCs w:val="24"/>
        </w:rPr>
        <w:t>provisions or enforcement</w:t>
      </w: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4.4.1</w:t>
      </w:r>
      <w:r w:rsidRPr="007C7383">
        <w:rPr>
          <w:rStyle w:val="Strong"/>
          <w:b/>
          <w:bCs/>
          <w:sz w:val="24"/>
          <w:szCs w:val="24"/>
        </w:rPr>
        <w:tab/>
        <w:t>Major Challenges by Type of Developer</w:t>
      </w:r>
    </w:p>
    <w:p w:rsidR="009F2AC0" w:rsidRPr="007C7383" w:rsidRDefault="009F2AC0" w:rsidP="009F2AC0">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lastRenderedPageBreak/>
        <w:t>The data in Table 4.7 reveal that policy delays constitute the most significant challenge faced by developers and landowners, accounting for 50% of the total challenges reported (45 out of 90). This indicates that half of the respondents perceive bureaucratic or procedural delays as a major obstacle to real estate development in the Alagbon area. High costs associated with land acquisition and development rank second, representing approximately 36.7% of the challenges (33 out of 90). This suggests that financial burdens related to policy implementation, such as fees, levies, or informal payments, significantly impact developers and landowners. Insecurity of title is the least reported challenge, making up about 13.3% of the total responses (12 out of 90), yet it still presents a notable concern for a segment of the population.</w:t>
      </w:r>
    </w:p>
    <w:p w:rsidR="009F2AC0" w:rsidRPr="00AE59C6" w:rsidRDefault="009F2AC0" w:rsidP="009F2AC0">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When disaggregated by developer type, informal developers report the highest incidence of policy delays (approximately 44.4% of their total challenges), reflecting their vulnerability to procedural bottlenecks in navigating land regulations. Formal developers report a somewhat lower percentage (33.3%) but still see delays as their predominant issue. Conversely, landowners are more affected by high costs, which account for 50% of their reported challenges, highlighting the financial strain they experience in complying with land policy demands. Insecurity of title is reported consistently but at lower rates across all groups, suggesting that while it is a concern, procedural and financial factors dominate the challenges hindering real estate development in the study area.</w:t>
      </w:r>
      <w:r w:rsidRPr="007C7383">
        <w:rPr>
          <w:rFonts w:ascii="Times New Roman" w:eastAsia="Times New Roman" w:hAnsi="Times New Roman" w:cs="Times New Roman"/>
          <w:vanish/>
          <w:sz w:val="24"/>
          <w:szCs w:val="24"/>
        </w:rPr>
        <w:t>Top of Form</w:t>
      </w:r>
    </w:p>
    <w:p w:rsidR="009F2AC0" w:rsidRPr="007C7383" w:rsidRDefault="009F2AC0" w:rsidP="009F2AC0">
      <w:pPr>
        <w:pBdr>
          <w:top w:val="single" w:sz="6" w:space="1" w:color="auto"/>
        </w:pBdr>
        <w:spacing w:after="0" w:line="360" w:lineRule="auto"/>
        <w:jc w:val="center"/>
        <w:rPr>
          <w:rFonts w:ascii="Times New Roman" w:eastAsia="Times New Roman" w:hAnsi="Times New Roman" w:cs="Times New Roman"/>
          <w:vanish/>
          <w:sz w:val="24"/>
          <w:szCs w:val="24"/>
        </w:rPr>
      </w:pPr>
      <w:r w:rsidRPr="007C7383">
        <w:rPr>
          <w:rFonts w:ascii="Times New Roman" w:eastAsia="Times New Roman" w:hAnsi="Times New Roman" w:cs="Times New Roman"/>
          <w:vanish/>
          <w:sz w:val="24"/>
          <w:szCs w:val="24"/>
        </w:rPr>
        <w:t>Bottom of Form</w:t>
      </w:r>
    </w:p>
    <w:p w:rsidR="009F2AC0" w:rsidRPr="007C7383"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Table 4.7: Major Challenges by Type of Developer</w:t>
      </w:r>
    </w:p>
    <w:tbl>
      <w:tblPr>
        <w:tblStyle w:val="TableGrid"/>
        <w:tblW w:w="0" w:type="auto"/>
        <w:tblLook w:val="04A0"/>
      </w:tblPr>
      <w:tblGrid>
        <w:gridCol w:w="2340"/>
        <w:gridCol w:w="2222"/>
        <w:gridCol w:w="1893"/>
        <w:gridCol w:w="1639"/>
        <w:gridCol w:w="1482"/>
      </w:tblGrid>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Developer Type</w:t>
            </w:r>
          </w:p>
        </w:tc>
        <w:tc>
          <w:tcPr>
            <w:tcW w:w="2222"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Policy Delay</w:t>
            </w:r>
          </w:p>
        </w:tc>
        <w:tc>
          <w:tcPr>
            <w:tcW w:w="1893"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High Cost</w:t>
            </w:r>
          </w:p>
        </w:tc>
        <w:tc>
          <w:tcPr>
            <w:tcW w:w="1639"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Insecurity of Title</w:t>
            </w:r>
          </w:p>
        </w:tc>
        <w:tc>
          <w:tcPr>
            <w:tcW w:w="1482"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Total</w:t>
            </w:r>
          </w:p>
        </w:tc>
      </w:tr>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Formal Developers</w:t>
            </w:r>
          </w:p>
        </w:tc>
        <w:tc>
          <w:tcPr>
            <w:tcW w:w="222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15</w:t>
            </w:r>
          </w:p>
        </w:tc>
        <w:tc>
          <w:tcPr>
            <w:tcW w:w="1893"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10</w:t>
            </w:r>
          </w:p>
        </w:tc>
        <w:tc>
          <w:tcPr>
            <w:tcW w:w="1639"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5</w:t>
            </w:r>
          </w:p>
        </w:tc>
        <w:tc>
          <w:tcPr>
            <w:tcW w:w="148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Informal Developers</w:t>
            </w:r>
          </w:p>
        </w:tc>
        <w:tc>
          <w:tcPr>
            <w:tcW w:w="222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c>
          <w:tcPr>
            <w:tcW w:w="1893"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8</w:t>
            </w:r>
          </w:p>
        </w:tc>
        <w:tc>
          <w:tcPr>
            <w:tcW w:w="1639"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w:t>
            </w:r>
          </w:p>
        </w:tc>
        <w:tc>
          <w:tcPr>
            <w:tcW w:w="148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Landowners</w:t>
            </w:r>
          </w:p>
        </w:tc>
        <w:tc>
          <w:tcPr>
            <w:tcW w:w="222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10</w:t>
            </w:r>
          </w:p>
        </w:tc>
        <w:tc>
          <w:tcPr>
            <w:tcW w:w="1893"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15</w:t>
            </w:r>
          </w:p>
        </w:tc>
        <w:tc>
          <w:tcPr>
            <w:tcW w:w="1639"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5</w:t>
            </w:r>
          </w:p>
        </w:tc>
        <w:tc>
          <w:tcPr>
            <w:tcW w:w="148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22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45</w:t>
            </w:r>
          </w:p>
        </w:tc>
        <w:tc>
          <w:tcPr>
            <w:tcW w:w="1893"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33</w:t>
            </w:r>
          </w:p>
        </w:tc>
        <w:tc>
          <w:tcPr>
            <w:tcW w:w="1639"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w:t>
            </w:r>
          </w:p>
        </w:tc>
        <w:tc>
          <w:tcPr>
            <w:tcW w:w="1482"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90</w:t>
            </w:r>
          </w:p>
        </w:tc>
      </w:tr>
    </w:tbl>
    <w:p w:rsidR="009F2AC0" w:rsidRPr="007C7383"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4.4.2</w:t>
      </w:r>
      <w:r w:rsidRPr="007C7383">
        <w:rPr>
          <w:rStyle w:val="Strong"/>
          <w:b/>
          <w:bCs/>
          <w:sz w:val="24"/>
          <w:szCs w:val="24"/>
        </w:rPr>
        <w:tab/>
        <w:t>Perceived Policy Bottlenecks</w:t>
      </w:r>
    </w:p>
    <w:p w:rsidR="009F2AC0" w:rsidRPr="007C7383" w:rsidRDefault="009F2AC0" w:rsidP="009F2AC0">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data presented in Table 4.8 highlights several critical bottlenecks perceived by respondents in the implementation of land policy. A significant proportion of respondents, 29.2%, identified </w:t>
      </w:r>
      <w:r w:rsidRPr="007C7383">
        <w:rPr>
          <w:rFonts w:ascii="Times New Roman" w:eastAsia="Times New Roman" w:hAnsi="Times New Roman" w:cs="Times New Roman"/>
          <w:sz w:val="24"/>
          <w:szCs w:val="24"/>
        </w:rPr>
        <w:lastRenderedPageBreak/>
        <w:t>multiple approval stages as a major hurdle. This suggests that the land acquisition and development process involves several layers of bureaucracy, which may complicate and prolong the completion of necessary approvals. Close behind, 25.0% of the respondents pointed to high documentation costs as another key challenge, indicating that the financial burden associated with acquiring land titles and other legal documents is substantial enough to deter or delay real estate development activities. Furthermore, 23.3% of the respondents experienced delays caused by government processes, highlighting inefficiencies within the administrative system that slow down project timelines.</w:t>
      </w:r>
    </w:p>
    <w:p w:rsidR="009F2AC0" w:rsidRPr="007C7383" w:rsidRDefault="009F2AC0" w:rsidP="009F2AC0">
      <w:pPr>
        <w:spacing w:after="0" w:line="360" w:lineRule="auto"/>
        <w:jc w:val="both"/>
        <w:rPr>
          <w:rStyle w:val="Strong"/>
          <w:rFonts w:ascii="Times New Roman" w:eastAsia="Times New Roman" w:hAnsi="Times New Roman" w:cs="Times New Roman"/>
          <w:b w:val="0"/>
          <w:bCs w:val="0"/>
          <w:sz w:val="24"/>
          <w:szCs w:val="24"/>
        </w:rPr>
      </w:pPr>
      <w:r w:rsidRPr="007C7383">
        <w:rPr>
          <w:rFonts w:ascii="Times New Roman" w:eastAsia="Times New Roman" w:hAnsi="Times New Roman" w:cs="Times New Roman"/>
          <w:sz w:val="24"/>
          <w:szCs w:val="24"/>
        </w:rPr>
        <w:t>Land disputes were also noted as a significant concern, affecting 22.5% of respondents. This indicates that conflicts over land ownership, boundaries, or rights remain prevalent and present substantial risks to the security and continuity of real estate development. Overall, these findings justify the perception that the current land policy environment in Alagbon is encumbered by procedural complexities, financial barriers, administrative delays, and conflicts that collectively impede smooth real estate growth. Addressing these bottlenecks would be essential to facilitating more efficient land transactions and fostering a more enabling atmosphere for property development in the area.</w:t>
      </w: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Table 4.8: Perceived Policy Bottlenecks</w:t>
      </w:r>
    </w:p>
    <w:tbl>
      <w:tblPr>
        <w:tblStyle w:val="TableGrid"/>
        <w:tblW w:w="0" w:type="auto"/>
        <w:tblLook w:val="04A0"/>
      </w:tblPr>
      <w:tblGrid>
        <w:gridCol w:w="3438"/>
        <w:gridCol w:w="2340"/>
        <w:gridCol w:w="3150"/>
      </w:tblGrid>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b/>
                <w:sz w:val="24"/>
                <w:szCs w:val="24"/>
              </w:rPr>
            </w:pPr>
            <w:r w:rsidRPr="007C7383">
              <w:rPr>
                <w:rFonts w:ascii="Times New Roman" w:hAnsi="Times New Roman" w:cs="Times New Roman"/>
                <w:b/>
                <w:sz w:val="24"/>
                <w:szCs w:val="24"/>
              </w:rPr>
              <w:t>Bottle neck</w:t>
            </w:r>
          </w:p>
        </w:tc>
        <w:tc>
          <w:tcPr>
            <w:tcW w:w="2340" w:type="dxa"/>
            <w:vAlign w:val="center"/>
          </w:tcPr>
          <w:p w:rsidR="009F2AC0" w:rsidRPr="007C7383" w:rsidRDefault="009F2AC0" w:rsidP="00301C61">
            <w:pPr>
              <w:spacing w:line="360" w:lineRule="auto"/>
              <w:jc w:val="center"/>
              <w:rPr>
                <w:rFonts w:ascii="Times New Roman" w:hAnsi="Times New Roman" w:cs="Times New Roman"/>
                <w:b/>
                <w:sz w:val="24"/>
                <w:szCs w:val="24"/>
              </w:rPr>
            </w:pPr>
            <w:r w:rsidRPr="007C7383">
              <w:rPr>
                <w:rFonts w:ascii="Times New Roman" w:hAnsi="Times New Roman" w:cs="Times New Roman"/>
                <w:b/>
                <w:sz w:val="24"/>
                <w:szCs w:val="24"/>
              </w:rPr>
              <w:t>Frequency</w:t>
            </w:r>
          </w:p>
        </w:tc>
        <w:tc>
          <w:tcPr>
            <w:tcW w:w="3150" w:type="dxa"/>
            <w:vAlign w:val="center"/>
          </w:tcPr>
          <w:p w:rsidR="009F2AC0" w:rsidRPr="007C7383" w:rsidRDefault="009F2AC0" w:rsidP="00301C61">
            <w:pPr>
              <w:spacing w:line="360" w:lineRule="auto"/>
              <w:jc w:val="center"/>
              <w:rPr>
                <w:rFonts w:ascii="Times New Roman" w:hAnsi="Times New Roman" w:cs="Times New Roman"/>
                <w:b/>
                <w:sz w:val="24"/>
                <w:szCs w:val="24"/>
              </w:rPr>
            </w:pPr>
            <w:r w:rsidRPr="007C7383">
              <w:rPr>
                <w:rFonts w:ascii="Times New Roman" w:hAnsi="Times New Roman" w:cs="Times New Roman"/>
                <w:b/>
                <w:sz w:val="24"/>
                <w:szCs w:val="24"/>
              </w:rPr>
              <w:t xml:space="preserve">Percentage </w:t>
            </w:r>
            <w:r w:rsidRPr="007C7383">
              <w:rPr>
                <w:rFonts w:ascii="Times New Roman" w:hAnsi="Times New Roman" w:cs="Times New Roman"/>
                <w:b/>
                <w:bCs/>
                <w:sz w:val="24"/>
                <w:szCs w:val="24"/>
              </w:rPr>
              <w:t>(%)</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Multiple Approval Stages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29.2</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High Documentation Cost</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25.0</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Delays from Government</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28</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23.3</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Land Disputes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27</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22.5</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100.0</w:t>
            </w:r>
          </w:p>
        </w:tc>
      </w:tr>
    </w:tbl>
    <w:p w:rsidR="009F2AC0"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4.4.3</w:t>
      </w:r>
      <w:r w:rsidRPr="007C7383">
        <w:rPr>
          <w:rStyle w:val="Strong"/>
          <w:b/>
          <w:bCs/>
          <w:sz w:val="24"/>
          <w:szCs w:val="24"/>
        </w:rPr>
        <w:tab/>
        <w:t>Coping Strategies Adopted by Developers</w:t>
      </w:r>
    </w:p>
    <w:p w:rsidR="009F2AC0" w:rsidRPr="007C7383" w:rsidRDefault="009F2AC0" w:rsidP="009F2AC0">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data reveals that a significant portion of developers, approximately 29.2%, rely on agents or middlemen as a primary coping strategy to navigate the challenges posed by land policies and bureaucratic processes. This reliance suggests that many developers find it necessary to engage intermediaries who can facilitate communication and negotiations with regulatory authorities. Additionally, 25.0% of respondents admitted to using bribery as a means to expedite approval and processing times, highlighting the existence of informal practices that help circumvent </w:t>
      </w:r>
      <w:r w:rsidRPr="007C7383">
        <w:rPr>
          <w:rFonts w:ascii="Times New Roman" w:eastAsia="Times New Roman" w:hAnsi="Times New Roman" w:cs="Times New Roman"/>
          <w:sz w:val="24"/>
          <w:szCs w:val="24"/>
        </w:rPr>
        <w:lastRenderedPageBreak/>
        <w:t>delays in the development process. Another notable strategy is the payment of “facilitation fees,” adopted by 20.8% of developers, indicating that extra payments are often considered a pragmatic solution to overcome procedural bottlenecks.</w:t>
      </w:r>
    </w:p>
    <w:p w:rsidR="009F2AC0" w:rsidRPr="007C7383"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Furthermore, 16.7% of developers cope by delaying development altogether, possibly as a response to difficulties in obtaining timely approvals or due to uncertainty within the regulatory environment. Only 8.3% reported using legal action or advocacy as a strategy, which may indicate either limited access to formal legal mechanisms or a perception that such approaches are less effective or more time-consuming. Overall, the predominance of informal coping mechanisms such as engaging middlemen, paying facilitation fees, and bribery underscores the challenges faced by developers in adhering strictly to formal land policy procedures. These findings justify the need for policy reforms aimed at streamlining processes, enhancing transparency, and reducing bureaucratic inefficiencies to minimize the reliance on such coping strategies.</w:t>
      </w:r>
    </w:p>
    <w:p w:rsidR="009F2AC0" w:rsidRPr="007C7383" w:rsidRDefault="009F2AC0" w:rsidP="009F2AC0">
      <w:pPr>
        <w:pStyle w:val="Heading3"/>
        <w:spacing w:before="0" w:beforeAutospacing="0" w:after="0" w:afterAutospacing="0" w:line="360" w:lineRule="auto"/>
        <w:rPr>
          <w:rStyle w:val="Emphasis"/>
          <w:i w:val="0"/>
          <w:iCs w:val="0"/>
          <w:sz w:val="24"/>
          <w:szCs w:val="24"/>
        </w:rPr>
      </w:pPr>
      <w:r w:rsidRPr="007C7383">
        <w:rPr>
          <w:rStyle w:val="Strong"/>
          <w:b/>
          <w:bCs/>
          <w:sz w:val="24"/>
          <w:szCs w:val="24"/>
        </w:rPr>
        <w:t>Table 4.9: Coping Strategies Adopted by Developers</w:t>
      </w:r>
    </w:p>
    <w:tbl>
      <w:tblPr>
        <w:tblStyle w:val="TableGrid"/>
        <w:tblW w:w="0" w:type="auto"/>
        <w:tblLook w:val="04A0"/>
      </w:tblPr>
      <w:tblGrid>
        <w:gridCol w:w="3438"/>
        <w:gridCol w:w="2340"/>
        <w:gridCol w:w="3150"/>
      </w:tblGrid>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Coping Strategy</w:t>
            </w:r>
          </w:p>
        </w:tc>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Frequency</w:t>
            </w:r>
          </w:p>
        </w:tc>
        <w:tc>
          <w:tcPr>
            <w:tcW w:w="315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Percentage (%)</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Using Agents/Middlemen</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29.2</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Payment of “Facilitation Fees”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20.8</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Bribery to Expedite Process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25.0</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Legal Action/Advocacy</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8.3</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Delaying Development</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16.7</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100.0</w:t>
            </w:r>
          </w:p>
        </w:tc>
      </w:tr>
    </w:tbl>
    <w:p w:rsidR="009F2AC0" w:rsidRPr="007C7383" w:rsidRDefault="009F2AC0" w:rsidP="009F2AC0">
      <w:pPr>
        <w:pStyle w:val="NormalWeb"/>
        <w:spacing w:before="0" w:beforeAutospacing="0" w:after="0" w:afterAutospacing="0" w:line="360" w:lineRule="auto"/>
        <w:rPr>
          <w:rStyle w:val="Emphasis"/>
        </w:rPr>
      </w:pPr>
    </w:p>
    <w:p w:rsidR="009F2AC0" w:rsidRPr="007C7383" w:rsidRDefault="009F2AC0" w:rsidP="009F2AC0">
      <w:pPr>
        <w:pStyle w:val="NormalWeb"/>
        <w:spacing w:before="0" w:beforeAutospacing="0" w:after="0" w:afterAutospacing="0" w:line="360" w:lineRule="auto"/>
        <w:ind w:left="720" w:hanging="720"/>
        <w:rPr>
          <w:rStyle w:val="Emphasis"/>
          <w:b/>
          <w:i w:val="0"/>
        </w:rPr>
      </w:pPr>
      <w:r w:rsidRPr="007C7383">
        <w:rPr>
          <w:rStyle w:val="Emphasis"/>
          <w:b/>
          <w:i w:val="0"/>
        </w:rPr>
        <w:t>4.5</w:t>
      </w:r>
      <w:r w:rsidRPr="007C7383">
        <w:rPr>
          <w:rStyle w:val="Emphasis"/>
          <w:b/>
          <w:i w:val="0"/>
        </w:rPr>
        <w:tab/>
        <w:t>The level of compliance with land policies and regulations by property developers in the area</w:t>
      </w:r>
    </w:p>
    <w:p w:rsidR="009F2AC0" w:rsidRPr="007C7383" w:rsidRDefault="009F2AC0" w:rsidP="009F2AC0">
      <w:pPr>
        <w:pStyle w:val="Heading3"/>
        <w:spacing w:before="0" w:beforeAutospacing="0" w:after="0" w:afterAutospacing="0" w:line="360" w:lineRule="auto"/>
        <w:rPr>
          <w:sz w:val="24"/>
          <w:szCs w:val="24"/>
        </w:rPr>
      </w:pPr>
      <w:r w:rsidRPr="007C7383">
        <w:rPr>
          <w:rStyle w:val="Emphasis"/>
          <w:i w:val="0"/>
          <w:sz w:val="24"/>
          <w:szCs w:val="24"/>
        </w:rPr>
        <w:t>4.5.1</w:t>
      </w:r>
      <w:r w:rsidRPr="007C7383">
        <w:rPr>
          <w:rStyle w:val="Emphasis"/>
          <w:b w:val="0"/>
          <w:i w:val="0"/>
          <w:sz w:val="24"/>
          <w:szCs w:val="24"/>
        </w:rPr>
        <w:tab/>
      </w:r>
      <w:r w:rsidRPr="007C7383">
        <w:rPr>
          <w:rStyle w:val="Strong"/>
          <w:b/>
          <w:bCs/>
          <w:sz w:val="24"/>
          <w:szCs w:val="24"/>
        </w:rPr>
        <w:t>Building Plan Approval vs. Developer Type</w:t>
      </w:r>
    </w:p>
    <w:p w:rsidR="009F2AC0" w:rsidRPr="007C7383"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data reveals that 54% of the respondents obtained building plan approval before commencing development, while 46% did not. Among registered developers, a high compliance rate of 87% was observed, with 26 out of 30 obtaining approval. In contrast, informal developers showed much lower compliance, with only 40% obtaining approval and 60% proceeding without it. Private individuals were evenly split, with 50% obtaining approval and 50% not. Landowners </w:t>
      </w:r>
      <w:r w:rsidRPr="007C7383">
        <w:rPr>
          <w:rFonts w:ascii="Times New Roman" w:eastAsia="Times New Roman" w:hAnsi="Times New Roman" w:cs="Times New Roman"/>
          <w:sz w:val="24"/>
          <w:szCs w:val="24"/>
        </w:rPr>
        <w:lastRenderedPageBreak/>
        <w:t>who built their own properties demonstrated the lowest level of compliance, with only 33% obtaining approval and 67% developing without prior authorization.</w:t>
      </w:r>
    </w:p>
    <w:p w:rsidR="009F2AC0" w:rsidRPr="007C7383" w:rsidRDefault="009F2AC0" w:rsidP="009F2AC0">
      <w:pPr>
        <w:spacing w:after="0" w:line="360" w:lineRule="auto"/>
        <w:jc w:val="both"/>
        <w:rPr>
          <w:rStyle w:val="Strong"/>
          <w:rFonts w:ascii="Times New Roman" w:eastAsia="Times New Roman" w:hAnsi="Times New Roman" w:cs="Times New Roman"/>
          <w:b w:val="0"/>
          <w:bCs w:val="0"/>
          <w:sz w:val="24"/>
          <w:szCs w:val="24"/>
        </w:rPr>
      </w:pPr>
      <w:r w:rsidRPr="007C7383">
        <w:rPr>
          <w:rFonts w:ascii="Times New Roman" w:eastAsia="Times New Roman" w:hAnsi="Times New Roman" w:cs="Times New Roman"/>
          <w:sz w:val="24"/>
          <w:szCs w:val="24"/>
        </w:rPr>
        <w:t>This distribution suggests that formal registration status strongly influences adherence to regulatory requirements. Registered developers appear more aware or capable of navigating the approval processes, resulting in higher compliance. On the other hand, informal developers, private individuals, and self-built landowners face challenges or choose to bypass formal approval channels. The relatively high proportion of non-compliance among these groups may stem from barriers such as cost, bureaucratic delays, or limited access to information and resources needed to secure building permits. The data highlights the need for targeted interventions to improve awareness, accessibility, and enforcement of building regulations to enhance compliance across all developer categories.</w:t>
      </w:r>
      <w:r w:rsidRPr="007C7383">
        <w:rPr>
          <w:rFonts w:ascii="Times New Roman" w:eastAsia="Times New Roman" w:hAnsi="Times New Roman" w:cs="Times New Roman"/>
          <w:vanish/>
          <w:sz w:val="24"/>
          <w:szCs w:val="24"/>
        </w:rPr>
        <w:t>Bottom of Form</w:t>
      </w:r>
    </w:p>
    <w:p w:rsidR="009F2AC0" w:rsidRPr="007C7383" w:rsidRDefault="009F2AC0" w:rsidP="009F2AC0">
      <w:pPr>
        <w:pStyle w:val="Heading3"/>
        <w:spacing w:before="0" w:beforeAutospacing="0" w:after="0" w:afterAutospacing="0"/>
        <w:rPr>
          <w:sz w:val="24"/>
          <w:szCs w:val="24"/>
        </w:rPr>
      </w:pPr>
      <w:r w:rsidRPr="007C7383">
        <w:rPr>
          <w:rStyle w:val="Strong"/>
          <w:b/>
          <w:bCs/>
          <w:sz w:val="24"/>
          <w:szCs w:val="24"/>
        </w:rPr>
        <w:t>Table 4.10: Building Plan Approval vs. Developer Type</w:t>
      </w:r>
    </w:p>
    <w:tbl>
      <w:tblPr>
        <w:tblStyle w:val="TableGrid"/>
        <w:tblW w:w="0" w:type="auto"/>
        <w:tblLook w:val="04A0"/>
      </w:tblPr>
      <w:tblGrid>
        <w:gridCol w:w="2718"/>
        <w:gridCol w:w="2520"/>
        <w:gridCol w:w="2340"/>
        <w:gridCol w:w="1998"/>
      </w:tblGrid>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Developer Type</w:t>
            </w:r>
          </w:p>
        </w:tc>
        <w:tc>
          <w:tcPr>
            <w:tcW w:w="252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Obtained Approval</w:t>
            </w:r>
          </w:p>
        </w:tc>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No Approval</w:t>
            </w:r>
          </w:p>
        </w:tc>
        <w:tc>
          <w:tcPr>
            <w:tcW w:w="199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Total</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Registered Developers</w:t>
            </w:r>
          </w:p>
        </w:tc>
        <w:tc>
          <w:tcPr>
            <w:tcW w:w="252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26</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4</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Informal Developers</w:t>
            </w:r>
          </w:p>
        </w:tc>
        <w:tc>
          <w:tcPr>
            <w:tcW w:w="252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12</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18</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Private Individuals</w:t>
            </w:r>
          </w:p>
        </w:tc>
        <w:tc>
          <w:tcPr>
            <w:tcW w:w="252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15</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15</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Landowners (Self-Built)</w:t>
            </w:r>
          </w:p>
        </w:tc>
        <w:tc>
          <w:tcPr>
            <w:tcW w:w="252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10</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r>
      <w:tr w:rsidR="009F2AC0" w:rsidRPr="007C7383" w:rsidTr="00301C61">
        <w:tc>
          <w:tcPr>
            <w:tcW w:w="271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52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63</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57</w:t>
            </w:r>
          </w:p>
        </w:tc>
        <w:tc>
          <w:tcPr>
            <w:tcW w:w="199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r>
    </w:tbl>
    <w:p w:rsidR="009F2AC0" w:rsidRPr="00AE59C6" w:rsidRDefault="009F2AC0" w:rsidP="009F2AC0">
      <w:pPr>
        <w:rPr>
          <w:rStyle w:val="Strong"/>
          <w:rFonts w:ascii="Times New Roman" w:eastAsia="Times New Roman" w:hAnsi="Times New Roman" w:cs="Times New Roman"/>
          <w:sz w:val="10"/>
          <w:szCs w:val="24"/>
        </w:rPr>
      </w:pP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4.5.2</w:t>
      </w:r>
      <w:r w:rsidRPr="007C7383">
        <w:rPr>
          <w:rStyle w:val="Strong"/>
          <w:b/>
          <w:bCs/>
          <w:sz w:val="24"/>
          <w:szCs w:val="24"/>
        </w:rPr>
        <w:tab/>
        <w:t>Land Title Documentation Status</w:t>
      </w:r>
    </w:p>
    <w:p w:rsidR="009F2AC0" w:rsidRDefault="009F2AC0" w:rsidP="009F2A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The data on land title documentation status in the study area reveals that 33.3% of respondents possess a Deed of Assignment, making it the most common form of documentation among the surveyed population. This is closely followed by 26.7% who hold a Certificate of Occupancy, which is the formal government-issued land title. Meanwhile, 23.3% of respondents rely solely on customary agreements, reflecting traditional land tenure arrangements without formal registration. Notably, 16.7% of the respondents have no documentation at all, indicating a significant portion of land users are operating without official proof of ownership or legal recognition of their land rights.</w:t>
      </w:r>
    </w:p>
    <w:p w:rsidR="009F2AC0" w:rsidRPr="007C7383" w:rsidRDefault="009F2AC0" w:rsidP="009F2AC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findings can be justified by the complex nature of land administration in the area, where formal land titles may not be universally accessible or affordable to all land users. The prevalence of Deed of Assignment suggests that many landholders have acquired land through private transactions, which might not always be registered with formal government agencies. The </w:t>
      </w:r>
      <w:r w:rsidRPr="007C7383">
        <w:rPr>
          <w:rFonts w:ascii="Times New Roman" w:eastAsia="Times New Roman" w:hAnsi="Times New Roman" w:cs="Times New Roman"/>
          <w:sz w:val="24"/>
          <w:szCs w:val="24"/>
        </w:rPr>
        <w:lastRenderedPageBreak/>
        <w:t>relatively high proportion of customary agreements indicates the continued influence of traditional systems in landholding, especially in peri-urban areas. The presence of undocumented land users highlights challenges related to tenure security and the potential risks these landholders face, such as vulnerability to eviction or disputes. Overall, the distribution of documentation status reflects the coexistence of formal and informal landholding systems in the Alagbon area.</w:t>
      </w:r>
    </w:p>
    <w:p w:rsidR="009F2AC0" w:rsidRPr="007C7383" w:rsidRDefault="009F2AC0" w:rsidP="009F2AC0">
      <w:pPr>
        <w:pStyle w:val="Heading3"/>
        <w:spacing w:before="0" w:beforeAutospacing="0" w:after="0" w:afterAutospacing="0"/>
        <w:rPr>
          <w:rStyle w:val="Strong"/>
          <w:b/>
          <w:bCs/>
          <w:sz w:val="24"/>
          <w:szCs w:val="24"/>
        </w:rPr>
      </w:pPr>
      <w:r w:rsidRPr="007C7383">
        <w:rPr>
          <w:rStyle w:val="Strong"/>
          <w:b/>
          <w:bCs/>
          <w:sz w:val="24"/>
          <w:szCs w:val="24"/>
        </w:rPr>
        <w:t>Table 4.11: Land Title Documentation Status</w:t>
      </w:r>
    </w:p>
    <w:tbl>
      <w:tblPr>
        <w:tblStyle w:val="TableGrid"/>
        <w:tblW w:w="0" w:type="auto"/>
        <w:tblLook w:val="04A0"/>
      </w:tblPr>
      <w:tblGrid>
        <w:gridCol w:w="3438"/>
        <w:gridCol w:w="2340"/>
        <w:gridCol w:w="3150"/>
      </w:tblGrid>
      <w:tr w:rsidR="009F2AC0" w:rsidRPr="007C7383" w:rsidTr="00301C61">
        <w:tc>
          <w:tcPr>
            <w:tcW w:w="3438" w:type="dxa"/>
            <w:vAlign w:val="center"/>
          </w:tcPr>
          <w:p w:rsidR="009F2AC0" w:rsidRPr="007C7383" w:rsidRDefault="009F2AC0" w:rsidP="00301C61">
            <w:pPr>
              <w:jc w:val="center"/>
              <w:rPr>
                <w:rFonts w:ascii="Times New Roman" w:hAnsi="Times New Roman" w:cs="Times New Roman"/>
                <w:b/>
                <w:bCs/>
                <w:sz w:val="24"/>
                <w:szCs w:val="24"/>
              </w:rPr>
            </w:pPr>
            <w:r w:rsidRPr="007C7383">
              <w:rPr>
                <w:rFonts w:ascii="Times New Roman" w:hAnsi="Times New Roman" w:cs="Times New Roman"/>
                <w:b/>
                <w:bCs/>
                <w:sz w:val="24"/>
                <w:szCs w:val="24"/>
              </w:rPr>
              <w:t>Title Documentation Status</w:t>
            </w:r>
          </w:p>
        </w:tc>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Frequency</w:t>
            </w:r>
          </w:p>
        </w:tc>
        <w:tc>
          <w:tcPr>
            <w:tcW w:w="315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Percentage (%)</w:t>
            </w:r>
          </w:p>
        </w:tc>
      </w:tr>
      <w:tr w:rsidR="009F2AC0" w:rsidRPr="007C7383" w:rsidTr="00301C61">
        <w:tc>
          <w:tcPr>
            <w:tcW w:w="3438" w:type="dxa"/>
            <w:vAlign w:val="center"/>
          </w:tcPr>
          <w:p w:rsidR="009F2AC0" w:rsidRPr="007C7383" w:rsidRDefault="009F2AC0" w:rsidP="00301C61">
            <w:pPr>
              <w:jc w:val="center"/>
              <w:rPr>
                <w:rFonts w:ascii="Times New Roman" w:hAnsi="Times New Roman" w:cs="Times New Roman"/>
                <w:sz w:val="24"/>
                <w:szCs w:val="24"/>
              </w:rPr>
            </w:pPr>
            <w:r w:rsidRPr="007C7383">
              <w:rPr>
                <w:rFonts w:ascii="Times New Roman" w:hAnsi="Times New Roman" w:cs="Times New Roman"/>
                <w:sz w:val="24"/>
                <w:szCs w:val="24"/>
              </w:rPr>
              <w:t>Certificate of Occupancy</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32</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26.7</w:t>
            </w:r>
          </w:p>
        </w:tc>
      </w:tr>
      <w:tr w:rsidR="009F2AC0" w:rsidRPr="007C7383" w:rsidTr="00301C61">
        <w:tc>
          <w:tcPr>
            <w:tcW w:w="3438" w:type="dxa"/>
            <w:vAlign w:val="center"/>
          </w:tcPr>
          <w:p w:rsidR="009F2AC0" w:rsidRPr="007C7383" w:rsidRDefault="009F2AC0" w:rsidP="00301C61">
            <w:pPr>
              <w:jc w:val="center"/>
              <w:rPr>
                <w:rFonts w:ascii="Times New Roman" w:hAnsi="Times New Roman" w:cs="Times New Roman"/>
                <w:sz w:val="24"/>
                <w:szCs w:val="24"/>
              </w:rPr>
            </w:pPr>
            <w:r w:rsidRPr="007C7383">
              <w:rPr>
                <w:rFonts w:ascii="Times New Roman" w:hAnsi="Times New Roman" w:cs="Times New Roman"/>
                <w:sz w:val="24"/>
                <w:szCs w:val="24"/>
              </w:rPr>
              <w:t>Deed of Assignment</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40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33.3</w:t>
            </w:r>
          </w:p>
        </w:tc>
      </w:tr>
      <w:tr w:rsidR="009F2AC0" w:rsidRPr="007C7383" w:rsidTr="00301C61">
        <w:tc>
          <w:tcPr>
            <w:tcW w:w="3438" w:type="dxa"/>
            <w:vAlign w:val="center"/>
          </w:tcPr>
          <w:p w:rsidR="009F2AC0" w:rsidRPr="007C7383" w:rsidRDefault="009F2AC0" w:rsidP="00301C61">
            <w:pPr>
              <w:jc w:val="center"/>
              <w:rPr>
                <w:rFonts w:ascii="Times New Roman" w:hAnsi="Times New Roman" w:cs="Times New Roman"/>
                <w:sz w:val="24"/>
                <w:szCs w:val="24"/>
              </w:rPr>
            </w:pPr>
            <w:r w:rsidRPr="007C7383">
              <w:rPr>
                <w:rFonts w:ascii="Times New Roman" w:hAnsi="Times New Roman" w:cs="Times New Roman"/>
                <w:sz w:val="24"/>
                <w:szCs w:val="24"/>
              </w:rPr>
              <w:t>Customary Agreement Only</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28</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23.3</w:t>
            </w:r>
          </w:p>
        </w:tc>
      </w:tr>
      <w:tr w:rsidR="009F2AC0" w:rsidRPr="007C7383" w:rsidTr="00301C61">
        <w:tc>
          <w:tcPr>
            <w:tcW w:w="3438" w:type="dxa"/>
            <w:vAlign w:val="center"/>
          </w:tcPr>
          <w:p w:rsidR="009F2AC0" w:rsidRPr="007C7383" w:rsidRDefault="009F2AC0" w:rsidP="00301C61">
            <w:pPr>
              <w:jc w:val="center"/>
              <w:rPr>
                <w:rFonts w:ascii="Times New Roman" w:hAnsi="Times New Roman" w:cs="Times New Roman"/>
                <w:sz w:val="24"/>
                <w:szCs w:val="24"/>
              </w:rPr>
            </w:pPr>
            <w:r w:rsidRPr="007C7383">
              <w:rPr>
                <w:rFonts w:ascii="Times New Roman" w:hAnsi="Times New Roman" w:cs="Times New Roman"/>
                <w:sz w:val="24"/>
                <w:szCs w:val="24"/>
              </w:rPr>
              <w:t>No Documentation</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16.7</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100.0</w:t>
            </w:r>
          </w:p>
        </w:tc>
      </w:tr>
    </w:tbl>
    <w:p w:rsidR="009F2AC0" w:rsidRPr="007C7383" w:rsidRDefault="009F2AC0" w:rsidP="009F2AC0">
      <w:pPr>
        <w:pStyle w:val="Heading3"/>
        <w:spacing w:before="0" w:beforeAutospacing="0" w:after="0" w:afterAutospacing="0" w:line="360" w:lineRule="auto"/>
        <w:rPr>
          <w:rStyle w:val="Strong"/>
          <w:b/>
          <w:bCs/>
          <w:sz w:val="24"/>
          <w:szCs w:val="24"/>
        </w:rPr>
      </w:pPr>
    </w:p>
    <w:p w:rsidR="009F2AC0" w:rsidRDefault="009F2AC0" w:rsidP="009F2AC0">
      <w:pPr>
        <w:rPr>
          <w:rStyle w:val="Strong"/>
          <w:rFonts w:ascii="Times New Roman" w:eastAsia="Times New Roman" w:hAnsi="Times New Roman" w:cs="Times New Roman"/>
          <w:sz w:val="24"/>
          <w:szCs w:val="24"/>
        </w:rPr>
      </w:pPr>
      <w:r>
        <w:rPr>
          <w:rStyle w:val="Strong"/>
          <w:b w:val="0"/>
          <w:bCs w:val="0"/>
          <w:sz w:val="24"/>
          <w:szCs w:val="24"/>
        </w:rPr>
        <w:br w:type="page"/>
      </w: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lastRenderedPageBreak/>
        <w:t>4.5.3</w:t>
      </w:r>
      <w:r w:rsidRPr="007C7383">
        <w:rPr>
          <w:rStyle w:val="Strong"/>
          <w:b/>
          <w:bCs/>
          <w:sz w:val="24"/>
          <w:szCs w:val="24"/>
        </w:rPr>
        <w:tab/>
        <w:t>Compliance with Setback and Density Regulations</w:t>
      </w:r>
    </w:p>
    <w:p w:rsidR="009F2AC0" w:rsidRPr="003A1987" w:rsidRDefault="009F2AC0" w:rsidP="009F2A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1987">
        <w:rPr>
          <w:rFonts w:ascii="Times New Roman" w:eastAsia="Times New Roman" w:hAnsi="Times New Roman" w:cs="Times New Roman"/>
          <w:sz w:val="24"/>
          <w:szCs w:val="24"/>
        </w:rPr>
        <w:t>The data reveals that only 33.3% of respondents fully comply with the setback and density regulations governing real estate development in the Alagbon area. This indicates that just one-third of developers adhere strictly to the planning standards designed to ensure orderly and sustainable development. A larger proportion, 41.7%, are partially compliant, meaning that while they observe some aspects of the regulations, they do not fully meet all the requirements. This partial compliance could be due to challenges in understanding or implementing all facets of the regulations or a strategic choice to balance regulatory demands with development pressures. Notably, 25.0% of respondents do not comply with setback and density regulations at all, signaling a significant level of non-adherence within the development community.</w:t>
      </w:r>
    </w:p>
    <w:p w:rsidR="009F2AC0" w:rsidRPr="003A1987" w:rsidRDefault="009F2AC0" w:rsidP="009F2AC0">
      <w:pPr>
        <w:spacing w:after="0" w:line="360" w:lineRule="auto"/>
        <w:jc w:val="both"/>
        <w:rPr>
          <w:rFonts w:ascii="Times New Roman" w:eastAsia="Times New Roman" w:hAnsi="Times New Roman" w:cs="Times New Roman"/>
          <w:sz w:val="24"/>
          <w:szCs w:val="24"/>
        </w:rPr>
      </w:pPr>
      <w:r w:rsidRPr="003A1987">
        <w:rPr>
          <w:rFonts w:ascii="Times New Roman" w:eastAsia="Times New Roman" w:hAnsi="Times New Roman" w:cs="Times New Roman"/>
          <w:sz w:val="24"/>
          <w:szCs w:val="24"/>
        </w:rPr>
        <w:t>The findings suggest that there is a considerable gap in regulatory compliance among property developers in Alagbon. The relatively low full compliance rate might be attributed to limited enforcement capacity, awareness, or the costs associated with adhering fully to the regulations. Partial compliance by the largest group implies some recognition of the rules but possibly insufficient incentives or resources to meet all standards. Meanwhile, the presence of a quarter of developers who do not comply at all indicates that regulatory oversight may be weak or that other factors, such as economic constraints or informal practices, influence development behavior. Overall, the data underscores the need for enhanced efforts to improve compliance, including education, enforcement, and support mechanisms for developers to align with established planning regulations.</w:t>
      </w:r>
    </w:p>
    <w:p w:rsidR="009F2AC0" w:rsidRDefault="009F2AC0" w:rsidP="009F2A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F2AC0" w:rsidRPr="003A1987" w:rsidRDefault="009F2AC0" w:rsidP="009F2AC0">
      <w:pPr>
        <w:pBdr>
          <w:top w:val="single" w:sz="6" w:space="1" w:color="auto"/>
        </w:pBdr>
        <w:spacing w:after="0" w:line="360" w:lineRule="auto"/>
        <w:rPr>
          <w:rFonts w:ascii="Times New Roman" w:eastAsia="Times New Roman" w:hAnsi="Times New Roman" w:cs="Times New Roman"/>
          <w:vanish/>
          <w:sz w:val="24"/>
          <w:szCs w:val="24"/>
        </w:rPr>
      </w:pPr>
      <w:r w:rsidRPr="003A1987">
        <w:rPr>
          <w:rFonts w:ascii="Times New Roman" w:eastAsia="Times New Roman" w:hAnsi="Times New Roman" w:cs="Times New Roman"/>
          <w:vanish/>
          <w:sz w:val="24"/>
          <w:szCs w:val="24"/>
        </w:rPr>
        <w:lastRenderedPageBreak/>
        <w:t>Bottom of Form</w:t>
      </w: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Table 4.12: Compliance with Setback and Density Regulations</w:t>
      </w:r>
    </w:p>
    <w:tbl>
      <w:tblPr>
        <w:tblStyle w:val="TableGrid"/>
        <w:tblW w:w="0" w:type="auto"/>
        <w:tblLook w:val="04A0"/>
      </w:tblPr>
      <w:tblGrid>
        <w:gridCol w:w="3438"/>
        <w:gridCol w:w="2340"/>
        <w:gridCol w:w="3150"/>
      </w:tblGrid>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Compliance Status</w:t>
            </w:r>
          </w:p>
        </w:tc>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Frequency</w:t>
            </w:r>
          </w:p>
        </w:tc>
        <w:tc>
          <w:tcPr>
            <w:tcW w:w="315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Percentage (%)</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Fully Compliant</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40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33.3</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Partially Compliant</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50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41.7</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Not Compliant</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25.0</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100.0</w:t>
            </w:r>
          </w:p>
        </w:tc>
      </w:tr>
    </w:tbl>
    <w:p w:rsidR="009F2AC0" w:rsidRPr="007C7383" w:rsidRDefault="009F2AC0" w:rsidP="009F2AC0">
      <w:pPr>
        <w:pStyle w:val="Heading2"/>
        <w:spacing w:before="0" w:beforeAutospacing="0" w:after="0" w:afterAutospacing="0" w:line="360" w:lineRule="auto"/>
        <w:rPr>
          <w:rStyle w:val="Strong"/>
          <w:b/>
          <w:bCs/>
          <w:sz w:val="24"/>
          <w:szCs w:val="24"/>
        </w:rPr>
      </w:pPr>
    </w:p>
    <w:p w:rsidR="009F2AC0" w:rsidRPr="007C7383" w:rsidRDefault="009F2AC0" w:rsidP="009F2AC0">
      <w:pPr>
        <w:pStyle w:val="NormalWeb"/>
        <w:spacing w:before="0" w:beforeAutospacing="0" w:after="0" w:afterAutospacing="0" w:line="360" w:lineRule="auto"/>
        <w:rPr>
          <w:b/>
          <w:i/>
        </w:rPr>
      </w:pPr>
      <w:r w:rsidRPr="007C7383">
        <w:rPr>
          <w:rStyle w:val="Emphasis"/>
          <w:b/>
          <w:i w:val="0"/>
        </w:rPr>
        <w:t>4.6</w:t>
      </w:r>
      <w:r w:rsidRPr="007C7383">
        <w:rPr>
          <w:rStyle w:val="Emphasis"/>
          <w:i w:val="0"/>
        </w:rPr>
        <w:tab/>
      </w:r>
      <w:r w:rsidRPr="007C7383">
        <w:rPr>
          <w:rStyle w:val="Emphasis"/>
          <w:b/>
          <w:i w:val="0"/>
        </w:rPr>
        <w:t xml:space="preserve">Suggest policy reforms or planning strategies that can enhance real estate </w:t>
      </w:r>
      <w:r>
        <w:rPr>
          <w:rStyle w:val="Emphasis"/>
          <w:b/>
          <w:i w:val="0"/>
        </w:rPr>
        <w:tab/>
      </w:r>
      <w:r w:rsidRPr="007C7383">
        <w:rPr>
          <w:rStyle w:val="Emphasis"/>
          <w:b/>
          <w:i w:val="0"/>
        </w:rPr>
        <w:t>development in Alagbon and similar urban areas in Ilorin</w:t>
      </w: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4.6.1</w:t>
      </w:r>
      <w:r w:rsidRPr="007C7383">
        <w:rPr>
          <w:rStyle w:val="Strong"/>
          <w:b/>
          <w:bCs/>
          <w:sz w:val="24"/>
          <w:szCs w:val="24"/>
        </w:rPr>
        <w:tab/>
        <w:t>Preferred Reform Areas by Respondents</w:t>
      </w:r>
    </w:p>
    <w:p w:rsidR="009F2AC0" w:rsidRDefault="009F2AC0" w:rsidP="009F2AC0">
      <w:pPr>
        <w:spacing w:after="0" w:line="360" w:lineRule="auto"/>
        <w:ind w:firstLine="720"/>
        <w:jc w:val="both"/>
        <w:rPr>
          <w:rFonts w:ascii="Times New Roman" w:eastAsia="Times New Roman" w:hAnsi="Times New Roman" w:cs="Times New Roman"/>
          <w:sz w:val="24"/>
          <w:szCs w:val="24"/>
        </w:rPr>
      </w:pPr>
      <w:r w:rsidRPr="003A1987">
        <w:rPr>
          <w:rFonts w:ascii="Times New Roman" w:eastAsia="Times New Roman" w:hAnsi="Times New Roman" w:cs="Times New Roman"/>
          <w:sz w:val="24"/>
          <w:szCs w:val="24"/>
        </w:rPr>
        <w:t>The data shows that 33.3% of respondents identified reducing approval delays as the most preferred reform area, indicating that lengthy and slow processing times are a significant concern affecting real estate development</w:t>
      </w:r>
      <w:r w:rsidRPr="007C7383">
        <w:rPr>
          <w:rFonts w:ascii="Times New Roman" w:eastAsia="Times New Roman" w:hAnsi="Times New Roman" w:cs="Times New Roman"/>
          <w:sz w:val="24"/>
          <w:szCs w:val="24"/>
        </w:rPr>
        <w:t xml:space="preserve"> (Table 4.13)</w:t>
      </w:r>
      <w:r w:rsidRPr="003A1987">
        <w:rPr>
          <w:rFonts w:ascii="Times New Roman" w:eastAsia="Times New Roman" w:hAnsi="Times New Roman" w:cs="Times New Roman"/>
          <w:sz w:val="24"/>
          <w:szCs w:val="24"/>
        </w:rPr>
        <w:t>. Following closely, 29.2% emphasized the need to simplify land documentation, highlighting complexities in the current processes as a major barrier for stakeholders. Digitizing land records was selected by 20.8% of respondents, reflecting a demand for more efficient, transparent, and accessible land information systems. Finally, 16.7% of respondents favored increasing public awareness, suggesting that many individuals may not fully understand existing policies or procedures.</w:t>
      </w:r>
    </w:p>
    <w:p w:rsidR="009F2AC0" w:rsidRPr="007C7383" w:rsidRDefault="009F2AC0" w:rsidP="009F2AC0">
      <w:pPr>
        <w:spacing w:after="0" w:line="360" w:lineRule="auto"/>
        <w:ind w:firstLine="720"/>
        <w:jc w:val="both"/>
        <w:rPr>
          <w:rStyle w:val="Strong"/>
          <w:rFonts w:ascii="Times New Roman" w:eastAsia="Times New Roman" w:hAnsi="Times New Roman" w:cs="Times New Roman"/>
          <w:b w:val="0"/>
          <w:bCs w:val="0"/>
          <w:sz w:val="24"/>
          <w:szCs w:val="24"/>
        </w:rPr>
      </w:pPr>
      <w:r w:rsidRPr="003A1987">
        <w:rPr>
          <w:rFonts w:ascii="Times New Roman" w:eastAsia="Times New Roman" w:hAnsi="Times New Roman" w:cs="Times New Roman"/>
          <w:sz w:val="24"/>
          <w:szCs w:val="24"/>
        </w:rPr>
        <w:t>These findings justify the need for reforms that streamline administrative processes and make land-related services more user-friendly. The call to reduce delays aligns with the desire for faster decision-making that can accelerate development activities. Simplifying documentation will likely lower transaction costs and reduce bureaucratic hurdles, making land acquisition more straightforward for investors and developers. Digitization presents a modern approach to improving record-keeping and reducing errors or fraud, enhancing trust in the system. Increasing public awareness is also critical to ensure that all stakeholders are well-informed, which can improve compliance and participation in land policy implementation. Overall, the percentages clearly indicate that respondents prioritize practical, efficiency-driven reforms to enhance real estate development outcomes.</w:t>
      </w: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Table 4.13: Preferred Reform Areas by Respondents</w:t>
      </w:r>
    </w:p>
    <w:tbl>
      <w:tblPr>
        <w:tblStyle w:val="TableGrid"/>
        <w:tblW w:w="0" w:type="auto"/>
        <w:tblLook w:val="04A0"/>
      </w:tblPr>
      <w:tblGrid>
        <w:gridCol w:w="3438"/>
        <w:gridCol w:w="2340"/>
        <w:gridCol w:w="3150"/>
      </w:tblGrid>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Reform Area</w:t>
            </w:r>
          </w:p>
        </w:tc>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Frequency</w:t>
            </w:r>
          </w:p>
        </w:tc>
        <w:tc>
          <w:tcPr>
            <w:tcW w:w="315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Percentage (%)</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Simplify Land Documentation</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29.2</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lastRenderedPageBreak/>
              <w:t>Reduce Approval Delays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40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33.3</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Digitize Land Records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20.8</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Increase Public Awareness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16.7</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100.0</w:t>
            </w:r>
          </w:p>
        </w:tc>
      </w:tr>
    </w:tbl>
    <w:p w:rsidR="009F2AC0" w:rsidRPr="007C7383"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4.6.2</w:t>
      </w:r>
      <w:r w:rsidRPr="007C7383">
        <w:rPr>
          <w:rStyle w:val="Strong"/>
          <w:b/>
          <w:bCs/>
          <w:sz w:val="24"/>
          <w:szCs w:val="24"/>
        </w:rPr>
        <w:tab/>
        <w:t>Willingness to Pay for Better Land Services</w:t>
      </w:r>
    </w:p>
    <w:p w:rsidR="009F2AC0" w:rsidRDefault="009F2AC0" w:rsidP="009F2A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1987">
        <w:rPr>
          <w:rFonts w:ascii="Times New Roman" w:eastAsia="Times New Roman" w:hAnsi="Times New Roman" w:cs="Times New Roman"/>
          <w:sz w:val="24"/>
          <w:szCs w:val="24"/>
        </w:rPr>
        <w:t xml:space="preserve">The data </w:t>
      </w:r>
      <w:r w:rsidRPr="007C7383">
        <w:rPr>
          <w:rFonts w:ascii="Times New Roman" w:eastAsia="Times New Roman" w:hAnsi="Times New Roman" w:cs="Times New Roman"/>
          <w:sz w:val="24"/>
          <w:szCs w:val="24"/>
        </w:rPr>
        <w:t xml:space="preserve">in Table 4.14 </w:t>
      </w:r>
      <w:r w:rsidRPr="003A1987">
        <w:rPr>
          <w:rFonts w:ascii="Times New Roman" w:eastAsia="Times New Roman" w:hAnsi="Times New Roman" w:cs="Times New Roman"/>
          <w:sz w:val="24"/>
          <w:szCs w:val="24"/>
        </w:rPr>
        <w:t>reveal that a significant majority of respondents in the study area are willing to pay for improved land services. Specifically, 37.5% of respondents indicated their willingness to pay at a premium, suggesting they value enhanced service quality enough to bear additional costs. Meanwhile, 33.3% of the participants are willing to pay the same cost they currently incur, reflecting a positive attitude towards maintaining service standards without necessarily expecting price increases. Together, these groups constitute 70.8% of the sample population, indicating strong overall support for better land service delivery regardless of additional financial burden.</w:t>
      </w:r>
    </w:p>
    <w:p w:rsidR="009F2AC0" w:rsidRPr="003A1987" w:rsidRDefault="009F2AC0" w:rsidP="009F2AC0">
      <w:pPr>
        <w:spacing w:after="0" w:line="360" w:lineRule="auto"/>
        <w:ind w:firstLine="720"/>
        <w:jc w:val="both"/>
        <w:rPr>
          <w:rFonts w:ascii="Times New Roman" w:eastAsia="Times New Roman" w:hAnsi="Times New Roman" w:cs="Times New Roman"/>
          <w:sz w:val="24"/>
          <w:szCs w:val="24"/>
        </w:rPr>
      </w:pPr>
      <w:r w:rsidRPr="003A1987">
        <w:rPr>
          <w:rFonts w:ascii="Times New Roman" w:eastAsia="Times New Roman" w:hAnsi="Times New Roman" w:cs="Times New Roman"/>
          <w:sz w:val="24"/>
          <w:szCs w:val="24"/>
        </w:rPr>
        <w:t>On the other hand, 29.2% of respondents expressed reluctance or unwillingness to pay for improved land services. This minority may represent individuals constrained by financial limitations or skepticism about the actual benefits of enhanced services. However, the fact that nearly three-quarters of the respondents show readiness to invest in better land administration justifies the pursuit of reforms aimed at improving service delivery. It suggests that with transparent and efficient systems in place, there is a solid base of support for funding improvements, which could ultimately enhance compliance, reduce delays, and foster sustainable real estate development in the Alagbon area.</w:t>
      </w: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Table 4.14: Willingness to Pay for Better Land Services</w:t>
      </w:r>
    </w:p>
    <w:tbl>
      <w:tblPr>
        <w:tblStyle w:val="TableGrid"/>
        <w:tblW w:w="0" w:type="auto"/>
        <w:tblLook w:val="04A0"/>
      </w:tblPr>
      <w:tblGrid>
        <w:gridCol w:w="3438"/>
        <w:gridCol w:w="2340"/>
        <w:gridCol w:w="3150"/>
      </w:tblGrid>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Willingness to Pay</w:t>
            </w:r>
          </w:p>
        </w:tc>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Frequency</w:t>
            </w:r>
          </w:p>
        </w:tc>
        <w:tc>
          <w:tcPr>
            <w:tcW w:w="315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Percentage (%)</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Yes, at a premium</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45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37.5</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Yes, at same cost</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40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33.3</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Not Willing</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29.2</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100.0</w:t>
            </w:r>
          </w:p>
        </w:tc>
      </w:tr>
    </w:tbl>
    <w:p w:rsidR="009F2AC0" w:rsidRDefault="009F2AC0" w:rsidP="009F2AC0">
      <w:pPr>
        <w:pStyle w:val="Heading3"/>
        <w:spacing w:before="0" w:beforeAutospacing="0" w:after="0" w:afterAutospacing="0" w:line="360" w:lineRule="auto"/>
        <w:rPr>
          <w:rStyle w:val="Strong"/>
          <w:b/>
          <w:bCs/>
          <w:sz w:val="24"/>
          <w:szCs w:val="24"/>
        </w:rPr>
      </w:pPr>
    </w:p>
    <w:p w:rsidR="009F2AC0" w:rsidRPr="007C7383" w:rsidRDefault="009F2AC0" w:rsidP="009F2AC0">
      <w:pPr>
        <w:pStyle w:val="Heading3"/>
        <w:spacing w:before="0" w:beforeAutospacing="0" w:after="0" w:afterAutospacing="0" w:line="360" w:lineRule="auto"/>
        <w:rPr>
          <w:rStyle w:val="Strong"/>
          <w:b/>
          <w:bCs/>
          <w:sz w:val="24"/>
          <w:szCs w:val="24"/>
        </w:rPr>
      </w:pPr>
      <w:r w:rsidRPr="007C7383">
        <w:rPr>
          <w:rStyle w:val="Strong"/>
          <w:b/>
          <w:bCs/>
          <w:sz w:val="24"/>
          <w:szCs w:val="24"/>
        </w:rPr>
        <w:t>4.6.3</w:t>
      </w:r>
      <w:r w:rsidRPr="007C7383">
        <w:rPr>
          <w:rStyle w:val="Strong"/>
          <w:b/>
          <w:bCs/>
          <w:sz w:val="24"/>
          <w:szCs w:val="24"/>
        </w:rPr>
        <w:tab/>
        <w:t>Respondents’ Suggestions for Effective Implementation</w:t>
      </w:r>
    </w:p>
    <w:p w:rsidR="009F2AC0" w:rsidRPr="003A1987" w:rsidRDefault="009F2AC0" w:rsidP="009F2AC0">
      <w:pPr>
        <w:spacing w:after="0" w:line="360" w:lineRule="auto"/>
        <w:jc w:val="both"/>
        <w:rPr>
          <w:rFonts w:ascii="Times New Roman" w:eastAsia="Times New Roman" w:hAnsi="Times New Roman" w:cs="Times New Roman"/>
          <w:sz w:val="24"/>
          <w:szCs w:val="24"/>
        </w:rPr>
      </w:pPr>
      <w:r w:rsidRPr="003A1987">
        <w:rPr>
          <w:rFonts w:ascii="Times New Roman" w:eastAsia="Times New Roman" w:hAnsi="Times New Roman" w:cs="Times New Roman"/>
          <w:sz w:val="24"/>
          <w:szCs w:val="24"/>
        </w:rPr>
        <w:lastRenderedPageBreak/>
        <w:t>The data on respondents’ suggestions for effective implementation of land policies indicate that 29.2% of the respondents believe community involvement in policy formulation and execution is essential</w:t>
      </w:r>
      <w:r w:rsidRPr="007C7383">
        <w:rPr>
          <w:rFonts w:ascii="Times New Roman" w:eastAsia="Times New Roman" w:hAnsi="Times New Roman" w:cs="Times New Roman"/>
          <w:sz w:val="24"/>
          <w:szCs w:val="24"/>
        </w:rPr>
        <w:t xml:space="preserve"> (Table 4.15)</w:t>
      </w:r>
      <w:r w:rsidRPr="003A1987">
        <w:rPr>
          <w:rFonts w:ascii="Times New Roman" w:eastAsia="Times New Roman" w:hAnsi="Times New Roman" w:cs="Times New Roman"/>
          <w:sz w:val="24"/>
          <w:szCs w:val="24"/>
        </w:rPr>
        <w:t>. This highlights a significant call for inclusive decision-making processes that actively engage local residents and stakeholders. Additionally, 25.0% of respondents emphasize the need for capacity building for officers responsible for land administration, underscoring the importance of strengthening institutional capabilities to enhance efficiency and accountability. An equal percentage (25.0%) also supports public-private partnerships (PPP) as a strategy to improve the implementation process, reflecting a recognition of the value that collaboration between government and private sector actors can bring to real estate development and land management.</w:t>
      </w:r>
    </w:p>
    <w:p w:rsidR="009F2AC0" w:rsidRPr="007C7383" w:rsidRDefault="009F2AC0" w:rsidP="009F2AC0">
      <w:pPr>
        <w:spacing w:after="0" w:line="360" w:lineRule="auto"/>
        <w:jc w:val="both"/>
        <w:rPr>
          <w:rStyle w:val="Strong"/>
          <w:rFonts w:ascii="Times New Roman" w:eastAsia="Times New Roman" w:hAnsi="Times New Roman" w:cs="Times New Roman"/>
          <w:b w:val="0"/>
          <w:bCs w:val="0"/>
          <w:sz w:val="24"/>
          <w:szCs w:val="24"/>
        </w:rPr>
      </w:pPr>
      <w:r w:rsidRPr="003A1987">
        <w:rPr>
          <w:rFonts w:ascii="Times New Roman" w:eastAsia="Times New Roman" w:hAnsi="Times New Roman" w:cs="Times New Roman"/>
          <w:sz w:val="24"/>
          <w:szCs w:val="24"/>
        </w:rPr>
        <w:t>Furthermore, 20.8% of respondents suggest the establishment of mobile monitoring units to ensure proper supervision and enforcement of land policies on the ground. This relatively high percentage points to concerns about existing enforcement mechanisms and the desire for more proactive and flexible oversight approaches. Collectively, these suggestions demonstrate a broad consensus on the need for multi-faceted strategies that combine community participation, institutional strengthening, partnerships, and enhanced monitoring to effectively address challenges in land policy implementation. The distribution of percentages justifies the finding that no single approach is sufficient on its own; rather, a combination of reforms is required to ensure sustainable and effective land governance.</w:t>
      </w:r>
    </w:p>
    <w:p w:rsidR="009F2AC0" w:rsidRPr="007C7383" w:rsidRDefault="009F2AC0" w:rsidP="009F2AC0">
      <w:pPr>
        <w:pStyle w:val="Heading3"/>
        <w:spacing w:before="0" w:beforeAutospacing="0" w:after="0" w:afterAutospacing="0" w:line="360" w:lineRule="auto"/>
        <w:rPr>
          <w:sz w:val="24"/>
          <w:szCs w:val="24"/>
        </w:rPr>
      </w:pPr>
      <w:r w:rsidRPr="007C7383">
        <w:rPr>
          <w:rStyle w:val="Strong"/>
          <w:b/>
          <w:bCs/>
          <w:sz w:val="24"/>
          <w:szCs w:val="24"/>
        </w:rPr>
        <w:t>Table 4.15: Respondents’ Suggestions for Effective Implementation</w:t>
      </w:r>
    </w:p>
    <w:tbl>
      <w:tblPr>
        <w:tblStyle w:val="TableGrid"/>
        <w:tblW w:w="0" w:type="auto"/>
        <w:tblLook w:val="04A0"/>
      </w:tblPr>
      <w:tblGrid>
        <w:gridCol w:w="3438"/>
        <w:gridCol w:w="2340"/>
        <w:gridCol w:w="3150"/>
      </w:tblGrid>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Suggested Strategy</w:t>
            </w:r>
          </w:p>
        </w:tc>
        <w:tc>
          <w:tcPr>
            <w:tcW w:w="234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Frequency</w:t>
            </w:r>
          </w:p>
        </w:tc>
        <w:tc>
          <w:tcPr>
            <w:tcW w:w="3150" w:type="dxa"/>
            <w:vAlign w:val="center"/>
          </w:tcPr>
          <w:p w:rsidR="009F2AC0" w:rsidRPr="007C7383" w:rsidRDefault="009F2AC0" w:rsidP="00301C61">
            <w:pPr>
              <w:spacing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Percentage (%)</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Community Involvement in Policy</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29.2</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Mobile Monitoring Units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20.8</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Public-Private Partnership (PPP)</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25.0</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Capacity Building for Officers</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30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Fonts w:ascii="Times New Roman" w:hAnsi="Times New Roman" w:cs="Times New Roman"/>
                <w:sz w:val="24"/>
                <w:szCs w:val="24"/>
              </w:rPr>
              <w:t>25.0</w:t>
            </w:r>
          </w:p>
        </w:tc>
      </w:tr>
      <w:tr w:rsidR="009F2AC0" w:rsidRPr="007C7383" w:rsidTr="00301C61">
        <w:tc>
          <w:tcPr>
            <w:tcW w:w="3438"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Total</w:t>
            </w:r>
          </w:p>
        </w:tc>
        <w:tc>
          <w:tcPr>
            <w:tcW w:w="234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120</w:t>
            </w:r>
          </w:p>
        </w:tc>
        <w:tc>
          <w:tcPr>
            <w:tcW w:w="3150" w:type="dxa"/>
            <w:vAlign w:val="center"/>
          </w:tcPr>
          <w:p w:rsidR="009F2AC0" w:rsidRPr="007C7383" w:rsidRDefault="009F2AC0" w:rsidP="00301C61">
            <w:pPr>
              <w:spacing w:line="360" w:lineRule="auto"/>
              <w:jc w:val="center"/>
              <w:rPr>
                <w:rFonts w:ascii="Times New Roman" w:hAnsi="Times New Roman" w:cs="Times New Roman"/>
                <w:sz w:val="24"/>
                <w:szCs w:val="24"/>
              </w:rPr>
            </w:pPr>
            <w:r w:rsidRPr="007C7383">
              <w:rPr>
                <w:rStyle w:val="Strong"/>
                <w:rFonts w:ascii="Times New Roman" w:hAnsi="Times New Roman" w:cs="Times New Roman"/>
                <w:sz w:val="24"/>
                <w:szCs w:val="24"/>
              </w:rPr>
              <w:t>100.0</w:t>
            </w:r>
          </w:p>
        </w:tc>
      </w:tr>
    </w:tbl>
    <w:p w:rsidR="009F2AC0" w:rsidRPr="007C7383" w:rsidRDefault="009F2AC0" w:rsidP="009F2AC0">
      <w:pPr>
        <w:spacing w:after="0" w:line="360" w:lineRule="auto"/>
        <w:jc w:val="both"/>
        <w:rPr>
          <w:rFonts w:ascii="Times New Roman" w:eastAsia="Times New Roman" w:hAnsi="Times New Roman" w:cs="Times New Roman"/>
          <w:sz w:val="24"/>
          <w:szCs w:val="24"/>
        </w:rPr>
      </w:pPr>
    </w:p>
    <w:p w:rsidR="00CE7400" w:rsidRDefault="009F2AC0" w:rsidP="009F2AC0">
      <w:r w:rsidRPr="007C7383">
        <w:rPr>
          <w:rFonts w:ascii="Times New Roman" w:hAnsi="Times New Roman" w:cs="Times New Roman"/>
          <w:sz w:val="24"/>
          <w:szCs w:val="24"/>
        </w:rPr>
        <w:br w:type="page"/>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F2AC0"/>
    <w:rsid w:val="002C2A9C"/>
    <w:rsid w:val="009F2AC0"/>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C0"/>
    <w:rPr>
      <w:rFonts w:eastAsiaTheme="minorEastAsia"/>
    </w:rPr>
  </w:style>
  <w:style w:type="paragraph" w:styleId="Heading2">
    <w:name w:val="heading 2"/>
    <w:basedOn w:val="Normal"/>
    <w:link w:val="Heading2Char"/>
    <w:uiPriority w:val="9"/>
    <w:qFormat/>
    <w:rsid w:val="009F2A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2A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2A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2A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F2A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2AC0"/>
    <w:rPr>
      <w:b/>
      <w:bCs/>
    </w:rPr>
  </w:style>
  <w:style w:type="character" w:styleId="Emphasis">
    <w:name w:val="Emphasis"/>
    <w:basedOn w:val="DefaultParagraphFont"/>
    <w:uiPriority w:val="20"/>
    <w:qFormat/>
    <w:rsid w:val="009F2AC0"/>
    <w:rPr>
      <w:i/>
      <w:iCs/>
    </w:rPr>
  </w:style>
  <w:style w:type="table" w:styleId="TableGrid">
    <w:name w:val="Table Grid"/>
    <w:basedOn w:val="TableNormal"/>
    <w:uiPriority w:val="59"/>
    <w:rsid w:val="009F2AC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4373</Words>
  <Characters>24932</Characters>
  <Application>Microsoft Office Word</Application>
  <DocSecurity>0</DocSecurity>
  <Lines>207</Lines>
  <Paragraphs>58</Paragraphs>
  <ScaleCrop>false</ScaleCrop>
  <Company/>
  <LinksUpToDate>false</LinksUpToDate>
  <CharactersWithSpaces>29247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2025-07-09T10:19:00Z</dcterms:created>
  <dcterms:modified xsi:type="dcterms:W3CDTF">2025-07-09T10:19:00Z</dcterms:modified>
</cp:coreProperties>
</file>