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793" w:rsidRPr="00433724" w:rsidRDefault="00B54793" w:rsidP="00B54793">
      <w:pPr>
        <w:spacing w:after="0" w:line="480" w:lineRule="auto"/>
        <w:ind w:left="2880" w:firstLine="720"/>
        <w:jc w:val="both"/>
        <w:rPr>
          <w:rFonts w:ascii="Times New Roman" w:eastAsia="Times New Roman" w:hAnsi="Times New Roman" w:cs="Times New Roman"/>
          <w:b/>
          <w:color w:val="000000" w:themeColor="text1"/>
          <w:sz w:val="28"/>
          <w:szCs w:val="28"/>
        </w:rPr>
      </w:pPr>
      <w:r w:rsidRPr="00433724">
        <w:rPr>
          <w:rFonts w:ascii="Times New Roman" w:eastAsia="Times New Roman" w:hAnsi="Times New Roman" w:cs="Times New Roman"/>
          <w:b/>
          <w:color w:val="000000" w:themeColor="text1"/>
          <w:sz w:val="28"/>
          <w:szCs w:val="28"/>
        </w:rPr>
        <w:t xml:space="preserve">CHAPTER FIVE </w:t>
      </w:r>
    </w:p>
    <w:p w:rsidR="00B54793" w:rsidRPr="00433724" w:rsidRDefault="00B54793" w:rsidP="00B54793">
      <w:pPr>
        <w:spacing w:after="0" w:line="480" w:lineRule="auto"/>
        <w:jc w:val="both"/>
        <w:rPr>
          <w:rFonts w:ascii="Times New Roman" w:eastAsia="Times New Roman" w:hAnsi="Times New Roman" w:cs="Times New Roman"/>
          <w:b/>
          <w:color w:val="000000" w:themeColor="text1"/>
          <w:sz w:val="28"/>
          <w:szCs w:val="28"/>
        </w:rPr>
      </w:pPr>
      <w:r w:rsidRPr="00433724">
        <w:rPr>
          <w:rFonts w:ascii="Times New Roman" w:eastAsia="Times New Roman" w:hAnsi="Times New Roman" w:cs="Times New Roman"/>
          <w:b/>
          <w:color w:val="000000" w:themeColor="text1"/>
          <w:sz w:val="28"/>
          <w:szCs w:val="28"/>
        </w:rPr>
        <w:t>5.0</w:t>
      </w:r>
      <w:r w:rsidRPr="00433724">
        <w:rPr>
          <w:rFonts w:ascii="Times New Roman" w:eastAsia="Times New Roman" w:hAnsi="Times New Roman" w:cs="Times New Roman"/>
          <w:b/>
          <w:color w:val="000000" w:themeColor="text1"/>
          <w:sz w:val="28"/>
          <w:szCs w:val="28"/>
        </w:rPr>
        <w:tab/>
        <w:t>SUMMARY, CONCLUSION AND RECOMMENDATION</w:t>
      </w:r>
    </w:p>
    <w:p w:rsidR="00B54793" w:rsidRPr="00433724" w:rsidRDefault="00B54793" w:rsidP="00B54793">
      <w:pPr>
        <w:pStyle w:val="NormalWeb"/>
        <w:spacing w:before="0" w:beforeAutospacing="0" w:after="0" w:afterAutospacing="0" w:line="600" w:lineRule="auto"/>
        <w:jc w:val="both"/>
        <w:rPr>
          <w:b/>
          <w:sz w:val="28"/>
          <w:szCs w:val="28"/>
        </w:rPr>
      </w:pPr>
      <w:r w:rsidRPr="00433724">
        <w:rPr>
          <w:b/>
          <w:sz w:val="28"/>
          <w:szCs w:val="28"/>
        </w:rPr>
        <w:t xml:space="preserve">5.1 </w:t>
      </w:r>
      <w:r w:rsidRPr="00433724">
        <w:rPr>
          <w:b/>
          <w:sz w:val="28"/>
          <w:szCs w:val="28"/>
        </w:rPr>
        <w:tab/>
        <w:t>Introduction</w:t>
      </w:r>
      <w:r w:rsidRPr="00433724">
        <w:rPr>
          <w:b/>
          <w:sz w:val="28"/>
          <w:szCs w:val="28"/>
        </w:rPr>
        <w:tab/>
      </w:r>
    </w:p>
    <w:p w:rsidR="00B54793" w:rsidRPr="00433724" w:rsidRDefault="00B54793" w:rsidP="00B54793">
      <w:pPr>
        <w:pStyle w:val="NoSpacing"/>
        <w:spacing w:line="480" w:lineRule="auto"/>
        <w:jc w:val="both"/>
        <w:rPr>
          <w:rFonts w:ascii="Times New Roman" w:hAnsi="Times New Roman" w:cs="Times New Roman"/>
        </w:rPr>
      </w:pPr>
      <w:r w:rsidRPr="00433724">
        <w:rPr>
          <w:rFonts w:ascii="Times New Roman" w:hAnsi="Times New Roman" w:cs="Times New Roman"/>
          <w:sz w:val="28"/>
          <w:szCs w:val="28"/>
        </w:rPr>
        <w:t>It is important to ascertain that the objective of this study was to ascertain effect of tax morale on tax compliance in Nigeria</w:t>
      </w:r>
    </w:p>
    <w:p w:rsidR="00B54793" w:rsidRPr="00433724" w:rsidRDefault="00B54793" w:rsidP="00B54793">
      <w:pPr>
        <w:pStyle w:val="NoSpacing"/>
        <w:spacing w:line="480" w:lineRule="auto"/>
        <w:jc w:val="both"/>
        <w:rPr>
          <w:rFonts w:ascii="Times New Roman" w:hAnsi="Times New Roman" w:cs="Times New Roman"/>
          <w:sz w:val="28"/>
          <w:szCs w:val="28"/>
        </w:rPr>
      </w:pPr>
      <w:r w:rsidRPr="00433724">
        <w:rPr>
          <w:rFonts w:ascii="Times New Roman" w:hAnsi="Times New Roman" w:cs="Times New Roman"/>
          <w:sz w:val="28"/>
          <w:szCs w:val="28"/>
        </w:rPr>
        <w:t>In the preceding chapter, the relevant data collected for this study were presented, critically analyzed and appropriate interpretation given. In this chapter, certain recommendations made which in the opinion of the researcher will be of benefits in addressing the challenges of tax morale on tax compliance in Nigeria</w:t>
      </w:r>
    </w:p>
    <w:p w:rsidR="00B54793" w:rsidRPr="00433724" w:rsidRDefault="00B54793" w:rsidP="00B54793">
      <w:pPr>
        <w:pStyle w:val="NoSpacing"/>
        <w:spacing w:line="480" w:lineRule="auto"/>
        <w:jc w:val="both"/>
        <w:rPr>
          <w:rFonts w:ascii="Times New Roman" w:hAnsi="Times New Roman" w:cs="Times New Roman"/>
          <w:b/>
          <w:sz w:val="28"/>
          <w:szCs w:val="28"/>
        </w:rPr>
      </w:pPr>
      <w:r w:rsidRPr="00433724">
        <w:rPr>
          <w:rFonts w:ascii="Times New Roman" w:hAnsi="Times New Roman" w:cs="Times New Roman"/>
          <w:b/>
          <w:sz w:val="28"/>
          <w:szCs w:val="28"/>
        </w:rPr>
        <w:t xml:space="preserve"> 5.2 Summary</w:t>
      </w:r>
    </w:p>
    <w:p w:rsidR="00B54793" w:rsidRPr="00433724" w:rsidRDefault="00B54793" w:rsidP="00B54793">
      <w:pPr>
        <w:spacing w:after="0" w:line="480" w:lineRule="auto"/>
        <w:jc w:val="both"/>
        <w:rPr>
          <w:rFonts w:ascii="Times New Roman" w:hAnsi="Times New Roman" w:cs="Times New Roman"/>
          <w:sz w:val="28"/>
          <w:szCs w:val="28"/>
        </w:rPr>
      </w:pPr>
      <w:r w:rsidRPr="00433724">
        <w:rPr>
          <w:rFonts w:ascii="Times New Roman" w:hAnsi="Times New Roman" w:cs="Times New Roman"/>
          <w:sz w:val="28"/>
          <w:szCs w:val="28"/>
        </w:rPr>
        <w:t>This study was on effect of tax morale on tax compliance in Nigeria. Four objectives were raised which included:</w:t>
      </w:r>
      <w:r w:rsidRPr="00433724">
        <w:rPr>
          <w:rFonts w:ascii="Times New Roman" w:hAnsi="Times New Roman" w:cs="Times New Roman"/>
          <w:sz w:val="28"/>
          <w:szCs w:val="28"/>
          <w:shd w:val="clear" w:color="auto" w:fill="FFFFFF"/>
        </w:rPr>
        <w:t xml:space="preserve"> to examine the causes of tax evasion in Nigeria, to examine the level of tax compliance in Ikorodu local government area, to determine the relationship between tax morale and tax compliance in Ikorodu local government area, Lagos state, to recommend ways improving tax morale in Ikorodu local government area, Lagos state</w:t>
      </w:r>
      <w:r w:rsidRPr="00433724">
        <w:rPr>
          <w:rFonts w:ascii="Times New Roman" w:hAnsi="Times New Roman" w:cs="Times New Roman"/>
          <w:sz w:val="28"/>
          <w:szCs w:val="28"/>
        </w:rPr>
        <w:t>. In line with these objectives, two research hypotheses were formulated and two null hypotheses were posited. The total population for the study is 200 staff of Ikorodu local government of Lagos state</w:t>
      </w:r>
      <w:r w:rsidRPr="00433724">
        <w:rPr>
          <w:rFonts w:ascii="Times New Roman" w:hAnsi="Times New Roman" w:cs="Times New Roman"/>
          <w:color w:val="000000" w:themeColor="text1"/>
          <w:sz w:val="28"/>
          <w:szCs w:val="28"/>
        </w:rPr>
        <w:t>.</w:t>
      </w:r>
      <w:r w:rsidRPr="00433724">
        <w:rPr>
          <w:rFonts w:ascii="Times New Roman" w:hAnsi="Times New Roman" w:cs="Times New Roman"/>
          <w:sz w:val="28"/>
          <w:szCs w:val="28"/>
        </w:rPr>
        <w:t xml:space="preserve"> The researcher used questionnaires as the instrument for the data collection. Descriptive Survey research design was adopted for this study. A total of 133 respondents made up directors, </w:t>
      </w:r>
      <w:r w:rsidRPr="00433724">
        <w:rPr>
          <w:rFonts w:ascii="Times New Roman" w:hAnsi="Times New Roman" w:cs="Times New Roman"/>
          <w:sz w:val="28"/>
          <w:szCs w:val="28"/>
        </w:rPr>
        <w:lastRenderedPageBreak/>
        <w:t xml:space="preserve">counselors, senior staff and junior staff was used for the study. The data collected were presented in tables and analyzed using simple percentages and frequencies </w:t>
      </w:r>
    </w:p>
    <w:p w:rsidR="00B54793" w:rsidRPr="00433724" w:rsidRDefault="00B54793" w:rsidP="00B54793">
      <w:pPr>
        <w:spacing w:after="0" w:line="480" w:lineRule="auto"/>
        <w:jc w:val="both"/>
        <w:rPr>
          <w:rFonts w:ascii="Times New Roman" w:hAnsi="Times New Roman" w:cs="Times New Roman"/>
          <w:b/>
          <w:sz w:val="28"/>
          <w:szCs w:val="28"/>
        </w:rPr>
      </w:pPr>
      <w:r w:rsidRPr="00433724">
        <w:rPr>
          <w:rFonts w:ascii="Times New Roman" w:hAnsi="Times New Roman" w:cs="Times New Roman"/>
          <w:b/>
          <w:sz w:val="28"/>
          <w:szCs w:val="28"/>
        </w:rPr>
        <w:t>5.3 Conclusion</w:t>
      </w:r>
    </w:p>
    <w:p w:rsidR="00B54793" w:rsidRPr="00433724" w:rsidRDefault="00B54793" w:rsidP="00B54793">
      <w:pPr>
        <w:spacing w:after="0" w:line="480" w:lineRule="auto"/>
        <w:jc w:val="both"/>
        <w:rPr>
          <w:rFonts w:ascii="Times New Roman" w:hAnsi="Times New Roman" w:cs="Times New Roman"/>
          <w:sz w:val="28"/>
          <w:szCs w:val="28"/>
        </w:rPr>
      </w:pPr>
      <w:r w:rsidRPr="00433724">
        <w:rPr>
          <w:rFonts w:ascii="Times New Roman" w:hAnsi="Times New Roman" w:cs="Times New Roman"/>
          <w:sz w:val="28"/>
          <w:szCs w:val="28"/>
        </w:rPr>
        <w:t xml:space="preserve">Tax compliance (evasion) is a complex decision that is motivated by a variety of factors. The threat of detection and punishment is clearly a factor and evidence from a variety of sources support the proposition that increased enforcement leads to increased compliance. However, observed compliance levels are typically higher than warranted by the level of enforcement. This has led to the formation of theories based on exceptional risk aversion (such as prospect theory and rank dependent expected utility). A promising line of inquiry has been the effect of social norms on compliance behavior. There is evidence that these norms are influenced by the tax regime and by the responsiveness of government to the wishes of the citizens. Thus, some cultural differences in compliance behavior are expected and these differences should be related to tax regimes and government behavior. The results reported in this paper generally support these arguments. We predicted that compliance would be higher in Botswana and this is confirmed by the results from the survey data and the experimental investigations. An alternative explanation of differences in risk attitudes or a reluctance to engage in gambles is rejected by the data. The two subject pools exhibit the same attitudes toward risk in a simple context free gamble experiment. This is a useful result; policy makers are able to influence the perception </w:t>
      </w:r>
      <w:r w:rsidRPr="00433724">
        <w:rPr>
          <w:rFonts w:ascii="Times New Roman" w:hAnsi="Times New Roman" w:cs="Times New Roman"/>
          <w:sz w:val="28"/>
          <w:szCs w:val="28"/>
        </w:rPr>
        <w:lastRenderedPageBreak/>
        <w:t xml:space="preserve">of the public sector much more readily than they can alter the underlying risk behavior of constituents. </w:t>
      </w:r>
    </w:p>
    <w:p w:rsidR="00B54793" w:rsidRPr="00433724" w:rsidRDefault="00B54793" w:rsidP="00B54793">
      <w:pPr>
        <w:spacing w:after="0" w:line="480" w:lineRule="auto"/>
        <w:jc w:val="both"/>
        <w:rPr>
          <w:rFonts w:ascii="Times New Roman" w:hAnsi="Times New Roman" w:cs="Times New Roman"/>
          <w:b/>
          <w:sz w:val="28"/>
          <w:szCs w:val="28"/>
        </w:rPr>
      </w:pPr>
      <w:r w:rsidRPr="00433724">
        <w:rPr>
          <w:rFonts w:ascii="Times New Roman" w:hAnsi="Times New Roman" w:cs="Times New Roman"/>
          <w:b/>
          <w:sz w:val="28"/>
          <w:szCs w:val="28"/>
        </w:rPr>
        <w:t>5.4 Recommendation</w:t>
      </w:r>
    </w:p>
    <w:p w:rsidR="00B54793" w:rsidRPr="00433724" w:rsidRDefault="00B54793" w:rsidP="00B54793">
      <w:pPr>
        <w:spacing w:after="0" w:line="480" w:lineRule="auto"/>
        <w:jc w:val="both"/>
        <w:rPr>
          <w:rFonts w:ascii="Times New Roman" w:hAnsi="Times New Roman" w:cs="Times New Roman"/>
          <w:b/>
          <w:sz w:val="28"/>
          <w:szCs w:val="28"/>
          <w:shd w:val="clear" w:color="auto" w:fill="FFFFFF"/>
        </w:rPr>
      </w:pPr>
      <w:r w:rsidRPr="00433724">
        <w:rPr>
          <w:rFonts w:ascii="Times New Roman" w:hAnsi="Times New Roman" w:cs="Times New Roman"/>
          <w:sz w:val="28"/>
          <w:szCs w:val="28"/>
        </w:rPr>
        <w:t xml:space="preserve">This study has brought to the fore the imperative of tax morale in the achievement of high tax compliance. Based on the findings in this study, we hereby make recommendations that may guide </w:t>
      </w:r>
      <w:proofErr w:type="spellStart"/>
      <w:r w:rsidRPr="00433724">
        <w:rPr>
          <w:rFonts w:ascii="Times New Roman" w:hAnsi="Times New Roman" w:cs="Times New Roman"/>
          <w:sz w:val="28"/>
          <w:szCs w:val="28"/>
        </w:rPr>
        <w:t>programmes</w:t>
      </w:r>
      <w:proofErr w:type="spellEnd"/>
      <w:r w:rsidRPr="00433724">
        <w:rPr>
          <w:rFonts w:ascii="Times New Roman" w:hAnsi="Times New Roman" w:cs="Times New Roman"/>
          <w:sz w:val="28"/>
          <w:szCs w:val="28"/>
        </w:rPr>
        <w:t xml:space="preserve">, policy formulation and implementation of government that seek to increase tax payer's level of tax compliance. If taxpayers do not understand what their obligations are, any intervention to enforce compliance will be perceived as unfair. Thus, there is a need to provide strong taxpayer's services particularly during the tax filing stage. This will include dissemination of information in order to enhance taxpayer compliance and also introduce taxpayer education programs. Taxpayer's service can also be improved by: providing proper guidance on how the tax return forms are to be completed correctly, introducing automated systems to record and answer tax payers" queries and wider use of the mass media to publicize important tax deadlines and so on.  The capability to detect fraud or evasion is crucial to tax compliance. As it would not be practical to audit all cases, the fear of being caught would be sufficient to act as a deterrent. Ideally, when a case is selected for audit a tax official will be required to visit the premises of the taxpayer. The tax returns will have to be scrutinized under the supervision, or be jointly examined with a senior tax official </w:t>
      </w:r>
      <w:r w:rsidRPr="00433724">
        <w:rPr>
          <w:rFonts w:ascii="Times New Roman" w:hAnsi="Times New Roman" w:cs="Times New Roman"/>
          <w:sz w:val="28"/>
          <w:szCs w:val="28"/>
        </w:rPr>
        <w:lastRenderedPageBreak/>
        <w:t xml:space="preserve">so that the discretionary powers being exercised by tax officials are not abused. The tax authorities should undertake criminal prosecution in respect of cases involving fraud or evasion, and where appropriate publish the names of tax evaders which will act as a deterrent. </w:t>
      </w:r>
    </w:p>
    <w:p w:rsidR="00B54793" w:rsidRDefault="00B54793"/>
    <w:sectPr w:rsidR="00B54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93"/>
    <w:rsid w:val="005D2C9B"/>
    <w:rsid w:val="00B5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6AB16-D394-4C6A-AFCC-28F9B2AA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93"/>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B5479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479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4793"/>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4793"/>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54793"/>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5479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5479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5479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5479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7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47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47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47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47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4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793"/>
    <w:rPr>
      <w:rFonts w:eastAsiaTheme="majorEastAsia" w:cstheme="majorBidi"/>
      <w:color w:val="272727" w:themeColor="text1" w:themeTint="D8"/>
    </w:rPr>
  </w:style>
  <w:style w:type="paragraph" w:styleId="Title">
    <w:name w:val="Title"/>
    <w:basedOn w:val="Normal"/>
    <w:next w:val="Normal"/>
    <w:link w:val="TitleChar"/>
    <w:uiPriority w:val="10"/>
    <w:qFormat/>
    <w:rsid w:val="00B5479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4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79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4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793"/>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54793"/>
    <w:rPr>
      <w:i/>
      <w:iCs/>
      <w:color w:val="404040" w:themeColor="text1" w:themeTint="BF"/>
    </w:rPr>
  </w:style>
  <w:style w:type="paragraph" w:styleId="ListParagraph">
    <w:name w:val="List Paragraph"/>
    <w:basedOn w:val="Normal"/>
    <w:uiPriority w:val="34"/>
    <w:qFormat/>
    <w:rsid w:val="00B54793"/>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B54793"/>
    <w:rPr>
      <w:i/>
      <w:iCs/>
      <w:color w:val="2F5496" w:themeColor="accent1" w:themeShade="BF"/>
    </w:rPr>
  </w:style>
  <w:style w:type="paragraph" w:styleId="IntenseQuote">
    <w:name w:val="Intense Quote"/>
    <w:basedOn w:val="Normal"/>
    <w:next w:val="Normal"/>
    <w:link w:val="IntenseQuoteChar"/>
    <w:uiPriority w:val="30"/>
    <w:qFormat/>
    <w:rsid w:val="00B547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54793"/>
    <w:rPr>
      <w:i/>
      <w:iCs/>
      <w:color w:val="2F5496" w:themeColor="accent1" w:themeShade="BF"/>
    </w:rPr>
  </w:style>
  <w:style w:type="character" w:styleId="IntenseReference">
    <w:name w:val="Intense Reference"/>
    <w:basedOn w:val="DefaultParagraphFont"/>
    <w:uiPriority w:val="32"/>
    <w:qFormat/>
    <w:rsid w:val="00B54793"/>
    <w:rPr>
      <w:b/>
      <w:bCs/>
      <w:smallCaps/>
      <w:color w:val="2F5496" w:themeColor="accent1" w:themeShade="BF"/>
      <w:spacing w:val="5"/>
    </w:rPr>
  </w:style>
  <w:style w:type="paragraph" w:styleId="NormalWeb">
    <w:name w:val="Normal (Web)"/>
    <w:basedOn w:val="Normal"/>
    <w:uiPriority w:val="99"/>
    <w:unhideWhenUsed/>
    <w:rsid w:val="00B5479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54793"/>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706</Words>
  <Characters>4026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OLOYIN AISHAT</dc:creator>
  <cp:keywords/>
  <dc:description/>
  <cp:lastModifiedBy>OLOYIN AISHAT</cp:lastModifiedBy>
  <cp:revision>1</cp:revision>
  <dcterms:created xsi:type="dcterms:W3CDTF">2025-07-19T17:40:00Z</dcterms:created>
  <dcterms:modified xsi:type="dcterms:W3CDTF">2025-07-19T17:40:00Z</dcterms:modified>
</cp:coreProperties>
</file>