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rPr/>
      </w:pPr>
      <w:bookmarkStart w:id="0" w:name="_GoBack"/>
      <w:bookmarkStart w:id="1" w:name="_Hlk203050070"/>
      <w:bookmarkEnd w:id="0"/>
      <w:r>
        <w:rPr>
          <w:rFonts w:ascii="Times New Roman" w:hAnsi="Times New Roman" w:hint="default"/>
          <w:b/>
          <w:sz w:val="24"/>
          <w:szCs w:val="24"/>
        </w:rPr>
        <w:t>CHAPTER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FOUR</w:t>
      </w:r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4.0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RESULT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AND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DISCUSSION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4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1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Socio-economic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Characteristics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4.1.1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Gender</w:t>
      </w:r>
      <w:bookmarkEnd w:id="1"/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4.1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below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distribution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sex.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74.2%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while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25.8%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female.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This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indicates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majority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tuber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farmers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study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male</w:t>
      </w:r>
    </w:p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Table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4.1: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Frequency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Sex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</w:p>
    <w:tbl>
      <w:tblPr>
        <w:jc w:val="left"/>
      </w:tblPr>
      <w:tblGrid>
        <w:gridCol w:w="1311"/>
        <w:gridCol w:w="1512"/>
        <w:gridCol w:w="2335"/>
      </w:tblGrid>
      <w:tr>
        <w:trPr>
          <w:cantSplit w:val="false"/>
          <w:trHeight w:val="206" w:hRule="atLeast"/>
          <w:tblHeader w:val="false"/>
          <w:jc w:val="left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Gender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 xml:space="preserve">  </w:t>
            </w:r>
            <w:r>
              <w:rPr>
                <w:rFonts w:hint="default"/>
                <w:b/>
                <w:sz w:val="24"/>
                <w:szCs w:val="24"/>
              </w:rPr>
              <w:t>Frequency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 xml:space="preserve">      </w:t>
            </w:r>
            <w:r>
              <w:rPr>
                <w:rFonts w:hint="default"/>
                <w:b/>
                <w:sz w:val="24"/>
                <w:szCs w:val="24"/>
              </w:rPr>
              <w:t>Percent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 xml:space="preserve">   </w:t>
            </w:r>
            <w:r>
              <w:rPr>
                <w:rFonts w:hint="default"/>
                <w:sz w:val="24"/>
                <w:szCs w:val="24"/>
              </w:rPr>
              <w:t>Male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89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74.2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 xml:space="preserve">   </w:t>
            </w:r>
            <w:r>
              <w:rPr>
                <w:rFonts w:hint="default"/>
                <w:sz w:val="24"/>
                <w:szCs w:val="24"/>
              </w:rPr>
              <w:t>Female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25.8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 xml:space="preserve">   </w:t>
            </w:r>
            <w:r>
              <w:rPr>
                <w:rFonts w:hint="default"/>
                <w:sz w:val="24"/>
                <w:szCs w:val="24"/>
              </w:rPr>
              <w:t>Total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100.0</w:t>
            </w:r>
          </w:p>
        </w:tc>
      </w:tr>
    </w:tbl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Source;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Field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survey,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2025</w:t>
      </w:r>
    </w:p>
    <w:p>
      <w:pPr>
        <w:pStyle w:val="style0"/>
        <w:jc w:val="both"/>
        <w:rPr/>
      </w:pPr>
    </w:p>
    <w:bookmarkStart w:id="2" w:name="_Hlk203050078"/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4.1.2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Age</w:t>
      </w:r>
      <w:bookmarkEnd w:id="2"/>
    </w:p>
    <w:p>
      <w:pPr>
        <w:pStyle w:val="style0"/>
        <w:spacing w:lineRule="auto" w:line="360"/>
        <w:ind w:firstLine="480" w:firstLineChars="200"/>
        <w:jc w:val="both"/>
        <w:rPr/>
      </w:pP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4.2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below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distribution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their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age.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45.0%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30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years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below,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25.8%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fell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between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41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-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50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years,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20.0%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fell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between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31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-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years,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5.0%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fell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between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51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-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60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lastly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4.2%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60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years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above.</w:t>
      </w:r>
    </w:p>
    <w:p>
      <w:pPr>
        <w:pStyle w:val="style0"/>
        <w:ind w:firstLine="480" w:firstLineChars="20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Table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4.2: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Frequency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Age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</w:p>
    <w:tbl>
      <w:tblPr>
        <w:jc w:val="left"/>
      </w:tblPr>
      <w:tblGrid>
        <w:gridCol w:w="1278"/>
        <w:gridCol w:w="1980"/>
        <w:gridCol w:w="1619"/>
      </w:tblGrid>
      <w:tr>
        <w:trPr>
          <w:cantSplit w:val="false"/>
          <w:tblHeader w:val="false"/>
          <w:jc w:val="lef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Age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Frequency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Percent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&lt;=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45.0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31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-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20.0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41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-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25.8</w:t>
            </w:r>
          </w:p>
        </w:tc>
      </w:tr>
      <w:tr>
        <w:tblPrEx/>
        <w:trPr>
          <w:cantSplit w:val="false"/>
          <w:trHeight w:val="518" w:hRule="atLeast"/>
          <w:tblHeader w:val="false"/>
          <w:jc w:val="lef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51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-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5.0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Above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4.2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100</w:t>
            </w:r>
          </w:p>
        </w:tc>
      </w:tr>
    </w:tbl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Source;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Field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survey,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2025</w:t>
      </w:r>
    </w:p>
    <w:p>
      <w:pPr>
        <w:pStyle w:val="style0"/>
        <w:jc w:val="both"/>
        <w:rPr/>
      </w:pPr>
    </w:p>
    <w:bookmarkStart w:id="3" w:name="_Hlk203050084"/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4.1.3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Marital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Status</w:t>
      </w:r>
      <w:bookmarkEnd w:id="3"/>
    </w:p>
    <w:p>
      <w:pPr>
        <w:pStyle w:val="style0"/>
        <w:spacing w:lineRule="auto" w:line="360"/>
        <w:ind w:firstLine="480" w:firstLineChars="200"/>
        <w:jc w:val="both"/>
        <w:rPr/>
      </w:pP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4.3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below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distribution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their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marital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status.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57.5%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married,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while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27.5%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single,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8.3%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widowed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6.7%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divorced.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This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implies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majority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study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married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have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sense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responsibility.</w:t>
      </w:r>
    </w:p>
    <w:p>
      <w:pPr>
        <w:pStyle w:val="style0"/>
        <w:ind w:firstLine="480" w:firstLineChars="20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Table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4.3: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Frequency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Marital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Status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</w:p>
    <w:tbl>
      <w:tblPr>
        <w:jc w:val="left"/>
      </w:tblPr>
      <w:tblGrid>
        <w:gridCol w:w="1709"/>
        <w:gridCol w:w="1553"/>
        <w:gridCol w:w="1812"/>
      </w:tblGrid>
      <w:tr>
        <w:trPr>
          <w:cantSplit w:val="false"/>
          <w:tblHeader w:val="false"/>
          <w:jc w:val="left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Marital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</w:rPr>
              <w:t>Status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Frequency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Percent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Single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27.5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Married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69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57.5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Divorced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6.7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Widowed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8.3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Total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100.0</w:t>
            </w:r>
          </w:p>
        </w:tc>
      </w:tr>
    </w:tbl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Source;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Field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survey,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2025</w:t>
      </w:r>
    </w:p>
    <w:p>
      <w:pPr>
        <w:pStyle w:val="style0"/>
        <w:jc w:val="both"/>
        <w:rPr/>
      </w:pPr>
    </w:p>
    <w:bookmarkStart w:id="4" w:name="_Hlk203050138"/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4.1.4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Education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Level</w:t>
      </w:r>
      <w:bookmarkEnd w:id="4"/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4.4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below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distribution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their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educational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level.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13.3%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tuber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farmers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no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formal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education,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while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19.2%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tuber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farmers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primary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education,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while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29.2%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secondary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education,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while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0.8%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tertiary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education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finally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37.5%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farmers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Adult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education.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This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implies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tubers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farmers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literate.</w:t>
      </w:r>
    </w:p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Table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4.4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Frequency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Education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Level</w:t>
      </w:r>
    </w:p>
    <w:tbl>
      <w:tblPr>
        <w:jc w:val="left"/>
      </w:tblPr>
      <w:tblGrid>
        <w:gridCol w:w="2538"/>
        <w:gridCol w:w="1344"/>
        <w:gridCol w:w="1625"/>
      </w:tblGrid>
      <w:tr>
        <w:trPr>
          <w:cantSplit w:val="false"/>
          <w:tblHeader w:val="false"/>
          <w:jc w:val="left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Level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</w:rPr>
              <w:t>of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</w:rPr>
              <w:t>Education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Frequency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Percent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No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formal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Education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13.3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Primary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19.2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Secondary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29.2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Tertiary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Adult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Education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37.5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Total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100.0</w:t>
            </w:r>
          </w:p>
        </w:tc>
      </w:tr>
    </w:tbl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Source;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Field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survey,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2025.</w:t>
      </w:r>
    </w:p>
    <w:p>
      <w:pPr>
        <w:pStyle w:val="style0"/>
        <w:jc w:val="both"/>
        <w:rPr/>
      </w:pPr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4.1.5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Household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size</w:t>
      </w:r>
    </w:p>
    <w:p>
      <w:pPr>
        <w:pStyle w:val="style0"/>
        <w:spacing w:lineRule="auto" w:line="360"/>
        <w:ind w:firstLine="480" w:firstLineChars="200"/>
        <w:jc w:val="both"/>
        <w:rPr/>
      </w:pP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4.5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below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distribution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tuber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farmers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their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household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size.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showz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45.8%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farming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household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household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size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5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persons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below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while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38.5%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household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5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-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persons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lastly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18.3%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household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size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household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size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above.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This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implies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majority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fairly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large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household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size.</w:t>
      </w:r>
    </w:p>
    <w:p>
      <w:pPr>
        <w:pStyle w:val="style0"/>
        <w:ind w:firstLine="480" w:firstLineChars="20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Table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4.5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Frequency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Household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size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</w:p>
    <w:tbl>
      <w:tblPr>
        <w:jc w:val="left"/>
      </w:tblPr>
      <w:tblGrid>
        <w:gridCol w:w="1998"/>
        <w:gridCol w:w="1344"/>
        <w:gridCol w:w="1807"/>
      </w:tblGrid>
      <w:tr>
        <w:trPr>
          <w:cantSplit w:val="false"/>
          <w:tblHeader w:val="false"/>
          <w:jc w:val="left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Household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</w:rPr>
              <w:t>size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 xml:space="preserve">  </w:t>
            </w:r>
            <w:r>
              <w:rPr>
                <w:rFonts w:hint="default"/>
                <w:b/>
                <w:sz w:val="24"/>
                <w:szCs w:val="24"/>
              </w:rPr>
              <w:t>Frequency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Percent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&lt;=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45.8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-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38.5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Above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18.3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Total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100.0</w:t>
            </w:r>
          </w:p>
        </w:tc>
      </w:tr>
    </w:tbl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Source;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Field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survey,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2025.</w:t>
      </w:r>
    </w:p>
    <w:p>
      <w:pPr>
        <w:pStyle w:val="style0"/>
        <w:jc w:val="both"/>
        <w:rPr/>
      </w:pPr>
    </w:p>
    <w:bookmarkStart w:id="5" w:name="_Hlk203050163"/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4.1.6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Farm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size</w:t>
      </w:r>
      <w:bookmarkEnd w:id="5"/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below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distribution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their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size.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47.5%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farmers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size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5acres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below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while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36.7%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size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6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-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acres,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7.5%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farmers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size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11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-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15ha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while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5.0%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size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16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-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acres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lastly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3.3%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farmers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size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acres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above.</w:t>
      </w:r>
    </w:p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Table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4.6: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Frequency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Farm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size</w:t>
      </w:r>
    </w:p>
    <w:tbl>
      <w:tblPr>
        <w:jc w:val="left"/>
      </w:tblPr>
      <w:tblGrid>
        <w:gridCol w:w="2358"/>
        <w:gridCol w:w="1344"/>
        <w:gridCol w:w="1847"/>
      </w:tblGrid>
      <w:tr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Farm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</w:rPr>
              <w:t>size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Frequency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Percentange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&lt;=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5acres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47.5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11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-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15ha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7.5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16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-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20acres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5.0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6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-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10acres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36.7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 xml:space="preserve">   </w:t>
            </w:r>
            <w:r>
              <w:rPr>
                <w:rFonts w:hint="default"/>
                <w:sz w:val="24"/>
                <w:szCs w:val="24"/>
              </w:rPr>
              <w:t>More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than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20acres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3.3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Total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100.0</w:t>
            </w:r>
          </w:p>
        </w:tc>
      </w:tr>
    </w:tbl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Source;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Field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survey,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2025</w:t>
      </w:r>
    </w:p>
    <w:p>
      <w:pPr>
        <w:pStyle w:val="style0"/>
        <w:spacing w:lineRule="auto" w:line="360"/>
        <w:jc w:val="both"/>
        <w:rPr/>
      </w:pPr>
    </w:p>
    <w:bookmarkStart w:id="6" w:name="_Hlk203050169"/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4.1.7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Farm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experience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bookmarkEnd w:id="6"/>
    </w:p>
    <w:p>
      <w:pPr>
        <w:pStyle w:val="style0"/>
        <w:spacing w:lineRule="auto" w:line="360"/>
        <w:ind w:firstLine="480" w:firstLineChars="200"/>
        <w:jc w:val="both"/>
        <w:rPr/>
      </w:pP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4.7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below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distribution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farming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experience.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revealed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62.5%,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25.8%,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1.7%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10.0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farming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households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head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farming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experience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years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below,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-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years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-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30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years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30years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above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respectively.</w:t>
      </w:r>
    </w:p>
    <w:p>
      <w:pPr>
        <w:pStyle w:val="style0"/>
        <w:ind w:firstLine="480" w:firstLineChars="200"/>
        <w:jc w:val="both"/>
        <w:rPr/>
      </w:pPr>
    </w:p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Table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4.7: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Frequency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Farming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Experience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</w:p>
    <w:tbl>
      <w:tblPr>
        <w:jc w:val="left"/>
      </w:tblPr>
      <w:tblGrid>
        <w:gridCol w:w="2808"/>
        <w:gridCol w:w="1344"/>
        <w:gridCol w:w="1754"/>
      </w:tblGrid>
      <w:tr>
        <w:trPr>
          <w:cantSplit w:val="false"/>
          <w:tblHeader w:val="false"/>
          <w:jc w:val="lef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Farming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</w:rPr>
              <w:t>experience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Frequency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Percent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 xml:space="preserve">    </w:t>
            </w:r>
            <w:r>
              <w:rPr>
                <w:rFonts w:hint="default"/>
                <w:sz w:val="24"/>
                <w:szCs w:val="24"/>
              </w:rPr>
              <w:t>&lt;=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10years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75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62.5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 xml:space="preserve">    </w:t>
            </w:r>
            <w:r>
              <w:rPr>
                <w:rFonts w:hint="default"/>
                <w:sz w:val="24"/>
                <w:szCs w:val="24"/>
              </w:rPr>
              <w:t>10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-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20years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25.8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 xml:space="preserve">    </w:t>
            </w:r>
            <w:r>
              <w:rPr>
                <w:rFonts w:hint="default"/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-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30years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1.7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Above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30years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10.0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Total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100.0</w:t>
            </w:r>
          </w:p>
        </w:tc>
      </w:tr>
    </w:tbl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Source;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Field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survey,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2025.</w:t>
      </w:r>
    </w:p>
    <w:bookmarkStart w:id="7" w:name="_Hlk203050175"/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4.1.8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Farming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system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bookmarkEnd w:id="7"/>
    </w:p>
    <w:p>
      <w:pPr>
        <w:pStyle w:val="style0"/>
        <w:spacing w:lineRule="auto" w:line="360"/>
        <w:ind w:firstLine="480" w:firstLineChars="200"/>
        <w:jc w:val="both"/>
        <w:rPr/>
      </w:pP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4.8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distribution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farming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system.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4.8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revealed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52.5%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farmers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engage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rainfed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farming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while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10.8%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engage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irrigation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farming,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35.8%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engage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mixed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farming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0.8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engage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other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farming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systems.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This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most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tuber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farmers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engage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rainfed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farming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system.</w:t>
      </w:r>
      <w:r>
        <w:rPr>
          <w:rFonts w:ascii="Times New Roman" w:hAnsi="Times New Roman" w:hint="default"/>
          <w:sz w:val="24"/>
          <w:szCs w:val="24"/>
        </w:rPr>
        <w:t xml:space="preserve"> </w:t>
      </w:r>
    </w:p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Table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4.8: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Frequency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Farming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system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</w:p>
    <w:tbl>
      <w:tblPr>
        <w:jc w:val="left"/>
      </w:tblPr>
      <w:tblGrid>
        <w:gridCol w:w="2358"/>
        <w:gridCol w:w="1530"/>
        <w:gridCol w:w="1746"/>
      </w:tblGrid>
      <w:tr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Farming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system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 xml:space="preserve">   </w:t>
            </w:r>
            <w:r>
              <w:rPr>
                <w:rFonts w:hint="default"/>
                <w:sz w:val="24"/>
                <w:szCs w:val="24"/>
              </w:rPr>
              <w:t>Frequency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Percent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Rainfed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63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52.5</w:t>
            </w:r>
          </w:p>
        </w:tc>
      </w:tr>
      <w:tr>
        <w:tblPrEx/>
        <w:trPr>
          <w:cantSplit w:val="false"/>
          <w:trHeight w:val="489" w:hRule="atLeast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Irrigation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farming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10.8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Mixed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farming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35.8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Other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Total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100.0</w:t>
            </w:r>
          </w:p>
        </w:tc>
      </w:tr>
    </w:tbl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Source;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Field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survey,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2025.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bookmarkStart w:id="8" w:name="_Hlk203050188"/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4.2.1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PROFITABILITY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TUBER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CROP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PRODUCTION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FARMERS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IN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THE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STUDY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AREA</w:t>
      </w:r>
      <w:bookmarkEnd w:id="8"/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sz w:val="24"/>
          <w:szCs w:val="24"/>
        </w:rPr>
        <w:t>This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4.2</w:t>
      </w:r>
      <w:r>
        <w:rPr>
          <w:rFonts w:ascii="Times New Roman" w:hAnsi="Times New Roman" w:hint="default"/>
          <w:sz w:val="24"/>
          <w:szCs w:val="24"/>
        </w:rPr>
        <w:t xml:space="preserve">  </w:t>
      </w:r>
      <w:r>
        <w:rPr>
          <w:rFonts w:ascii="Times New Roman" w:hAnsi="Times New Roman" w:hint="default"/>
          <w:sz w:val="24"/>
          <w:szCs w:val="24"/>
        </w:rPr>
        <w:t>shows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54.2%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accept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tuber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crop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production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still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profitable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even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after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subsidy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removal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while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25.0%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tuber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crop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production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not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profitable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after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subsidy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removal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20.8%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unsure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whether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profitable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not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after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removal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fuel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subsidy.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4.2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Profitability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Tuber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Crop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Production</w:t>
      </w:r>
      <w:r>
        <w:rPr>
          <w:rFonts w:ascii="Times New Roman" w:hAnsi="Times New Roman" w:hint="default"/>
          <w:sz w:val="24"/>
          <w:szCs w:val="24"/>
        </w:rPr>
        <w:t xml:space="preserve"> </w:t>
      </w:r>
    </w:p>
    <w:tbl>
      <w:tblPr>
        <w:jc w:val="left"/>
      </w:tblPr>
      <w:tblGrid>
        <w:gridCol w:w="1372"/>
        <w:gridCol w:w="1554"/>
        <w:gridCol w:w="1812"/>
      </w:tblGrid>
      <w:tr>
        <w:trPr>
          <w:cantSplit w:val="false"/>
          <w:tblHeader w:val="false"/>
          <w:jc w:val="left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Valid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Frequency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Percent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Yes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65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54.2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25.0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Unsure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20.8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Total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100.0</w:t>
            </w:r>
          </w:p>
        </w:tc>
      </w:tr>
    </w:tbl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Source;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Field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Survey,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2025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Statistics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</w:p>
    <w:tbl>
      <w:tblPr>
        <w:jc w:val="left"/>
      </w:tblPr>
      <w:tblGrid>
        <w:gridCol w:w="814"/>
        <w:gridCol w:w="1056"/>
        <w:gridCol w:w="1219"/>
        <w:gridCol w:w="1248"/>
        <w:gridCol w:w="1219"/>
        <w:gridCol w:w="1219"/>
        <w:gridCol w:w="1219"/>
        <w:gridCol w:w="1354"/>
      </w:tblGrid>
      <w:tr>
        <w:trPr>
          <w:cantSplit w:val="false"/>
          <w:tblHeader w:val="false"/>
          <w:jc w:val="left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Fer_CA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Trans_CA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Mac_CA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Ren_CA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Lab_CA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Annual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income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Valid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Missing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Mean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30400.00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21900.00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40300.00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21100.00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41000.00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3988200.0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sz w:val="24"/>
          <w:szCs w:val="24"/>
        </w:rPr>
        <w:t>Fer_CA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=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30400</w:t>
      </w:r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sz w:val="24"/>
          <w:szCs w:val="24"/>
        </w:rPr>
        <w:t>Trans_CA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=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21900</w:t>
      </w:r>
      <w:r>
        <w:rPr>
          <w:rFonts w:ascii="Times New Roman" w:hAnsi="Times New Roman" w:hint="default"/>
          <w:sz w:val="24"/>
          <w:szCs w:val="24"/>
        </w:rPr>
        <w:t>Mac_CA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=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40300</w:t>
      </w:r>
      <w:r>
        <w:rPr>
          <w:rFonts w:ascii="Times New Roman" w:hAnsi="Times New Roman" w:hint="default"/>
          <w:sz w:val="24"/>
          <w:szCs w:val="24"/>
        </w:rPr>
        <w:t>Ren_CA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=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21100</w:t>
      </w:r>
      <w:r>
        <w:rPr>
          <w:rFonts w:ascii="Times New Roman" w:hAnsi="Times New Roman" w:hint="default"/>
          <w:sz w:val="24"/>
          <w:szCs w:val="24"/>
        </w:rPr>
        <w:t>Lab_CA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=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41000</w:t>
      </w:r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sz w:val="24"/>
          <w:szCs w:val="24"/>
        </w:rPr>
        <w:t>Revenue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=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3988200</w:t>
      </w:r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sz w:val="24"/>
          <w:szCs w:val="24"/>
        </w:rPr>
        <w:t>Gross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Margin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(REVENUE-TVC)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sz w:val="24"/>
          <w:szCs w:val="24"/>
        </w:rPr>
        <w:t>3,988,200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-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128,700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=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3,859,500</w:t>
      </w:r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facts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Gross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Margin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3,859,500,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this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means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tuber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farming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profitable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from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Gross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Margin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analysis.</w:t>
      </w:r>
    </w:p>
    <w:p>
      <w:pPr>
        <w:pStyle w:val="style0"/>
        <w:jc w:val="both"/>
        <w:rPr/>
      </w:pPr>
      <w:r>
        <w:rPr>
          <w:rFonts w:ascii="Times New Roman" w:hAnsi="Times New Roman"/>
          <w:b/>
          <w:sz w:val="24"/>
          <w:szCs w:val="24"/>
        </w:rPr>
        <w:br w:type="page"/>
      </w:r>
      <w:bookmarkStart w:id="9" w:name="_Hlk203050205"/>
      <w:r>
        <w:rPr>
          <w:rFonts w:ascii="Times New Roman" w:hAnsi="Times New Roman" w:hint="default"/>
          <w:b/>
          <w:sz w:val="24"/>
          <w:szCs w:val="24"/>
        </w:rPr>
        <w:t>4.3.1</w:t>
      </w:r>
      <w:bookmarkEnd w:id="9"/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THE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ACCORDING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TO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THE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EFFECT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FUEL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SUBSIDY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REMOVAL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TUBER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CROP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PRODUCTION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</w:p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Table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4.3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Regression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Analysis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showing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the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relationship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between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Socio-economic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Characteristics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and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Effect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fuel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subsidy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removal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</w:p>
    <w:p>
      <w:pPr>
        <w:pStyle w:val="style0"/>
        <w:jc w:val="both"/>
        <w:rPr/>
      </w:pPr>
      <w:r>
        <w:rPr>
          <w:rFonts w:ascii="Times New Roman" w:hAnsi="Times New Roman" w:hint="default"/>
          <w:sz w:val="24"/>
          <w:szCs w:val="24"/>
        </w:rPr>
        <w:t>Coefficients</w:t>
      </w:r>
      <w:r>
        <w:rPr>
          <w:rFonts w:ascii="Times New Roman" w:hAnsi="Times New Roman" w:hint="default"/>
          <w:sz w:val="24"/>
          <w:szCs w:val="24"/>
        </w:rPr>
        <w:t xml:space="preserve"> </w:t>
      </w:r>
    </w:p>
    <w:tbl>
      <w:tblPr>
        <w:jc w:val="left"/>
      </w:tblPr>
      <w:tblGrid>
        <w:gridCol w:w="881"/>
        <w:gridCol w:w="1375"/>
        <w:gridCol w:w="1889"/>
        <w:gridCol w:w="1622"/>
        <w:gridCol w:w="1618"/>
        <w:gridCol w:w="816"/>
        <w:gridCol w:w="816"/>
      </w:tblGrid>
      <w:tr>
        <w:trPr>
          <w:cantSplit w:val="false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Model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Unstandardized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Coefficients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Standardized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Coefficients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t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Sig.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B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Beta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(Constant)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3676035.275</w:t>
            </w:r>
          </w:p>
          <w:p>
            <w:pPr>
              <w:pStyle w:val="style0"/>
              <w:jc w:val="both"/>
              <w:rPr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1471336.587</w:t>
            </w:r>
          </w:p>
          <w:p>
            <w:pPr>
              <w:pStyle w:val="style0"/>
              <w:jc w:val="both"/>
              <w:rPr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2.498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0.014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Age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-6008.854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5500.772</w:t>
            </w:r>
          </w:p>
          <w:p>
            <w:pPr>
              <w:pStyle w:val="style0"/>
              <w:jc w:val="both"/>
              <w:rPr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-0.118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-1.092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0.277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Household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size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-8929.353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14368.712</w:t>
            </w:r>
          </w:p>
          <w:p>
            <w:pPr>
              <w:pStyle w:val="style0"/>
              <w:jc w:val="both"/>
              <w:rPr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-0.067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-0.621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0.536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Farm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size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5021.326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8285.468</w:t>
            </w:r>
          </w:p>
          <w:p>
            <w:pPr>
              <w:pStyle w:val="style0"/>
              <w:jc w:val="both"/>
              <w:rPr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0.058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0.606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0.546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Years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of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experience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7979.841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6850.866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0.136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1.165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0.247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Gender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-168008.471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128296.138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-0.132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-1.310</w:t>
            </w:r>
          </w:p>
          <w:p>
            <w:pPr>
              <w:pStyle w:val="style0"/>
              <w:jc w:val="both"/>
              <w:rPr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0.193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Level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of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education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-9365.673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37536.376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-0.025</w:t>
            </w:r>
          </w:p>
          <w:p>
            <w:pPr>
              <w:pStyle w:val="style0"/>
              <w:jc w:val="both"/>
              <w:rPr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-0.250</w:t>
            </w:r>
          </w:p>
          <w:p>
            <w:pPr>
              <w:pStyle w:val="style0"/>
              <w:jc w:val="both"/>
              <w:rPr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0.803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Trans_CA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-176.442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86.351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-1.384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-2.043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0.043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Mac_CA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46.562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24.445</w:t>
            </w:r>
          </w:p>
          <w:p>
            <w:pPr>
              <w:pStyle w:val="style0"/>
              <w:jc w:val="both"/>
              <w:rPr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*2.086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1.905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0.059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Rent_CA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11.838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6.094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0.680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1.942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0.055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Lab_CA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-30.740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15.500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-1.369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-1.983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0.050</w:t>
            </w:r>
          </w:p>
          <w:p>
            <w:pPr>
              <w:pStyle w:val="style0"/>
              <w:jc w:val="both"/>
              <w:rPr/>
            </w:pPr>
          </w:p>
        </w:tc>
      </w:tr>
      <w:tr>
        <w:tblPrEx/>
        <w:trPr>
          <w:cantSplit w:val="false"/>
          <w:trHeight w:val="1065" w:hRule="atLeast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Average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yield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per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hectare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after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subsidy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removal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83.667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 xml:space="preserve">   </w:t>
            </w:r>
            <w:r>
              <w:rPr>
                <w:rFonts w:hint="default"/>
                <w:sz w:val="24"/>
                <w:szCs w:val="24"/>
              </w:rPr>
              <w:t>660.293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0.012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0.127</w:t>
            </w:r>
          </w:p>
          <w:p>
            <w:pPr>
              <w:pStyle w:val="style0"/>
              <w:jc w:val="both"/>
              <w:rPr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0.899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Average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market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price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after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the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subsidy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removal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1.017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0.814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0.120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1.250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0.214</w:t>
            </w:r>
          </w:p>
        </w:tc>
      </w:tr>
    </w:tbl>
    <w:p>
      <w:pPr>
        <w:pStyle w:val="style0"/>
        <w:jc w:val="both"/>
        <w:rPr/>
      </w:pPr>
      <w:r>
        <w:rPr>
          <w:rFonts w:ascii="Times New Roman" w:hAnsi="Times New Roman" w:hint="default"/>
          <w:sz w:val="24"/>
          <w:szCs w:val="24"/>
        </w:rPr>
        <w:t>Significant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1%</w:t>
      </w:r>
    </w:p>
    <w:p>
      <w:pPr>
        <w:pStyle w:val="style0"/>
        <w:jc w:val="both"/>
        <w:rPr/>
      </w:pPr>
      <w:r>
        <w:rPr>
          <w:rFonts w:ascii="Times New Roman" w:hAnsi="Times New Roman" w:hint="default"/>
          <w:sz w:val="24"/>
          <w:szCs w:val="24"/>
        </w:rPr>
        <w:t>a.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Dependent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variable: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revenue</w:t>
      </w:r>
      <w:r>
        <w:rPr>
          <w:rFonts w:ascii="Times New Roman" w:hAnsi="Times New Roman" w:hint="default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table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4.3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above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average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cost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machinery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after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subsidy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removal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significant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impacts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improving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revenue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 </w:t>
      </w:r>
      <w:r>
        <w:rPr>
          <w:rFonts w:ascii="Times New Roman" w:hAnsi="Times New Roman" w:hint="default"/>
          <w:sz w:val="24"/>
          <w:szCs w:val="24"/>
        </w:rPr>
        <w:t>cost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machines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after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subsidy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removal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can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greatly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improve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revenue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respondents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getting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machines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tractors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can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work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farmland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makes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activities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more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faster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easier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instead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manual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labor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hiring.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While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other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variables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(household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size,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years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experience,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gender,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level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education,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size,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transportation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cost,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age,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rent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cost,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labour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cost)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not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statistically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significant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(p&gt;0.05),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meaning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their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impacts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revenue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not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strong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enough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to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considered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meaningful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this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model.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bookmarkStart w:id="10" w:name="_Hlk203050219"/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4.4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CONSTRAINTS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FACED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TUBER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CROP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FARMERS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IN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THE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STUDY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AREA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bookmarkEnd w:id="10"/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Table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4.4.1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Shows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the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Constraints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faced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and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Identified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by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the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sz w:val="24"/>
          <w:szCs w:val="24"/>
        </w:rPr>
        <w:t>It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shows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that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problems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transportation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cost,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market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price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cost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fertilizer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three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least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severe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constraints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faced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farmers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study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while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cost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labour,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quantity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produce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provided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cost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of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storage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three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most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severe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constraints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faced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the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farmers.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Table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4.4.1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Distribution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the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Respondents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According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to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the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Challenges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associated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with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the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removal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of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fuel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subsidy.</w:t>
      </w:r>
    </w:p>
    <w:tbl>
      <w:tblPr>
        <w:jc w:val="left"/>
      </w:tblPr>
      <w:tblGrid>
        <w:gridCol w:w="1730"/>
        <w:gridCol w:w="944"/>
        <w:gridCol w:w="946"/>
        <w:gridCol w:w="1000"/>
        <w:gridCol w:w="1001"/>
        <w:gridCol w:w="1068"/>
        <w:gridCol w:w="945"/>
        <w:gridCol w:w="1011"/>
      </w:tblGrid>
      <w:tr>
        <w:trPr>
          <w:cantSplit w:val="false"/>
          <w:tblHeader w:val="false"/>
          <w:jc w:val="left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Variables</w:t>
            </w:r>
            <w:r>
              <w:rPr>
                <w:rFonts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NS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MS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VS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UD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Mean</w:t>
            </w:r>
          </w:p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SD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  <w:sz w:val="24"/>
                <w:szCs w:val="24"/>
              </w:rPr>
              <w:t>Rank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Cost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of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transportation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(3.3)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 xml:space="preserve">     </w:t>
            </w:r>
            <w:r>
              <w:rPr>
                <w:rFonts w:hint="default"/>
                <w:sz w:val="24"/>
                <w:szCs w:val="24"/>
              </w:rPr>
              <w:t>-----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22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(18.3)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82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(68.3)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(10.0)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4.48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</w:tr>
      <w:tr>
        <w:tblPrEx/>
        <w:trPr>
          <w:cantSplit w:val="false"/>
          <w:trHeight w:val="768" w:hRule="atLeast"/>
          <w:tblHeader w:val="false"/>
          <w:jc w:val="left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Market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price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(1.7)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(1.7)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47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(39.2)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57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(47.5)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12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(10.0)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4.29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</w:t>
            </w:r>
          </w:p>
        </w:tc>
      </w:tr>
      <w:tr>
        <w:tblPrEx/>
        <w:trPr>
          <w:cantSplit w:val="false"/>
          <w:trHeight w:val="461" w:hRule="atLeast"/>
          <w:tblHeader w:val="false"/>
          <w:jc w:val="left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Cost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of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fertilizer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(2.5)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(3.3)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28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(23.3)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65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(54.2)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(16.7)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4.23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Cost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of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seeds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(1.7)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6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(5.0)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25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(20.8)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66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(55.0)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21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(17.5)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4.23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Cost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of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labour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(3.3)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(3.3)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34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(28.3)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59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(49.2)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17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(14.2)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4.12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Quantity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provided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(2.5)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3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(2.5)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52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(43.3)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44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(36.7)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18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(15.0)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4.09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6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Cost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of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storage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5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(4.2)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(0.8)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43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(35.8)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47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(39.2)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24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(20.0)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4.05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firstLine="480" w:firstLineChars="200"/>
              <w:jc w:val="both"/>
              <w:rPr/>
            </w:pPr>
            <w:r>
              <w:rPr>
                <w:rFonts w:hint="default"/>
                <w:sz w:val="24"/>
                <w:szCs w:val="24"/>
              </w:rPr>
              <w:t>7</w:t>
            </w:r>
          </w:p>
        </w:tc>
      </w:tr>
    </w:tbl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Source;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Field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Survey,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2025.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spacing w:after="0" w:lineRule="auto" w:line="240"/>
        <w:rPr/>
      </w:pPr>
      <w:r>
        <w:rPr>
          <w:rFonts w:ascii="Times New Roman" w:hAnsi="Times New Roman" w:hint="default"/>
          <w:b/>
          <w:sz w:val="24"/>
          <w:szCs w:val="24"/>
        </w:rPr>
        <w:t>NS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=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Not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Severe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=5</w:t>
      </w:r>
    </w:p>
    <w:p>
      <w:pPr>
        <w:pStyle w:val="style0"/>
        <w:spacing w:after="0" w:lineRule="auto" w:line="240"/>
        <w:rPr/>
      </w:pPr>
    </w:p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MS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=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Mildly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Severe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=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4</w:t>
      </w:r>
    </w:p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=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Severe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=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3</w:t>
      </w:r>
    </w:p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VS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=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Very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Severe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=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2</w:t>
      </w:r>
    </w:p>
    <w:p>
      <w:pPr>
        <w:pStyle w:val="style0"/>
        <w:jc w:val="both"/>
        <w:rPr/>
      </w:pPr>
      <w:r>
        <w:rPr>
          <w:rFonts w:ascii="Times New Roman" w:hAnsi="Times New Roman" w:hint="default"/>
          <w:b/>
          <w:sz w:val="24"/>
          <w:szCs w:val="24"/>
        </w:rPr>
        <w:t>UD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=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Undecided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=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1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sz w:val="22"/>
      <w:szCs w:val="22"/>
    </w:rPr>
  </w:style>
  <w:style w:type="paragraph" w:styleId="style94">
    <w:name w:val="Normal (Web)"/>
    <w:basedOn w:val="style0"/>
    <w:next w:val="style4094"/>
    <w:pPr>
      <w:widowControl w:val="false"/>
      <w:spacing w:before="0" w:after="160" w:lineRule="auto" w:line="259"/>
      <w:ind w:left="0" w:right="0"/>
      <w:jc w:val="both"/>
    </w:pPr>
    <w:rPr>
      <w:rFonts w:cs="SimSun"/>
      <w:kern w:val="2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1460</Words>
  <Characters>7251</Characters>
  <Application>WPS Office</Application>
  <Paragraphs>545</Paragraphs>
  <CharactersWithSpaces>8437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2025-07-10T20:26:09Z</dcterms:created>
  <dc:creator>TECNO BF7</dc:creator>
  <lastModifiedBy>TECNO BF7</lastModifiedBy>
  <dcterms:modified xsi:type="dcterms:W3CDTF">2025-07-10T20:28:49Z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9674425454a74823a2a7ebfb8e6d49ab</vt:lpwstr>
  </property>
</Properties>
</file>