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CHAPTER FIVE</w:t>
      </w: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5.0 Conclusion</w:t>
      </w: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study concluded that a slab reinforced with copal wood at 2% cross-sectional slab area can achieve up to 47% in terms of flexural strength compared with a steel rebar  of 10mm diameter. Teak  wood can effectively be used as reinforcement in concrete if a sufficient percentage is used as reinforcement in concrete.</w:t>
      </w: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 Reccommendation</w:t>
      </w:r>
    </w:p>
    <w:p w:rsidR="00193EAA" w:rsidRDefault="00193EAA" w:rsidP="00193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comprehensive research is essential to explore the potential of locally available Nigeria timbers in various types of concrete under different loading conditions and environments. </w:t>
      </w:r>
    </w:p>
    <w:p w:rsidR="00193EAA" w:rsidRDefault="00193EAA" w:rsidP="00193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 research work should be embarked upon to cover for higher reinforcement percentage (3% 4% and 5% respectively).</w:t>
      </w: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tabs>
          <w:tab w:val="left" w:pos="1279"/>
          <w:tab w:val="left" w:pos="9000"/>
        </w:tabs>
        <w:spacing w:line="36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Aguwa, J. I. (2016) “The Nigerian Structural Timber”. Published and Printed by Ahmadu Bello. University Press Ltd., Samaru, Zaria. Nigeria.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Institute of Architects (AIA), (2020) “Building Codes”, Retrieved from https://www.aia.org/resources/18631-building-codes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Institute of Architects, (2020) “Building Codes”, Retrieved from https://www.aia.org/resources/18631-building-codes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Arun, C., and Priyanranjan, P. (2023) “Studies on various properties of reinforced concrete”,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Research Gate</w:t>
      </w:r>
      <w:r>
        <w:rPr>
          <w:rFonts w:ascii="Times New Roman" w:eastAsia="Times New Roman" w:hAnsi="Times New Roman" w:cs="Times New Roman"/>
          <w:sz w:val="24"/>
          <w:szCs w:val="24"/>
        </w:rPr>
        <w:t>, Pp. 193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ASTM D1782-17 “Standard Test Method for Operating Performance of Particular Cation-Exchange Materials”.          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Bailey, G. (2004) “Structural Fire Design”,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Structural Engineer</w:t>
      </w:r>
      <w:r>
        <w:rPr>
          <w:rFonts w:ascii="Times New Roman" w:eastAsia="Times New Roman" w:hAnsi="Times New Roman" w:cs="Times New Roman"/>
          <w:sz w:val="24"/>
          <w:szCs w:val="24"/>
        </w:rPr>
        <w:t>, Vol. 8, pp. 32 - 38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 373 (1957) “Methods of Testing Small Clear Specimens of Timber”, British Standard Institution, London, United Kingdom.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 EN 1994-1-2 (2005) “Eurocode 4: Design of composite steel and concrete structures, Part 1.2:” British Standard Institution, London, United Kingdom.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BS5950 (2003) “Structural use of steelwork in building, Part 8: Code of practice for Fire Resistant design”, British Standard Institution, London, United Kingdom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 EN 1992-1-2 (2004) “Eurocode 2: Design of concrete structures, Part 1.2: General rules – Structural fire design”, British Standard Institution, London, U.K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BS EN 1993-1-2 (2005) “Eurocode 3: Design of steel structures. Part 1.2: Structural fire Design, British Standard Institution, London, United Kingdom </w:t>
      </w:r>
    </w:p>
    <w:p w:rsidR="00193EAA" w:rsidRDefault="00193EAA" w:rsidP="00193EAA">
      <w:pPr>
        <w:tabs>
          <w:tab w:val="left" w:pos="709"/>
          <w:tab w:val="left" w:pos="1279"/>
          <w:tab w:val="left" w:pos="9000"/>
        </w:tabs>
        <w:spacing w:line="360" w:lineRule="auto"/>
        <w:ind w:left="540" w:right="3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Buildings Department (2005) “Code of Practice for the Structural Use of Steel, Chapter 12: Fire Resistant Design”, Hong Kong. </w:t>
      </w: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EAA" w:rsidRDefault="00193EAA" w:rsidP="00193EAA">
      <w:pPr>
        <w:pBdr>
          <w:top w:val="nil"/>
          <w:left w:val="nil"/>
          <w:bottom w:val="nil"/>
          <w:right w:val="nil"/>
          <w:between w:val="nil"/>
        </w:pBdr>
        <w:spacing w:before="280"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BE4" w:rsidRDefault="00905BE4">
      <w:bookmarkStart w:id="0" w:name="_GoBack"/>
      <w:bookmarkEnd w:id="0"/>
    </w:p>
    <w:sectPr w:rsidR="00905BE4">
      <w:footerReference w:type="default" r:id="rId5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70" w:rsidRDefault="00193E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B52970" w:rsidRDefault="00193E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F05B3"/>
    <w:multiLevelType w:val="multilevel"/>
    <w:tmpl w:val="919810B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AA"/>
    <w:rsid w:val="00193EAA"/>
    <w:rsid w:val="001F0702"/>
    <w:rsid w:val="00905BE4"/>
    <w:rsid w:val="009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E375D-5EB1-4242-BD89-2CCC5558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3EAA"/>
    <w:rPr>
      <w:rFonts w:ascii="Calibri" w:eastAsia="Calibri" w:hAnsi="Calibri" w:cs="Calibri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2025-07-14T14:21:00Z</dcterms:created>
  <dcterms:modified xsi:type="dcterms:W3CDTF">2025-07-14T14:22:00Z</dcterms:modified>
</cp:coreProperties>
</file>