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A9C" w:rsidRDefault="00B32A9C" w:rsidP="00B32A9C">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TWO</w:t>
      </w:r>
    </w:p>
    <w:p w:rsidR="00B32A9C" w:rsidRDefault="00B32A9C" w:rsidP="00B32A9C">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TWO</w:t>
      </w:r>
    </w:p>
    <w:p w:rsidR="00B32A9C" w:rsidRDefault="00B32A9C" w:rsidP="00B32A9C">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 Literature Review</w:t>
      </w:r>
    </w:p>
    <w:p w:rsidR="00B32A9C" w:rsidRDefault="00B32A9C" w:rsidP="00B32A9C">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Nature and description of wood’s structure</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Wood is generally composed of cells parallel to each other along the trunk of a tree which is of primary interest to engineers as it is from the trunk that structural timber is manufactured. Wood cells possess cavities inside and are elongated and spindle-shaped. Figure 2.1 shows a cross-section of a trunk pointing out its main features in growing trees. Some basic information and perceptions of wood are prerequisites to understanding the behavior and the limitations of timber.</w:t>
      </w:r>
    </w:p>
    <w:p w:rsidR="00B32A9C" w:rsidRDefault="00B32A9C" w:rsidP="00B32A9C">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noProof/>
          <w:lang w:val="en-GB"/>
        </w:rPr>
        <w:drawing>
          <wp:anchor distT="0" distB="0" distL="0" distR="0" simplePos="0" relativeHeight="251659264" behindDoc="0" locked="0" layoutInCell="1" hidden="0" allowOverlap="1" wp14:anchorId="30AFC5BB" wp14:editId="62416C20">
            <wp:simplePos x="0" y="0"/>
            <wp:positionH relativeFrom="column">
              <wp:posOffset>409575</wp:posOffset>
            </wp:positionH>
            <wp:positionV relativeFrom="paragraph">
              <wp:posOffset>121920</wp:posOffset>
            </wp:positionV>
            <wp:extent cx="5252085" cy="2124075"/>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5252085" cy="2124075"/>
                    </a:xfrm>
                    <a:prstGeom prst="rect">
                      <a:avLst/>
                    </a:prstGeom>
                    <a:ln/>
                  </pic:spPr>
                </pic:pic>
              </a:graphicData>
            </a:graphic>
          </wp:anchor>
        </w:drawing>
      </w:r>
    </w:p>
    <w:p w:rsidR="00B32A9C" w:rsidRDefault="00B32A9C" w:rsidP="00B32A9C">
      <w:pPr>
        <w:widowControl w:val="0"/>
        <w:tabs>
          <w:tab w:val="left" w:pos="1279"/>
          <w:tab w:val="left" w:pos="4321"/>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2.1: Cross-section of a trunk (Brostow et al., 2010)</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most trunks of trees, the first principal part to notice is the sapwood which is the outer, pale-coloured wood, lighter region close to the cambium that has three main functions in a tree: from the support to the conduction and the storage function. Furthermore, when the cells are dead, they convey water and minerals from the soil. Followed by the heartwood in the second instance which is the inner part of the wood that is mostly darker because of the resins and gums contained inside the cells but in contrast with the sapwood, the heartwood provides the </w:t>
      </w:r>
      <w:r>
        <w:rPr>
          <w:rFonts w:ascii="Times New Roman" w:eastAsia="Times New Roman" w:hAnsi="Times New Roman" w:cs="Times New Roman"/>
          <w:sz w:val="24"/>
          <w:szCs w:val="24"/>
        </w:rPr>
        <w:lastRenderedPageBreak/>
        <w:t>main structural support for the trees. Meanwhile, it does not possess any living cells, water conducts or stores and is not essential in the growing process and the survival of the trees (Forest Products Laboratory, 1966). Another important part is the bark which shelters the interior of the trunk of the tree. The wood cells are produced by a layer of cells called the cambium that can only be seen using the microscope and inside all the tissues present at the center of the tree are referred to as xylem while those outside are the bark including the phloem that transport energy sources made by the plant and the cork layers. The ray and axial parenchyma cells, when initially produced by the cambium, are alive but they lose their cell contents and become hollow, microscopic tubes with lignified walls at the moment they become functioning, water-conducting cells, referred to as tracheids and vessels (Bamber, 1964).</w:t>
      </w:r>
    </w:p>
    <w:p w:rsidR="00B32A9C" w:rsidRDefault="00B32A9C" w:rsidP="00B32A9C">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Different types of wood</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living tree from which h timber comes, the two main types of tree are softwood and hardwood which should not be mixed up with the hardness or softness of the wood itself but frequently, hardwood trees are denser than softwood ones though (Ragland, 2010).</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Softwoods are woods from gymnosperm coniferous trees, evergreen with vertical cells called tracheid of about 3 mm long and roughly 30 μm wide sometimes referred to as non-pored wood such as Scots Pine which is the most world widely used softwood. Generally, softwoods provide longer trunks and grow faster in line with Ragland, (2010). These cells have an open channel and thin cell walls and are used for support and conduction while the storage cells are found in the radial direction. The water-conducting cells known as tracheid in softwood are taper in shape.</w:t>
      </w:r>
    </w:p>
    <w:p w:rsidR="00B32A9C" w:rsidRDefault="00B32A9C" w:rsidP="00B32A9C">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B32A9C" w:rsidRDefault="00B32A9C" w:rsidP="00B32A9C">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noProof/>
          <w:lang w:val="en-GB"/>
        </w:rPr>
        <w:lastRenderedPageBreak/>
        <w:drawing>
          <wp:anchor distT="0" distB="0" distL="0" distR="0" simplePos="0" relativeHeight="251660288" behindDoc="0" locked="0" layoutInCell="1" hidden="0" allowOverlap="1" wp14:anchorId="02DDF5A0" wp14:editId="1824A11E">
            <wp:simplePos x="0" y="0"/>
            <wp:positionH relativeFrom="column">
              <wp:posOffset>923289</wp:posOffset>
            </wp:positionH>
            <wp:positionV relativeFrom="paragraph">
              <wp:posOffset>194310</wp:posOffset>
            </wp:positionV>
            <wp:extent cx="4192220" cy="2590800"/>
            <wp:effectExtent l="0" t="0" r="0" b="0"/>
            <wp:wrapTopAndBottom distT="0" distB="0"/>
            <wp:docPr id="4" name="image4.png" descr="C:\Users\CHABI\Desktop\Investigation on effect of moisture on grren timber properties\softwood.JPG"/>
            <wp:cNvGraphicFramePr/>
            <a:graphic xmlns:a="http://schemas.openxmlformats.org/drawingml/2006/main">
              <a:graphicData uri="http://schemas.openxmlformats.org/drawingml/2006/picture">
                <pic:pic xmlns:pic="http://schemas.openxmlformats.org/drawingml/2006/picture">
                  <pic:nvPicPr>
                    <pic:cNvPr id="0" name="image4.png" descr="C:\Users\CHABI\Desktop\Investigation on effect of moisture on grren timber properties\softwood.JPG"/>
                    <pic:cNvPicPr preferRelativeResize="0"/>
                  </pic:nvPicPr>
                  <pic:blipFill>
                    <a:blip r:embed="rId6"/>
                    <a:srcRect/>
                    <a:stretch>
                      <a:fillRect/>
                    </a:stretch>
                  </pic:blipFill>
                  <pic:spPr>
                    <a:xfrm>
                      <a:off x="0" y="0"/>
                      <a:ext cx="4192220" cy="2590800"/>
                    </a:xfrm>
                    <a:prstGeom prst="rect">
                      <a:avLst/>
                    </a:prstGeom>
                    <a:ln/>
                  </pic:spPr>
                </pic:pic>
              </a:graphicData>
            </a:graphic>
          </wp:anchor>
        </w:drawing>
      </w:r>
    </w:p>
    <w:p w:rsidR="00B32A9C" w:rsidRDefault="00B32A9C" w:rsidP="00B32A9C">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B32A9C" w:rsidRDefault="00B32A9C" w:rsidP="00B32A9C">
      <w:pPr>
        <w:widowControl w:val="0"/>
        <w:tabs>
          <w:tab w:val="left" w:pos="1279"/>
          <w:tab w:val="left" w:pos="3600"/>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A section of Softwood (Primefacts, 2008)</w:t>
      </w:r>
    </w:p>
    <w:p w:rsidR="00B32A9C" w:rsidRDefault="00B32A9C" w:rsidP="00B32A9C">
      <w:pPr>
        <w:widowControl w:val="0"/>
        <w:tabs>
          <w:tab w:val="left" w:pos="1279"/>
          <w:tab w:val="left" w:pos="3600"/>
          <w:tab w:val="left" w:pos="9000"/>
        </w:tabs>
        <w:spacing w:after="0" w:line="360" w:lineRule="auto"/>
        <w:ind w:right="30"/>
        <w:jc w:val="center"/>
        <w:rPr>
          <w:rFonts w:ascii="Times New Roman" w:eastAsia="Times New Roman" w:hAnsi="Times New Roman" w:cs="Times New Roman"/>
          <w:sz w:val="24"/>
          <w:szCs w:val="24"/>
        </w:rPr>
      </w:pP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Hardwoods are broad-leaved trees from dicot angiosperm or trees with enclosed seeds containing pores ranging in size and shape allowing water to travel from the roots to nourish the wood (Armstrong, 2017). They are made up of two distinct types of cells: the vessels that can usually be seen with the naked eye and the fiber cells that impart strength in the broad-leaved trees. They are reproduced by flowers with vertical cells of 1 to 2 mm long and 15 μm wide. These cells are thick-walled with a confining central channel, inappropriate for conduction, used only to support and so, the tree needs vessels for this purpose. Vessels are either open-ended xylem or phloem of 0.2 to 1.2 mm long, stacked vertically to form tubes of less than 0.5 mm in diameter (Primefacts, 2008). It is all produced by a fluid movement inside the capillary, reaching the tops of even very tall trees related to the surface tension. The vessels and the fibers in hardwood are tubular.</w:t>
      </w:r>
    </w:p>
    <w:p w:rsidR="00B32A9C" w:rsidRDefault="00B32A9C" w:rsidP="00B32A9C">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0" distB="0" distL="0" distR="0" wp14:anchorId="5045B2E6" wp14:editId="1CECF879">
            <wp:extent cx="2831674" cy="3387852"/>
            <wp:effectExtent l="0" t="0" r="0" b="0"/>
            <wp:docPr id="1" name="image1.png" descr="C:\Users\CHABI\Desktop\Investigation on effect of moisture on grren timber properties\Hardwood.JPG"/>
            <wp:cNvGraphicFramePr/>
            <a:graphic xmlns:a="http://schemas.openxmlformats.org/drawingml/2006/main">
              <a:graphicData uri="http://schemas.openxmlformats.org/drawingml/2006/picture">
                <pic:pic xmlns:pic="http://schemas.openxmlformats.org/drawingml/2006/picture">
                  <pic:nvPicPr>
                    <pic:cNvPr id="0" name="image1.png" descr="C:\Users\CHABI\Desktop\Investigation on effect of moisture on grren timber properties\Hardwood.JPG"/>
                    <pic:cNvPicPr preferRelativeResize="0"/>
                  </pic:nvPicPr>
                  <pic:blipFill>
                    <a:blip r:embed="rId7"/>
                    <a:srcRect/>
                    <a:stretch>
                      <a:fillRect/>
                    </a:stretch>
                  </pic:blipFill>
                  <pic:spPr>
                    <a:xfrm>
                      <a:off x="0" y="0"/>
                      <a:ext cx="2831674" cy="3387852"/>
                    </a:xfrm>
                    <a:prstGeom prst="rect">
                      <a:avLst/>
                    </a:prstGeom>
                    <a:ln/>
                  </pic:spPr>
                </pic:pic>
              </a:graphicData>
            </a:graphic>
          </wp:inline>
        </w:drawing>
      </w:r>
    </w:p>
    <w:p w:rsidR="00B32A9C" w:rsidRDefault="00B32A9C" w:rsidP="00B32A9C">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B32A9C" w:rsidRDefault="00B32A9C" w:rsidP="00B32A9C">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2.3: A close-up section of hardwood (Primefacts, 2008)</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strength property, shrinkage, and grain pattern properties of timber and other products are affected by the characteristics of the stalky cells and their arrangement. The microscopic cellular structure of wood including the ring in the cross-section of the stem or root of a temperate woody plant, produced by one year's growth and the ray that stores food in the stem, produces the characteristic grain patterns in different species of the trees. This grain pattern is also determined by the plane in which logs are cut at the sawmill. The ray cells unlike other cells are arranged horizontally, extending radially outwards and towards the bark. The annual rings appear like concentric bands with rays extending outward like each of the bars or wire rods connecting the center of a wheel to its outer edge (spokes) in transverse or cross-sections and can be counted to age-date the tree as shown in Figure 2.4 (Brostow et al., 2010).</w:t>
      </w:r>
    </w:p>
    <w:p w:rsidR="00B32A9C" w:rsidRDefault="00B32A9C" w:rsidP="00B32A9C">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0" distB="0" distL="0" distR="0" wp14:anchorId="4A050868" wp14:editId="3E205E70">
            <wp:extent cx="4086719" cy="23148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86719" cy="2314855"/>
                    </a:xfrm>
                    <a:prstGeom prst="rect">
                      <a:avLst/>
                    </a:prstGeom>
                    <a:ln/>
                  </pic:spPr>
                </pic:pic>
              </a:graphicData>
            </a:graphic>
          </wp:inline>
        </w:drawing>
      </w:r>
    </w:p>
    <w:p w:rsidR="00B32A9C" w:rsidRDefault="00B32A9C" w:rsidP="00B32A9C">
      <w:pPr>
        <w:widowControl w:val="0"/>
        <w:tabs>
          <w:tab w:val="left" w:pos="1279"/>
          <w:tab w:val="left" w:pos="7321"/>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2.4: A tree cross-section with 24 distinct annual rings (Brostow et al., 2010)</w:t>
      </w:r>
    </w:p>
    <w:p w:rsidR="00B32A9C" w:rsidRDefault="00B32A9C" w:rsidP="00B32A9C">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B32A9C" w:rsidRDefault="00B32A9C" w:rsidP="00B32A9C">
      <w:pPr>
        <w:widowControl w:val="0"/>
        <w:tabs>
          <w:tab w:val="left" w:pos="1279"/>
        </w:tabs>
        <w:spacing w:after="0"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 Timber and its Appearance</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Brostow et al. (2010), reported that timber is an organic construction material for most societies and describes sawn wood with a wide range of physical and mechanical properties for which it is important for the ones selected to have properties suitable for aspired use. The strength, appearance, durability, the moisture content (shrinkage rates) are the main properties affecting the choice of timber. But for certain applications, other properties such as density, hardness, fire performance, etc. are also important.</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(Trada, 1999) affirmed that most timbers come in a variety of colors between and within species; timbers exposed to light and those that remain unprotected and exposed to weather will change color, especially for the latter once mold growth is developed. To broadly describe timber's appearance and some specific characteristics, the term grain may be used; it refers to the direction, size, and arrangement of the wood cells and should not be used alone instead for instance sloppy grain, wavy grain, spiral grain etc. (Forest and Wood Products Research and Development Corporation, 2004). Timbers also come in varieties of textures which can be coarse, fine, even, or uneven, etc., and based on the size and arrangement of wood cells, difference is made between the different types of texture. (National Association of Forest Industries, 2004). It can also divulge some other natural characteristics that can affect the </w:t>
      </w:r>
      <w:r>
        <w:rPr>
          <w:rFonts w:ascii="Times New Roman" w:eastAsia="Times New Roman" w:hAnsi="Times New Roman" w:cs="Times New Roman"/>
          <w:sz w:val="24"/>
          <w:szCs w:val="24"/>
        </w:rPr>
        <w:lastRenderedPageBreak/>
        <w:t>strength properties and aesthetics like stains, splits gum veins, and knots which are the part of the branches embedded in the main stem of the tree and sloping grain.</w:t>
      </w:r>
    </w:p>
    <w:p w:rsidR="00B32A9C" w:rsidRDefault="00B32A9C" w:rsidP="00B32A9C">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 Structural timber</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timber or timber machined for structural use has its constituents sawn from the tree trunk in a prismatic shape with a rectangular cross-section except for some exceptions in the shape. The size of the trees in the forest is the main factor that determines the maximum possible dimension of those constituents that are applied for load-carrying functions in structures. Many provisions in the production line to obtain the appropriate structural elements therefore exist; for instance, the longitudinal axis of a structural timber component should synchronize with the wood cells grain direction, (Kohler, 2007). As the outcome of the basic processing steps such as debarking, sawing, planning if necessary, finger-jointing only for some products, and gluing on the broader side, during the production of structural timber, its main characteristic is the anisotropic nature it has where the natural wood structure will be retained to a high degree (Angst et al., 2008).</w:t>
      </w:r>
    </w:p>
    <w:p w:rsidR="00B32A9C" w:rsidRDefault="00B32A9C" w:rsidP="00B32A9C">
      <w:pPr>
        <w:widowControl w:val="0"/>
        <w:tabs>
          <w:tab w:val="left" w:pos="1279"/>
        </w:tabs>
        <w:spacing w:after="0" w:line="24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Brief descriptions of  Nigerian grown timbers</w:t>
      </w:r>
    </w:p>
    <w:p w:rsidR="00B32A9C" w:rsidRDefault="00B32A9C" w:rsidP="00B32A9C">
      <w:pPr>
        <w:keepNext/>
        <w:keepLines/>
        <w:tabs>
          <w:tab w:val="left" w:pos="1279"/>
        </w:tabs>
        <w:spacing w:before="16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 African Sandal Wood (</w:t>
      </w:r>
      <w:r>
        <w:rPr>
          <w:rFonts w:ascii="Times New Roman" w:eastAsia="Times New Roman" w:hAnsi="Times New Roman" w:cs="Times New Roman"/>
          <w:b/>
          <w:i/>
          <w:sz w:val="24"/>
          <w:szCs w:val="24"/>
        </w:rPr>
        <w:t>Daniellia Olivera</w:t>
      </w:r>
      <w:r>
        <w:rPr>
          <w:rFonts w:ascii="Times New Roman" w:eastAsia="Times New Roman" w:hAnsi="Times New Roman" w:cs="Times New Roman"/>
          <w:b/>
          <w:sz w:val="24"/>
          <w:szCs w:val="24"/>
        </w:rPr>
        <w:t>)</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African Copalwood</w:t>
      </w:r>
      <w:r>
        <w:rPr>
          <w:rFonts w:ascii="Times New Roman" w:eastAsia="Times New Roman" w:hAnsi="Times New Roman" w:cs="Times New Roman"/>
          <w:i/>
          <w:sz w:val="24"/>
          <w:szCs w:val="24"/>
        </w:rPr>
        <w:t xml:space="preserve"> or Daniellia olivera or Iya </w:t>
      </w:r>
      <w:r>
        <w:rPr>
          <w:rFonts w:ascii="Times New Roman" w:eastAsia="Times New Roman" w:hAnsi="Times New Roman" w:cs="Times New Roman"/>
          <w:sz w:val="24"/>
          <w:szCs w:val="24"/>
        </w:rPr>
        <w:t xml:space="preserve">is a large tree, a genus in the subfamily of </w:t>
      </w:r>
      <w:r>
        <w:rPr>
          <w:rFonts w:ascii="Times New Roman" w:eastAsia="Times New Roman" w:hAnsi="Times New Roman" w:cs="Times New Roman"/>
          <w:i/>
          <w:sz w:val="24"/>
          <w:szCs w:val="24"/>
        </w:rPr>
        <w:t xml:space="preserve">Caesalpinioideae </w:t>
      </w:r>
      <w:r>
        <w:rPr>
          <w:rFonts w:ascii="Times New Roman" w:eastAsia="Times New Roman" w:hAnsi="Times New Roman" w:cs="Times New Roman"/>
          <w:sz w:val="24"/>
          <w:szCs w:val="24"/>
        </w:rPr>
        <w:t xml:space="preserve">of the family </w:t>
      </w:r>
      <w:r>
        <w:rPr>
          <w:rFonts w:ascii="Times New Roman" w:eastAsia="Times New Roman" w:hAnsi="Times New Roman" w:cs="Times New Roman"/>
          <w:i/>
          <w:sz w:val="24"/>
          <w:szCs w:val="24"/>
        </w:rPr>
        <w:t xml:space="preserve">Fabaceae </w:t>
      </w:r>
      <w:r>
        <w:rPr>
          <w:rFonts w:ascii="Times New Roman" w:eastAsia="Times New Roman" w:hAnsi="Times New Roman" w:cs="Times New Roman"/>
          <w:sz w:val="24"/>
          <w:szCs w:val="24"/>
        </w:rPr>
        <w:t>(angiosperm) that can grow up to 45 m in height with a trunk of approximately 20 – 30 m occurring in Nigeria in old tree plantations. Its heartwood is pale pinkish to reddish brown with some darker rings occurring periodically. The wood is soft, light in weight with a possible presence of brittle heart and coarse texture, and works easily with hand and machine tools; with a very slight risk of distortion, it seasons quickly. It is used for furniture components, plywood, joinery, etc. (Fern A., 2014).</w:t>
      </w:r>
    </w:p>
    <w:p w:rsidR="00B32A9C" w:rsidRDefault="00B32A9C" w:rsidP="00B32A9C">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0" distB="0" distL="0" distR="0" wp14:anchorId="7AD3D4A9" wp14:editId="2B925FC4">
            <wp:extent cx="2857500" cy="2000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57500" cy="2000250"/>
                    </a:xfrm>
                    <a:prstGeom prst="rect">
                      <a:avLst/>
                    </a:prstGeom>
                    <a:ln/>
                  </pic:spPr>
                </pic:pic>
              </a:graphicData>
            </a:graphic>
          </wp:inline>
        </w:drawing>
      </w:r>
    </w:p>
    <w:p w:rsidR="00B32A9C" w:rsidRDefault="00B32A9C" w:rsidP="00B32A9C">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2.5: Africa Copalwood Timber</w:t>
      </w:r>
    </w:p>
    <w:p w:rsidR="00B32A9C" w:rsidRDefault="00B32A9C" w:rsidP="00B32A9C">
      <w:pPr>
        <w:widowControl w:val="0"/>
        <w:tabs>
          <w:tab w:val="left" w:pos="1279"/>
        </w:tabs>
        <w:spacing w:after="0"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Physical properties of timber</w:t>
      </w:r>
    </w:p>
    <w:p w:rsidR="00B32A9C" w:rsidRDefault="00B32A9C" w:rsidP="00B32A9C">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 Moisture content</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timber which refers to timber that has a moisture content greater than % and resists splitting and cracking easily, has a very high moisture content. Furthermore, the timber, until it reaches the equilibrium moisture content of the surrounding environment, will dry out. During the year 1932, Wilson proclaimed that with the current temperature and humidity, the moisture content at the surface of a piece of green wood reaches equilibrium and from that way forward, varies irregularly with changes in these factors after being subjected for some time to natural atmospheric conditions. The size of the piece in addition to the climatic conditions are the main factors to focus on to know how soon such a condition is attained. The Nigeria Standard Code of Practice (NCP2, 1973), stipulates that wood with moisture content above 18 % be considered green, but in dry condition if below. The fiber saturation point is the moisture content (MC) at which the cell walls are fully saturated with bound water but no free water occurs in the timber, and this strongly influences the mechanical properties. The Moisture Content of wood below the FSP is a function of the temperature and relative humidity (RH) of the surrounding environment (Adeyemi, 2016).</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structural timber, a large variation in terms of shrinkage and swelling as a result of changes in moisture content is noted therefore, a 1% change in moisture content leads to a 0.01% change in the longitudinal direction, 0.1% change in the radial direction and 0.2% </w:t>
      </w:r>
      <w:r>
        <w:rPr>
          <w:rFonts w:ascii="Times New Roman" w:eastAsia="Times New Roman" w:hAnsi="Times New Roman" w:cs="Times New Roman"/>
          <w:sz w:val="24"/>
          <w:szCs w:val="24"/>
        </w:rPr>
        <w:lastRenderedPageBreak/>
        <w:t>change in the tangential direction. Furthermore, a change in the moisture content is likely to cause distortion which can either be a twist, a spring, or a bow. When the moisture content is too high (&gt;20%), it could lead to mold or rot and when it is too low (&lt;10%), it could be responsible for the timber to be more difficult to nail (Kliger, 2006).</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increase in strength in moisture reduction can be explained by the fact that cellulose, which is a major structural component of timber always exhibits greater strength when it is dry than when it is wet as reported by Taragon, (2000). The three main factors that cause the greater strength when the timber is dry are as follows: first is the microfibrils that become compact and thus increase in attractive forces; then the frictional resistance among the cellulose which is being reduced by the moisture acting as a lubricant and finally the reduction in the moisture content leads to shrinkage.</w:t>
      </w:r>
    </w:p>
    <w:p w:rsidR="00B32A9C" w:rsidRDefault="00B32A9C" w:rsidP="00B32A9C">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p>
    <w:p w:rsidR="00B32A9C" w:rsidRDefault="00B32A9C" w:rsidP="00B32A9C">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Durability</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required period, the ability of the timber to achieve its task is referred to as durability which signifies the performance of the timber when it is exposed to jeopardies such as decay like fungi and insects like for instance, termites and borers attack. Timber species have distinct natural durability characteristics which have been classified based on their expected service life either in the ground or above and exposed to hazards as shown in Table 2.1.</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2.1: Classification of durability by different classes.</w:t>
      </w:r>
    </w:p>
    <w:tbl>
      <w:tblPr>
        <w:tblW w:w="7640"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856"/>
        <w:gridCol w:w="1993"/>
        <w:gridCol w:w="1364"/>
        <w:gridCol w:w="2427"/>
      </w:tblGrid>
      <w:tr w:rsidR="00B32A9C" w:rsidTr="00EA6BEA">
        <w:trPr>
          <w:trHeight w:val="317"/>
        </w:trPr>
        <w:tc>
          <w:tcPr>
            <w:tcW w:w="1857"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Durability Class</w:t>
            </w:r>
          </w:p>
        </w:tc>
        <w:tc>
          <w:tcPr>
            <w:tcW w:w="1993"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Durability Rating</w:t>
            </w:r>
          </w:p>
        </w:tc>
        <w:tc>
          <w:tcPr>
            <w:tcW w:w="3791" w:type="dxa"/>
            <w:gridSpan w:val="2"/>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Service Life (Yrs)</w:t>
            </w:r>
          </w:p>
        </w:tc>
      </w:tr>
      <w:tr w:rsidR="00B32A9C" w:rsidTr="00EA6BEA">
        <w:trPr>
          <w:trHeight w:val="505"/>
        </w:trPr>
        <w:tc>
          <w:tcPr>
            <w:tcW w:w="1857"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p>
        </w:tc>
        <w:tc>
          <w:tcPr>
            <w:tcW w:w="1993"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p>
        </w:tc>
        <w:tc>
          <w:tcPr>
            <w:tcW w:w="1364" w:type="dxa"/>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ground</w:t>
            </w:r>
          </w:p>
        </w:tc>
        <w:tc>
          <w:tcPr>
            <w:tcW w:w="2427" w:type="dxa"/>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Outside / above ground</w:t>
            </w:r>
          </w:p>
        </w:tc>
      </w:tr>
      <w:tr w:rsidR="00B32A9C" w:rsidTr="00EA6BEA">
        <w:trPr>
          <w:trHeight w:val="284"/>
        </w:trPr>
        <w:tc>
          <w:tcPr>
            <w:tcW w:w="1857"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93"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364" w:type="dxa"/>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27" w:type="dxa"/>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&gt;40</w:t>
            </w:r>
          </w:p>
        </w:tc>
      </w:tr>
      <w:tr w:rsidR="00B32A9C" w:rsidTr="00EA6BEA">
        <w:trPr>
          <w:trHeight w:val="314"/>
        </w:trPr>
        <w:tc>
          <w:tcPr>
            <w:tcW w:w="1857"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93"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Reasonably High</w:t>
            </w:r>
          </w:p>
        </w:tc>
        <w:tc>
          <w:tcPr>
            <w:tcW w:w="1364" w:type="dxa"/>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 25</w:t>
            </w:r>
          </w:p>
        </w:tc>
        <w:tc>
          <w:tcPr>
            <w:tcW w:w="2427" w:type="dxa"/>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 40</w:t>
            </w:r>
          </w:p>
        </w:tc>
      </w:tr>
      <w:tr w:rsidR="00B32A9C" w:rsidTr="00EA6BEA">
        <w:trPr>
          <w:trHeight w:val="315"/>
        </w:trPr>
        <w:tc>
          <w:tcPr>
            <w:tcW w:w="1857"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93" w:type="dxa"/>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1364" w:type="dxa"/>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 15</w:t>
            </w:r>
          </w:p>
        </w:tc>
        <w:tc>
          <w:tcPr>
            <w:tcW w:w="2427" w:type="dxa"/>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 15</w:t>
            </w:r>
          </w:p>
        </w:tc>
      </w:tr>
      <w:tr w:rsidR="00B32A9C" w:rsidTr="00EA6BEA">
        <w:trPr>
          <w:trHeight w:val="345"/>
        </w:trPr>
        <w:tc>
          <w:tcPr>
            <w:tcW w:w="1857" w:type="dxa"/>
            <w:tcBorders>
              <w:top w:val="single" w:sz="4" w:space="0" w:color="000000"/>
            </w:tcBorders>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93" w:type="dxa"/>
            <w:tcBorders>
              <w:top w:val="single" w:sz="4" w:space="0" w:color="000000"/>
            </w:tcBorders>
            <w:shd w:val="clear" w:color="auto" w:fill="auto"/>
          </w:tcPr>
          <w:p w:rsidR="00B32A9C" w:rsidRDefault="00B32A9C" w:rsidP="00EA6BEA">
            <w:pPr>
              <w:widowControl w:val="0"/>
              <w:tabs>
                <w:tab w:val="left" w:pos="1279"/>
                <w:tab w:val="left" w:pos="9000"/>
              </w:tabs>
              <w:spacing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w:t>
            </w:r>
          </w:p>
        </w:tc>
        <w:tc>
          <w:tcPr>
            <w:tcW w:w="1364" w:type="dxa"/>
            <w:tcBorders>
              <w:top w:val="single" w:sz="4" w:space="0" w:color="000000"/>
            </w:tcBorders>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&lt;5</w:t>
            </w:r>
          </w:p>
        </w:tc>
        <w:tc>
          <w:tcPr>
            <w:tcW w:w="2427" w:type="dxa"/>
            <w:tcBorders>
              <w:top w:val="single" w:sz="4" w:space="0" w:color="000000"/>
            </w:tcBorders>
            <w:shd w:val="clear" w:color="auto" w:fill="auto"/>
          </w:tcPr>
          <w:p w:rsidR="00B32A9C" w:rsidRDefault="00B32A9C" w:rsidP="00EA6BEA">
            <w:pPr>
              <w:widowControl w:val="0"/>
              <w:tabs>
                <w:tab w:val="left" w:pos="1279"/>
                <w:tab w:val="left" w:pos="9000"/>
              </w:tabs>
              <w:spacing w:after="0" w:line="360" w:lineRule="auto"/>
              <w:ind w:right="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&lt;7</w:t>
            </w:r>
          </w:p>
        </w:tc>
      </w:tr>
    </w:tbl>
    <w:p w:rsidR="00B32A9C" w:rsidRDefault="00B32A9C" w:rsidP="00B32A9C">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(Timber Queensland, 2014)</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Regardless of the species, the sapwood of all timbers is not durable and can be ranked as Class 4 durability.</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There is no direct relationship between the stress grade and the durability for instance certain low-durability hardwoods such as </w:t>
      </w:r>
      <w:r>
        <w:rPr>
          <w:rFonts w:ascii="Times New Roman" w:eastAsia="Times New Roman" w:hAnsi="Times New Roman" w:cs="Times New Roman"/>
          <w:i/>
          <w:sz w:val="24"/>
          <w:szCs w:val="24"/>
        </w:rPr>
        <w:t xml:space="preserve">Tasmanian oak </w:t>
      </w:r>
      <w:r>
        <w:rPr>
          <w:rFonts w:ascii="Times New Roman" w:eastAsia="Times New Roman" w:hAnsi="Times New Roman" w:cs="Times New Roman"/>
          <w:sz w:val="24"/>
          <w:szCs w:val="24"/>
        </w:rPr>
        <w:t>can have a high stress grade (Timber Queensland, 2014).</w:t>
      </w:r>
    </w:p>
    <w:p w:rsidR="00B32A9C" w:rsidRDefault="00B32A9C" w:rsidP="00B32A9C">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 Density</w:t>
      </w:r>
    </w:p>
    <w:p w:rsidR="00B32A9C" w:rsidRDefault="00B32A9C" w:rsidP="00B32A9C">
      <w:pPr>
        <w:widowControl w:val="0"/>
        <w:tabs>
          <w:tab w:val="left" w:pos="1279"/>
          <w:tab w:val="left" w:pos="9000"/>
        </w:tabs>
        <w:spacing w:after="0"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Wood density is a highly important property defined as an expression of the weight per unit volume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or specific gravity owing to its aid to some parameters such as stiffness and strength (Kennedy, 1995; Vikram, et al., 2011); also, it is not commonly satisfactory to associate the density of green wood due to the reason that, ultimately, the amount of water in wood is variable. The compressive and shear strength parallel to grain and the fiber stress in bending strength at the elastic limit of wood, change in direct proportion to the weight of dry wood per unit of volume when green according to data obtained from a bunch of tests on the strength of different woods. (Record, 1914). The density of the lignin, cellulose, and hemicellulose at approximately 1500kg/m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is substantially constant, and the presence of extractives that can vary within a proportion of 1 to 20% conditional to the age of the tree species and their position in the stem, overwhelm greatly the wood density.</w:t>
      </w:r>
    </w:p>
    <w:p w:rsidR="00B32A9C" w:rsidRDefault="00B32A9C" w:rsidP="00B32A9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2.4 Reinforced Concrete: Traditional Approaches</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Traditionally, steel reinforcement in concrete provides high tensile strength and ductility. Steel-concrete bond strength and corrosion resistance are critical factors affecting long-term durability. Reinforced concrete (RC) is a composite material wherein concrete, strong in compression but weak in tension, is combined with reinforcement, typically steel, which is strong in tension. This synergy allows reinforced concrete to perform effectively under various loading conditions. Since its introduction in the 19th century, reinforced concrete has become the backbone of modern infrastructure, from buildings and bridges to tunnels and retaining </w:t>
      </w:r>
      <w:r>
        <w:rPr>
          <w:rFonts w:ascii="Times New Roman" w:eastAsia="Times New Roman" w:hAnsi="Times New Roman" w:cs="Times New Roman"/>
          <w:color w:val="000000"/>
          <w:sz w:val="24"/>
          <w:szCs w:val="24"/>
        </w:rPr>
        <w:lastRenderedPageBreak/>
        <w:t>walls. Concrete's compressive strength, durability, and formability, when paired with steel's tensile strength and ductility, make the RC system highly adaptable and cost-effective. The steel is strategically placed in regions of the concrete cross-section expected to experience tension under loading. This configuration is governed by principles of equilibrium and compatibility under structural mechanics (Nilson, Darwin, &amp; Dolan, 2010). The use of reinforced concrete dates back to the mid-1800s, pioneered by innovators such as Joseph Monier, who patented a reinforced concrete flowerpot in 1867, and François Hennebique, who developed a systematic construction method in the late 19th century (Collins &amp; Mitchell, 1991). The development of standardized design practices and construction codes through the 20th century allowed RC to dominate global construction practices.</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 slabs are designed based on limit state design principles defined in structural codes such as Eurocode 2 (EN 1992-1-1) and ACI 318. These consider Ultimate Limit States (ULS) and Serviceability Limit States (SLS). The most common types of RC slabs include:</w:t>
      </w:r>
    </w:p>
    <w:p w:rsidR="00B32A9C" w:rsidRDefault="00B32A9C" w:rsidP="00B32A9C">
      <w:pPr>
        <w:numPr>
          <w:ilvl w:val="0"/>
          <w:numId w:val="1"/>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One-way slabs: Reinforced in one direction, typically used in beam-supported spans.</w:t>
      </w:r>
    </w:p>
    <w:p w:rsidR="00B32A9C" w:rsidRDefault="00B32A9C" w:rsidP="00B32A9C">
      <w:pPr>
        <w:numPr>
          <w:ilvl w:val="0"/>
          <w:numId w:val="1"/>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Two-way slabs: Reinforced in two directions, used in flat plates or flat slabs with column supports.</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 structural behaviors considered in slab design include bending, shear, deflection, punching shear, and crack control. To address the limitations of reinforced concrete, research over the past few decades has explored the use of:</w:t>
      </w:r>
    </w:p>
    <w:p w:rsidR="00B32A9C" w:rsidRDefault="00B32A9C" w:rsidP="00B32A9C">
      <w:pPr>
        <w:numPr>
          <w:ilvl w:val="0"/>
          <w:numId w:val="1"/>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Fiber-Reinforced Polymers (FRP): Non-corrosive and lightweight, but cost and long-term performance are concerns.</w:t>
      </w:r>
    </w:p>
    <w:p w:rsidR="00B32A9C" w:rsidRDefault="00B32A9C" w:rsidP="00B32A9C">
      <w:pPr>
        <w:numPr>
          <w:ilvl w:val="0"/>
          <w:numId w:val="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Stainless Steel or Galvanized Rebar: Offers better corrosion resistance at higher cost.</w:t>
      </w:r>
    </w:p>
    <w:p w:rsidR="00B32A9C" w:rsidRDefault="00B32A9C" w:rsidP="00B32A9C">
      <w:pPr>
        <w:numPr>
          <w:ilvl w:val="0"/>
          <w:numId w:val="1"/>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lastRenderedPageBreak/>
        <w:t xml:space="preserve"> Natural Fibers and Alternative Materials: Such as bamboo or timber for specific applications, especially in low-cost or sustainable construction contexts (Ashour, 2000). </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shift toward alternative reinforcement materials forms the foundational motivation behind the current study into timber-reinforced concrete slabs as a sustainable, lightweight, and regionally adaptable solution</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2.5 Timber as a Structural Material</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Timber is characterized by anisotropic behavior, high strength-to-weight ratio, and excellent workability. Engineered wood products like LVL and glulam offer consistent mechanical properties and dimensional stability. Timber has been used as a structural material for thousands of years due to its natural abundance, ease of processing, and favorable mechanical properties. In modern structural engineering, timber has evolved from a traditional building material to an engineered product with consistent and predictable performance characteristics. With the growing emphasis on sustainability and carbon reduction in the built environment, timber is experiencing renewed interest as a primary or hybrid structural material. </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 is an orthotropic material, meaning it exhibits different mechanical properties along its three principal axes—longitudinal, radial, and tangential. Its longitudinal direction, which aligns with the grain, is the strongest and stiffest, making it particularly effective in resisting tensile and compressive forces along the grain.However, timber is relatively weak in tension and compression perpendicular to the grain and in shear, requiring careful detailing to avoid splitting and failure (Green &amp; Evans, 2008).  To overcome natural limitations of solid timber—such as knots, grain variability, and dimensional instability—engineered wood products (EWPs) have been developed. These are manufactured by bonding wood strands, veneers, or laminations under controlled conditions. Common EWPs include:</w:t>
      </w:r>
    </w:p>
    <w:p w:rsidR="00B32A9C" w:rsidRDefault="00B32A9C" w:rsidP="00B32A9C">
      <w:pPr>
        <w:numPr>
          <w:ilvl w:val="0"/>
          <w:numId w:val="1"/>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lastRenderedPageBreak/>
        <w:t>Glued Laminated Timber (Glulam): Made from layers of dimensional lumber bonded with durable adhesives. Offers high strength and can be curved into custom shapes.</w:t>
      </w:r>
    </w:p>
    <w:p w:rsidR="00B32A9C" w:rsidRDefault="00B32A9C" w:rsidP="00B32A9C">
      <w:pPr>
        <w:numPr>
          <w:ilvl w:val="0"/>
          <w:numId w:val="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Laminated Veneer Lumber (LVL): Thin wood veneers glued in the same grain direction, resulting in high strength and stiffness.</w:t>
      </w:r>
    </w:p>
    <w:p w:rsidR="00B32A9C" w:rsidRDefault="00B32A9C" w:rsidP="00B32A9C">
      <w:pPr>
        <w:numPr>
          <w:ilvl w:val="0"/>
          <w:numId w:val="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Cross-Laminated Timber (CLT): Layers of timber oriented perpendicularly and bonded together, providing dimensional stability and strength in multiple directions.</w:t>
      </w:r>
    </w:p>
    <w:p w:rsidR="00B32A9C" w:rsidRDefault="00B32A9C" w:rsidP="00B32A9C">
      <w:pPr>
        <w:numPr>
          <w:ilvl w:val="0"/>
          <w:numId w:val="1"/>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Oriented Strand Board (OSB): Used primarily in sheathing, it consists of wood strands bonded in specific orientations.</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products allow timber to compete with steel and concrete in terms of structural performance, especially in mid- and high-rise construction (Mohammad et al., 2012).</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 Composite Action in Timber-Concrete Systems</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Timber-concrete composites (TCCs) have been studied primarily in floor systems where concrete bears compression and timber resists tension. The composite action is often achieved using mechanical fasteners, notches, or adhesive bonding. Composite construction integrates two or more distinct materials to act together structurally, achieving enhanced performance by utilizing the strengths of each. In timber-concrete systems, the goal is to combine timber’s tensile strength and lightweight characteristics with concrete’s compressive strength, rigidity, and mass. These systems are primarily used in floor construction, where timber beams or slabs are topped with a layer of reinforced concrete. Timber-concrete composites (TCC) are a response to the growing demand for sustainable, efficient, and low-carbon construction systems. By leveraging the complementary behavior of wood and concrete, TCC systems offer improved strength, stiffness, and serviceability compared to traditional timber floors, while being lighter and more sustainable than conventional reinforced concrete slabs (Dias et al., 2007). Composite action refers to the degree of cooperation between two bonded materials to </w:t>
      </w:r>
      <w:r>
        <w:rPr>
          <w:rFonts w:ascii="Times New Roman" w:eastAsia="Times New Roman" w:hAnsi="Times New Roman" w:cs="Times New Roman"/>
          <w:color w:val="000000"/>
          <w:sz w:val="24"/>
          <w:szCs w:val="24"/>
        </w:rPr>
        <w:lastRenderedPageBreak/>
        <w:t>resist loads. In a TCC system, full composite action implies that no slip occurs at the interface between timber and concrete, resulting in maximum structural efficiency. However, due to material differences and practical constraints, partial composite action is usually achieved. The effectiveness of composite action depends on interface connection system, material compatibility, stiffness of connectors, shear transfer capability.  According to Lukaszewska (2009), partial interaction affects both flexural stiffness (EI) and load distribution, making accurate modeling and testing essential for design.</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2.6.1 Structural Behavior of Timber-Concrete Composites</w:t>
      </w:r>
    </w:p>
    <w:p w:rsidR="00B32A9C" w:rsidRDefault="00B32A9C" w:rsidP="00B32A9C">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bending, concrete (in compression) and timber (in tension) share the load based on their stiffness and the level of interaction at the interface. The effective bending stiffness of a TCC system lies between that of a non-composite (no-slip) and a fully composite (perfect bond) section. The γ-method, as introduced in Eurocode 5 (EN 1995-1-1), is a widely used design approach to quantify the degree of composite action by using a gamma factor (γ) to modify the stiffness of the system (Lukaszewska, 2009). Key structural benefits includes increased load-bearing capacity, reduced mid-span deflection, improved vibration performance, better sound insulation and fire resistance due to the mass of the concrete. Timber-concrete composite floors are increasingly used in residential and commercial buildings, retrofits of old timber structures (to increase capacity without full demolition), sustainable mid-rise and low-rise buildings and modular and prefabricated systems. Composite action in timber-concrete systems allows for the efficient use of both materials by combining their strengths. While full composite action is rarely achieved due to interface slip, partial interaction—properly designed—can result in structurally sound, cost-effective, and sustainable systems. These hybrid structures hold great promise for both new construction and renovation, particularly in low- to mid-rise applications where lightweight construction and environmental performance are priorities.</w:t>
      </w:r>
    </w:p>
    <w:p w:rsidR="00B32A9C" w:rsidRDefault="00B32A9C" w:rsidP="00B32A9C">
      <w:pPr>
        <w:widowControl w:val="0"/>
        <w:tabs>
          <w:tab w:val="left" w:pos="1279"/>
          <w:tab w:val="left" w:pos="9000"/>
        </w:tabs>
        <w:spacing w:before="133" w:after="0"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2.7 Flexural Strength</w:t>
      </w:r>
    </w:p>
    <w:p w:rsidR="00B32A9C" w:rsidRDefault="00B32A9C" w:rsidP="00B32A9C">
      <w:pPr>
        <w:widowControl w:val="0"/>
        <w:tabs>
          <w:tab w:val="left" w:pos="1279"/>
          <w:tab w:val="left" w:pos="9000"/>
        </w:tabs>
        <w:spacing w:before="133"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flexural test, the theoretical maximum tensile stress reached in the bottom fiber of a test beam or slab is known as the modulus of rupture, which is also flexural strength, bending strength, or fracture strength. When concrete is subjected to bending, the transverse bending test is most frequently employed, in which a specimen having either a circular or rectangular cross-section is bent until it fractures or yields. The value of flexural strength would be the same as tensile strength if the materials are homogenous. The flexural strength represents the highest stress experienced within the material at its moment of rupture. It is measured in terms of stress represented with the symbol sigma. For determining the flexural strength or modulus of rupture, the following two systems of loading of the specimen may be adopted (Gupta &amp; Gupta, 2004):</w:t>
      </w:r>
    </w:p>
    <w:p w:rsidR="00B32A9C" w:rsidRDefault="00B32A9C" w:rsidP="00B32A9C">
      <w:pPr>
        <w:widowControl w:val="0"/>
        <w:tabs>
          <w:tab w:val="left" w:pos="1279"/>
          <w:tab w:val="left" w:pos="9000"/>
        </w:tabs>
        <w:spacing w:before="1" w:after="0" w:line="240" w:lineRule="auto"/>
        <w:ind w:right="30"/>
        <w:rPr>
          <w:rFonts w:ascii="Times New Roman" w:eastAsia="Times New Roman" w:hAnsi="Times New Roman" w:cs="Times New Roman"/>
          <w:sz w:val="24"/>
          <w:szCs w:val="24"/>
        </w:rPr>
      </w:pPr>
    </w:p>
    <w:p w:rsidR="00B32A9C" w:rsidRDefault="00B32A9C" w:rsidP="00B32A9C">
      <w:pPr>
        <w:widowControl w:val="0"/>
        <w:pBdr>
          <w:top w:val="nil"/>
          <w:left w:val="nil"/>
          <w:bottom w:val="nil"/>
          <w:right w:val="nil"/>
          <w:between w:val="nil"/>
        </w:pBdr>
        <w:tabs>
          <w:tab w:val="left" w:pos="1279"/>
          <w:tab w:val="left" w:pos="1708"/>
          <w:tab w:val="left" w:pos="9000"/>
        </w:tabs>
        <w:spacing w:after="0" w:line="480" w:lineRule="auto"/>
        <w:ind w:right="3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Central Point Loading</w:t>
      </w:r>
    </w:p>
    <w:p w:rsidR="00B32A9C" w:rsidRDefault="00B32A9C" w:rsidP="00B32A9C">
      <w:pPr>
        <w:widowControl w:val="0"/>
        <w:tabs>
          <w:tab w:val="left" w:pos="1279"/>
          <w:tab w:val="left" w:pos="1708"/>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this system of loading, the load is applied at the mid or central point of the test specimen which gives a triangular bending moment distribution. The maximum stress fiber stress will be below the point of loading where the bending moment is maximum. Thus, the maximum stress occurs at one section of the specimen, not necessarily the weakest section of the specimen. Figure 2.19 shows the arrangement of the apparatus in a one-point test to determine the flexural strength of a rectangular beam.</w:t>
      </w:r>
    </w:p>
    <w:p w:rsidR="00B32A9C" w:rsidRDefault="00B32A9C" w:rsidP="00B32A9C">
      <w:pPr>
        <w:widowControl w:val="0"/>
        <w:tabs>
          <w:tab w:val="left" w:pos="1279"/>
          <w:tab w:val="left" w:pos="9000"/>
        </w:tabs>
        <w:spacing w:before="10" w:after="0" w:line="480" w:lineRule="auto"/>
        <w:ind w:right="30"/>
        <w:rPr>
          <w:rFonts w:ascii="Times New Roman" w:eastAsia="Times New Roman" w:hAnsi="Times New Roman" w:cs="Times New Roman"/>
          <w:sz w:val="24"/>
          <w:szCs w:val="24"/>
        </w:rPr>
      </w:pPr>
      <w:r>
        <w:rPr>
          <w:noProof/>
          <w:lang w:val="en-GB"/>
        </w:rPr>
        <w:lastRenderedPageBreak/>
        <w:drawing>
          <wp:anchor distT="0" distB="0" distL="114300" distR="114300" simplePos="0" relativeHeight="251661312" behindDoc="0" locked="0" layoutInCell="1" hidden="0" allowOverlap="1" wp14:anchorId="2970AC29" wp14:editId="62895F15">
            <wp:simplePos x="0" y="0"/>
            <wp:positionH relativeFrom="column">
              <wp:posOffset>317500</wp:posOffset>
            </wp:positionH>
            <wp:positionV relativeFrom="paragraph">
              <wp:posOffset>275590</wp:posOffset>
            </wp:positionV>
            <wp:extent cx="5088890" cy="2494280"/>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088890" cy="2494280"/>
                    </a:xfrm>
                    <a:prstGeom prst="rect">
                      <a:avLst/>
                    </a:prstGeom>
                    <a:ln/>
                  </pic:spPr>
                </pic:pic>
              </a:graphicData>
            </a:graphic>
          </wp:anchor>
        </w:drawing>
      </w:r>
    </w:p>
    <w:p w:rsidR="00B32A9C" w:rsidRDefault="00B32A9C" w:rsidP="00B32A9C">
      <w:pPr>
        <w:widowControl w:val="0"/>
        <w:tabs>
          <w:tab w:val="left" w:pos="1279"/>
          <w:tab w:val="left" w:pos="9000"/>
        </w:tabs>
        <w:spacing w:before="4" w:after="0" w:line="240" w:lineRule="auto"/>
        <w:ind w:right="30"/>
        <w:rPr>
          <w:rFonts w:ascii="Times New Roman" w:eastAsia="Times New Roman" w:hAnsi="Times New Roman" w:cs="Times New Roman"/>
          <w:sz w:val="24"/>
          <w:szCs w:val="24"/>
        </w:rPr>
      </w:pPr>
    </w:p>
    <w:p w:rsidR="00B32A9C" w:rsidRDefault="00B32A9C" w:rsidP="00B32A9C">
      <w:pPr>
        <w:widowControl w:val="0"/>
        <w:tabs>
          <w:tab w:val="left" w:pos="720"/>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2.1: Flexural test (Central loading).  Source: (Gupta and Gupta, 2004)</w:t>
      </w:r>
    </w:p>
    <w:p w:rsidR="00B32A9C" w:rsidRDefault="00B32A9C" w:rsidP="00B32A9C">
      <w:pPr>
        <w:widowControl w:val="0"/>
        <w:tabs>
          <w:tab w:val="left" w:pos="1279"/>
          <w:tab w:val="left" w:pos="9000"/>
        </w:tabs>
        <w:spacing w:before="8" w:after="0" w:line="240" w:lineRule="auto"/>
        <w:ind w:right="30"/>
        <w:rPr>
          <w:rFonts w:ascii="Times New Roman" w:eastAsia="Times New Roman" w:hAnsi="Times New Roman" w:cs="Times New Roman"/>
          <w:sz w:val="24"/>
          <w:szCs w:val="24"/>
        </w:rPr>
      </w:pPr>
    </w:p>
    <w:p w:rsidR="00B32A9C" w:rsidRDefault="00B32A9C" w:rsidP="00B32A9C">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rectangular sample under a load in a two-point bending setup (Figure 2.1), the flexural strength is calculated with equation (2.1)</w:t>
      </w:r>
    </w:p>
    <w:p w:rsidR="00B32A9C" w:rsidRDefault="00B32A9C" w:rsidP="00B32A9C">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p>
    <w:p w:rsidR="00B32A9C" w:rsidRDefault="00B32A9C" w:rsidP="00B32A9C">
      <w:pPr>
        <w:widowControl w:val="0"/>
        <w:tabs>
          <w:tab w:val="left" w:pos="1279"/>
        </w:tabs>
        <w:spacing w:before="3" w:after="0" w:line="240" w:lineRule="auto"/>
        <w:ind w:right="30"/>
        <w:rPr>
          <w:rFonts w:ascii="Times New Roman" w:eastAsia="Times New Roman" w:hAnsi="Times New Roman" w:cs="Times New Roman"/>
          <w:sz w:val="24"/>
          <w:szCs w:val="24"/>
        </w:rPr>
      </w:pPr>
      <m:oMath>
        <m:r>
          <w:rPr>
            <w:rFonts w:ascii="Cambria Math" w:eastAsia="Cambria Math" w:hAnsi="Cambria Math" w:cs="Cambria Math"/>
            <w:sz w:val="24"/>
            <w:szCs w:val="24"/>
          </w:rPr>
          <m:t>σ=</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3FL</m:t>
            </m:r>
          </m:num>
          <m:den>
            <m:r>
              <w:rPr>
                <w:rFonts w:ascii="Cambria Math" w:eastAsia="Cambria Math" w:hAnsi="Cambria Math" w:cs="Cambria Math"/>
                <w:sz w:val="24"/>
                <w:szCs w:val="24"/>
              </w:rPr>
              <m:t>2b</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rsidR="00B32A9C" w:rsidRDefault="00B32A9C" w:rsidP="00B32A9C">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p>
    <w:p w:rsidR="00B32A9C" w:rsidRDefault="00B32A9C" w:rsidP="00B32A9C">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B32A9C" w:rsidRDefault="00B32A9C" w:rsidP="00B32A9C">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p>
    <w:p w:rsidR="00B32A9C" w:rsidRDefault="00B32A9C" w:rsidP="00B32A9C">
      <w:pPr>
        <w:widowControl w:val="0"/>
        <w:tabs>
          <w:tab w:val="left" w:pos="1279"/>
          <w:tab w:val="left" w:pos="9000"/>
        </w:tabs>
        <w:spacing w:before="3"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 is the load (force) at the fracture point (N) L is the length of the support span (mm)</w:t>
      </w:r>
    </w:p>
    <w:p w:rsidR="00B32A9C" w:rsidRDefault="00B32A9C" w:rsidP="00B32A9C">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b is width (mm)</w:t>
      </w:r>
    </w:p>
    <w:p w:rsidR="00B32A9C" w:rsidRDefault="00B32A9C" w:rsidP="00B32A9C">
      <w:pPr>
        <w:widowControl w:val="0"/>
        <w:tabs>
          <w:tab w:val="left" w:pos="1279"/>
          <w:tab w:val="left" w:pos="9000"/>
        </w:tabs>
        <w:spacing w:before="140"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 is thickness (mm)</w:t>
      </w:r>
    </w:p>
    <w:p w:rsidR="00B32A9C" w:rsidRDefault="00B32A9C" w:rsidP="00B32A9C">
      <w:pPr>
        <w:widowControl w:val="0"/>
        <w:tabs>
          <w:tab w:val="left" w:pos="1279"/>
          <w:tab w:val="left" w:pos="9000"/>
        </w:tabs>
        <w:spacing w:before="11" w:after="0" w:line="240" w:lineRule="auto"/>
        <w:ind w:right="30"/>
        <w:rPr>
          <w:rFonts w:ascii="Times New Roman" w:eastAsia="Times New Roman" w:hAnsi="Times New Roman" w:cs="Times New Roman"/>
          <w:sz w:val="24"/>
          <w:szCs w:val="24"/>
        </w:rPr>
      </w:pPr>
    </w:p>
    <w:p w:rsidR="00B32A9C" w:rsidRDefault="00B32A9C" w:rsidP="00B32A9C">
      <w:pPr>
        <w:widowControl w:val="0"/>
        <w:pBdr>
          <w:top w:val="nil"/>
          <w:left w:val="nil"/>
          <w:bottom w:val="nil"/>
          <w:right w:val="nil"/>
          <w:between w:val="nil"/>
        </w:pBdr>
        <w:tabs>
          <w:tab w:val="left" w:pos="1279"/>
          <w:tab w:val="left" w:pos="1708"/>
          <w:tab w:val="left" w:pos="9000"/>
        </w:tabs>
        <w:spacing w:before="20" w:after="20" w:line="360" w:lineRule="auto"/>
        <w:ind w:right="3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Two Points Loading </w:t>
      </w:r>
    </w:p>
    <w:p w:rsidR="00B32A9C" w:rsidRDefault="00B32A9C" w:rsidP="00B32A9C">
      <w:pPr>
        <w:widowControl w:val="0"/>
        <w:tabs>
          <w:tab w:val="left" w:pos="1279"/>
          <w:tab w:val="left" w:pos="1708"/>
          <w:tab w:val="left" w:pos="9000"/>
        </w:tabs>
        <w:spacing w:before="20" w:after="2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 of loading produces a constant bending moment between the load points so that one-third of the span is subjected to the maximum stress and thus in this region cracking is likely to take place. Nowadays, this system of loading is taken as the standard method of </w:t>
      </w:r>
    </w:p>
    <w:p w:rsidR="00B32A9C" w:rsidRDefault="00B32A9C" w:rsidP="00B32A9C">
      <w:pPr>
        <w:widowControl w:val="0"/>
        <w:tabs>
          <w:tab w:val="left" w:pos="1279"/>
          <w:tab w:val="left" w:pos="1708"/>
          <w:tab w:val="left" w:pos="9000"/>
        </w:tabs>
        <w:spacing w:before="20" w:after="2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loading. The system of two points loading is shown in Figure 2.2</w:t>
      </w:r>
      <w:r>
        <w:rPr>
          <w:i/>
        </w:rPr>
        <w:t xml:space="preserve"> </w:t>
      </w:r>
      <w:r>
        <w:rPr>
          <w:rFonts w:ascii="Times New Roman" w:eastAsia="Times New Roman" w:hAnsi="Times New Roman" w:cs="Times New Roman"/>
          <w:sz w:val="24"/>
          <w:szCs w:val="24"/>
        </w:rPr>
        <w:t xml:space="preserve">For a rectangular sample under a load in a four-point bending setup (Figure 2.20) where the loading span is one-third of </w:t>
      </w:r>
      <w:r>
        <w:rPr>
          <w:rFonts w:ascii="Times New Roman" w:eastAsia="Times New Roman" w:hAnsi="Times New Roman" w:cs="Times New Roman"/>
          <w:sz w:val="24"/>
          <w:szCs w:val="24"/>
        </w:rPr>
        <w:lastRenderedPageBreak/>
        <w:t>the support span, the flexural strength is calculated with equation (2.2)</w:t>
      </w:r>
      <w:r>
        <w:rPr>
          <w:noProof/>
          <w:lang w:val="en-GB"/>
        </w:rPr>
        <w:drawing>
          <wp:anchor distT="0" distB="0" distL="114300" distR="114300" simplePos="0" relativeHeight="251662336" behindDoc="0" locked="0" layoutInCell="1" hidden="0" allowOverlap="1" wp14:anchorId="4B119FB1" wp14:editId="7E2814D3">
            <wp:simplePos x="0" y="0"/>
            <wp:positionH relativeFrom="column">
              <wp:posOffset>76201</wp:posOffset>
            </wp:positionH>
            <wp:positionV relativeFrom="paragraph">
              <wp:posOffset>1452880</wp:posOffset>
            </wp:positionV>
            <wp:extent cx="5570855" cy="1539875"/>
            <wp:effectExtent l="0" t="0" r="0" b="0"/>
            <wp:wrapTopAndBottom distT="0" dist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570855" cy="1539875"/>
                    </a:xfrm>
                    <a:prstGeom prst="rect">
                      <a:avLst/>
                    </a:prstGeom>
                    <a:ln/>
                  </pic:spPr>
                </pic:pic>
              </a:graphicData>
            </a:graphic>
          </wp:anchor>
        </w:drawing>
      </w:r>
    </w:p>
    <w:p w:rsidR="00B32A9C" w:rsidRDefault="00B32A9C" w:rsidP="00B32A9C">
      <w:pPr>
        <w:widowControl w:val="0"/>
        <w:tabs>
          <w:tab w:val="left" w:pos="1279"/>
          <w:tab w:val="left" w:pos="7041"/>
          <w:tab w:val="left" w:pos="9000"/>
        </w:tabs>
        <w:spacing w:before="220"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Flexural test (Two points loading). Source: (Gupta and Gupta, 2004)</w:t>
      </w:r>
    </w:p>
    <w:p w:rsidR="00B32A9C" w:rsidRDefault="00B32A9C" w:rsidP="00B32A9C">
      <w:pPr>
        <w:widowControl w:val="0"/>
        <w:tabs>
          <w:tab w:val="left" w:pos="1279"/>
          <w:tab w:val="left" w:pos="5490"/>
        </w:tabs>
        <w:spacing w:after="0" w:line="240" w:lineRule="auto"/>
        <w:ind w:right="30"/>
        <w:rPr>
          <w:sz w:val="24"/>
          <w:szCs w:val="24"/>
        </w:rPr>
      </w:pPr>
    </w:p>
    <w:p w:rsidR="00B32A9C" w:rsidRDefault="00B32A9C" w:rsidP="00B32A9C">
      <w:pPr>
        <w:widowControl w:val="0"/>
        <w:tabs>
          <w:tab w:val="left" w:pos="1279"/>
          <w:tab w:val="left" w:pos="5490"/>
        </w:tabs>
        <w:spacing w:after="0" w:line="240" w:lineRule="auto"/>
        <w:ind w:right="30"/>
        <w:rPr>
          <w:sz w:val="24"/>
          <w:szCs w:val="24"/>
        </w:rPr>
      </w:pPr>
    </w:p>
    <w:p w:rsidR="00B32A9C" w:rsidRDefault="00B32A9C" w:rsidP="00B32A9C">
      <w:pPr>
        <w:widowControl w:val="0"/>
        <w:tabs>
          <w:tab w:val="left" w:pos="1279"/>
          <w:tab w:val="left" w:pos="5490"/>
        </w:tabs>
        <w:spacing w:after="0" w:line="240" w:lineRule="auto"/>
        <w:ind w:right="30"/>
        <w:rPr>
          <w:rFonts w:ascii="Times New Roman" w:eastAsia="Times New Roman" w:hAnsi="Times New Roman" w:cs="Times New Roman"/>
          <w:sz w:val="24"/>
          <w:szCs w:val="24"/>
        </w:rPr>
      </w:pPr>
      <m:oMath>
        <m:r>
          <w:rPr>
            <w:rFonts w:ascii="Cambria Math" w:eastAsia="Cambria Math" w:hAnsi="Cambria Math" w:cs="Cambria Math"/>
            <w:sz w:val="24"/>
            <w:szCs w:val="24"/>
          </w:rPr>
          <m:t>σ=</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FL</m:t>
            </m:r>
          </m:num>
          <m:den>
            <m:r>
              <w:rPr>
                <w:rFonts w:ascii="Cambria Math" w:eastAsia="Cambria Math" w:hAnsi="Cambria Math" w:cs="Cambria Math"/>
                <w:sz w:val="24"/>
                <w:szCs w:val="24"/>
              </w:rPr>
              <m:t>b</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p>
    <w:p w:rsidR="00B32A9C" w:rsidRDefault="00B32A9C" w:rsidP="00B32A9C">
      <w:pPr>
        <w:widowControl w:val="0"/>
        <w:tabs>
          <w:tab w:val="left" w:pos="1279"/>
          <w:tab w:val="left" w:pos="5490"/>
        </w:tabs>
        <w:spacing w:after="0" w:line="240" w:lineRule="auto"/>
        <w:ind w:right="30"/>
        <w:rPr>
          <w:rFonts w:ascii="Times New Roman" w:eastAsia="Times New Roman" w:hAnsi="Times New Roman" w:cs="Times New Roman"/>
          <w:sz w:val="24"/>
          <w:szCs w:val="24"/>
        </w:rPr>
      </w:pPr>
    </w:p>
    <w:p w:rsidR="00B32A9C" w:rsidRDefault="00B32A9C" w:rsidP="00B32A9C">
      <w:pPr>
        <w:widowControl w:val="0"/>
        <w:tabs>
          <w:tab w:val="left" w:pos="1279"/>
          <w:tab w:val="left" w:pos="9000"/>
        </w:tabs>
        <w:spacing w:after="0" w:line="240" w:lineRule="auto"/>
        <w:ind w:right="30"/>
        <w:rPr>
          <w:rFonts w:ascii="Times New Roman" w:eastAsia="Times New Roman" w:hAnsi="Times New Roman" w:cs="Times New Roman"/>
          <w:sz w:val="24"/>
          <w:szCs w:val="24"/>
        </w:rPr>
      </w:pPr>
    </w:p>
    <w:p w:rsidR="00B32A9C" w:rsidRDefault="00B32A9C" w:rsidP="00B32A9C">
      <w:pPr>
        <w:widowControl w:val="0"/>
        <w:tabs>
          <w:tab w:val="left" w:pos="1279"/>
          <w:tab w:val="left" w:pos="9000"/>
        </w:tabs>
        <w:spacing w:before="1"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B32A9C" w:rsidRDefault="00B32A9C" w:rsidP="00B32A9C">
      <w:pPr>
        <w:widowControl w:val="0"/>
        <w:tabs>
          <w:tab w:val="left" w:pos="1279"/>
          <w:tab w:val="left" w:pos="9000"/>
        </w:tabs>
        <w:spacing w:before="139"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 is the load (force) at the fracture point (N) L is the length of the support span (mm)</w:t>
      </w:r>
    </w:p>
    <w:p w:rsidR="00905BE4" w:rsidRDefault="00B32A9C" w:rsidP="00B32A9C">
      <w:r>
        <w:rPr>
          <w:rFonts w:ascii="Times New Roman" w:eastAsia="Times New Roman" w:hAnsi="Times New Roman" w:cs="Times New Roman"/>
          <w:sz w:val="24"/>
          <w:szCs w:val="24"/>
        </w:rPr>
        <w:t>b is width (mm), d is thickness (m)</w:t>
      </w:r>
      <w:bookmarkStart w:id="0" w:name="_GoBack"/>
      <w:bookmarkEnd w:id="0"/>
    </w:p>
    <w:sectPr w:rsidR="00905B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D8792A"/>
    <w:multiLevelType w:val="multilevel"/>
    <w:tmpl w:val="1CD0E1AE"/>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A9C"/>
    <w:rsid w:val="001F0702"/>
    <w:rsid w:val="00905BE4"/>
    <w:rsid w:val="009B7DAC"/>
    <w:rsid w:val="00B32A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8B7A8F-3DCB-43E2-B909-7397F018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32A9C"/>
    <w:rPr>
      <w:rFonts w:ascii="Calibri" w:eastAsia="Calibri" w:hAnsi="Calibri" w:cs="Calibri"/>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3635</Words>
  <Characters>20722</Characters>
  <Application>Microsoft Office Word</Application>
  <DocSecurity>0</DocSecurity>
  <Lines>172</Lines>
  <Paragraphs>48</Paragraphs>
  <ScaleCrop>false</ScaleCrop>
  <Company/>
  <LinksUpToDate>false</LinksUpToDate>
  <CharactersWithSpaces>24309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2025-07-14T14:18:00Z</dcterms:created>
  <dcterms:modified xsi:type="dcterms:W3CDTF">2025-07-14T14:19:00Z</dcterms:modified>
</cp:coreProperties>
</file>