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C48" w:rsidRDefault="008C6C48" w:rsidP="008C6C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 FOUR</w:t>
      </w:r>
    </w:p>
    <w:p w:rsidR="008C6C48" w:rsidRDefault="008C6C48" w:rsidP="008C6C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FFB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:rsidR="008C6C48" w:rsidRPr="007B2BFB" w:rsidRDefault="008C6C48" w:rsidP="008C6C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BFB">
        <w:rPr>
          <w:rFonts w:ascii="Times New Roman" w:hAnsi="Times New Roman" w:cs="Times New Roman"/>
          <w:b/>
          <w:sz w:val="24"/>
          <w:szCs w:val="24"/>
        </w:rPr>
        <w:t xml:space="preserve">4.1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B2BFB">
        <w:rPr>
          <w:rFonts w:ascii="Times New Roman" w:hAnsi="Times New Roman" w:cs="Times New Roman"/>
          <w:b/>
          <w:sz w:val="24"/>
          <w:szCs w:val="24"/>
        </w:rPr>
        <w:t>ocio-economic characteristics of the respondents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(N=150)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5"/>
        <w:gridCol w:w="1487"/>
        <w:gridCol w:w="3118"/>
      </w:tblGrid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b/>
                <w:sz w:val="16"/>
                <w:szCs w:val="16"/>
              </w:rPr>
              <w:t>Variables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b/>
                <w:sz w:val="16"/>
                <w:szCs w:val="16"/>
              </w:rPr>
              <w:t>Frequency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b/>
                <w:sz w:val="16"/>
                <w:szCs w:val="16"/>
              </w:rPr>
              <w:t>Percentage (%)</w:t>
            </w:r>
          </w:p>
        </w:tc>
      </w:tr>
      <w:tr w:rsidR="008C6C48" w:rsidRPr="00867183" w:rsidTr="001E3550">
        <w:trPr>
          <w:trHeight w:val="350"/>
        </w:trPr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b/>
                <w:sz w:val="16"/>
                <w:szCs w:val="16"/>
              </w:rPr>
              <w:t>Sex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38.7%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61.3%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150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100.0%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b/>
                <w:sz w:val="16"/>
                <w:szCs w:val="16"/>
              </w:rPr>
              <w:t>Marital status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sz w:val="16"/>
                <w:szCs w:val="16"/>
              </w:rPr>
              <w:t>Single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36.0%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sz w:val="16"/>
                <w:szCs w:val="16"/>
              </w:rPr>
              <w:t xml:space="preserve">Married 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sz w:val="16"/>
                <w:szCs w:val="16"/>
              </w:rPr>
              <w:t>Widow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7.3%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sz w:val="16"/>
                <w:szCs w:val="16"/>
              </w:rPr>
              <w:t>Separated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6.7%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150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Age 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sz w:val="16"/>
                <w:szCs w:val="16"/>
              </w:rPr>
              <w:t>30 – 39 years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48.7%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sz w:val="16"/>
                <w:szCs w:val="16"/>
              </w:rPr>
              <w:t>40 – 49 years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sz w:val="16"/>
                <w:szCs w:val="16"/>
              </w:rPr>
              <w:t>50 years above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21.3%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150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Level of education 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sz w:val="16"/>
                <w:szCs w:val="16"/>
              </w:rPr>
              <w:t>Non-formal Education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29.3%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sz w:val="16"/>
                <w:szCs w:val="16"/>
              </w:rPr>
              <w:t xml:space="preserve">Primary Education 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sz w:val="16"/>
                <w:szCs w:val="16"/>
              </w:rPr>
              <w:t>Secondary Education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33.3%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Tertiary Education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13.3%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150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Access to Extension Service 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sz w:val="16"/>
                <w:szCs w:val="16"/>
              </w:rPr>
              <w:t xml:space="preserve">Yes </w:t>
            </w:r>
          </w:p>
        </w:tc>
        <w:tc>
          <w:tcPr>
            <w:tcW w:w="1506" w:type="dxa"/>
          </w:tcPr>
          <w:p w:rsidR="008C6C48" w:rsidRPr="00D96DD8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DD8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92" w:type="dxa"/>
          </w:tcPr>
          <w:p w:rsidR="008C6C48" w:rsidRPr="00C64BF0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BF0">
              <w:rPr>
                <w:rFonts w:ascii="Times New Roman" w:hAnsi="Times New Roman" w:cs="Times New Roman"/>
                <w:sz w:val="16"/>
                <w:szCs w:val="16"/>
              </w:rPr>
              <w:t>60.0%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sz w:val="16"/>
                <w:szCs w:val="16"/>
              </w:rPr>
              <w:t xml:space="preserve">No </w:t>
            </w:r>
          </w:p>
        </w:tc>
        <w:tc>
          <w:tcPr>
            <w:tcW w:w="1506" w:type="dxa"/>
          </w:tcPr>
          <w:p w:rsidR="008C6C48" w:rsidRPr="00D96DD8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DD8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192" w:type="dxa"/>
          </w:tcPr>
          <w:p w:rsidR="008C6C48" w:rsidRPr="00C64BF0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BF0">
              <w:rPr>
                <w:rFonts w:ascii="Times New Roman" w:hAnsi="Times New Roman" w:cs="Times New Roman"/>
                <w:sz w:val="16"/>
                <w:szCs w:val="16"/>
              </w:rPr>
              <w:t>40.0%</w:t>
            </w:r>
          </w:p>
        </w:tc>
      </w:tr>
      <w:tr w:rsidR="008C6C48" w:rsidRPr="00867183" w:rsidTr="001E3550">
        <w:tc>
          <w:tcPr>
            <w:tcW w:w="4878" w:type="dxa"/>
          </w:tcPr>
          <w:p w:rsidR="008C6C48" w:rsidRPr="00867183" w:rsidRDefault="008C6C48" w:rsidP="001E355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506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150</w:t>
            </w:r>
          </w:p>
        </w:tc>
        <w:tc>
          <w:tcPr>
            <w:tcW w:w="3192" w:type="dxa"/>
          </w:tcPr>
          <w:p w:rsidR="008C6C48" w:rsidRPr="00867183" w:rsidRDefault="008C6C48" w:rsidP="001E35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100%</w:t>
            </w:r>
          </w:p>
        </w:tc>
      </w:tr>
    </w:tbl>
    <w:p w:rsidR="008C6C48" w:rsidRDefault="008C6C48" w:rsidP="008C6C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Field Survey, 2025</w:t>
      </w:r>
    </w:p>
    <w:p w:rsidR="008C6C48" w:rsidRDefault="008C6C48" w:rsidP="008C6C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4.1 shows the socioeconomic</w:t>
      </w:r>
      <w:r w:rsidRPr="00653EC9">
        <w:rPr>
          <w:rFonts w:ascii="Times New Roman" w:hAnsi="Times New Roman" w:cs="Times New Roman"/>
          <w:sz w:val="24"/>
          <w:szCs w:val="24"/>
        </w:rPr>
        <w:t xml:space="preserve"> distribution of respondents and provides an overview </w:t>
      </w:r>
      <w:r>
        <w:rPr>
          <w:rFonts w:ascii="Times New Roman" w:hAnsi="Times New Roman" w:cs="Times New Roman"/>
          <w:sz w:val="24"/>
          <w:szCs w:val="24"/>
        </w:rPr>
        <w:t>of the characteristics of the 15</w:t>
      </w:r>
      <w:r w:rsidRPr="00653EC9">
        <w:rPr>
          <w:rFonts w:ascii="Times New Roman" w:hAnsi="Times New Roman" w:cs="Times New Roman"/>
          <w:sz w:val="24"/>
          <w:szCs w:val="24"/>
        </w:rPr>
        <w:t>0 respondents in the study, offering insights into the gender distribution, age groups, educational qualifications, years of education, and a</w:t>
      </w:r>
      <w:r>
        <w:rPr>
          <w:rFonts w:ascii="Times New Roman" w:hAnsi="Times New Roman" w:cs="Times New Roman"/>
          <w:sz w:val="24"/>
          <w:szCs w:val="24"/>
        </w:rPr>
        <w:t>ccess to extension services</w:t>
      </w:r>
      <w:r w:rsidRPr="00653EC9">
        <w:rPr>
          <w:rFonts w:ascii="Times New Roman" w:hAnsi="Times New Roman" w:cs="Times New Roman"/>
          <w:sz w:val="24"/>
          <w:szCs w:val="24"/>
        </w:rPr>
        <w:t>.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EC9">
        <w:rPr>
          <w:rFonts w:ascii="Times New Roman" w:hAnsi="Times New Roman" w:cs="Times New Roman"/>
          <w:sz w:val="24"/>
          <w:szCs w:val="24"/>
        </w:rPr>
        <w:t>distribution</w:t>
      </w:r>
      <w:r>
        <w:rPr>
          <w:rFonts w:ascii="Times New Roman" w:hAnsi="Times New Roman" w:cs="Times New Roman"/>
          <w:sz w:val="24"/>
          <w:szCs w:val="24"/>
        </w:rPr>
        <w:t xml:space="preserve"> in the sample shows that (</w:t>
      </w:r>
      <w:r w:rsidRPr="00E573FB">
        <w:rPr>
          <w:rFonts w:ascii="Times New Roman" w:hAnsi="Times New Roman" w:cs="Times New Roman"/>
          <w:sz w:val="24"/>
          <w:szCs w:val="24"/>
        </w:rPr>
        <w:t>38.7%)</w:t>
      </w:r>
      <w:r w:rsidRPr="00653EC9">
        <w:rPr>
          <w:rFonts w:ascii="Times New Roman" w:hAnsi="Times New Roman" w:cs="Times New Roman"/>
          <w:sz w:val="24"/>
          <w:szCs w:val="24"/>
        </w:rPr>
        <w:t xml:space="preserve"> of the resp</w:t>
      </w:r>
      <w:r>
        <w:rPr>
          <w:rFonts w:ascii="Times New Roman" w:hAnsi="Times New Roman" w:cs="Times New Roman"/>
          <w:sz w:val="24"/>
          <w:szCs w:val="24"/>
        </w:rPr>
        <w:t>ondents are female, while (</w:t>
      </w:r>
      <w:r w:rsidRPr="00E573FB">
        <w:rPr>
          <w:rFonts w:ascii="Times New Roman" w:hAnsi="Times New Roman" w:cs="Times New Roman"/>
          <w:sz w:val="24"/>
          <w:szCs w:val="24"/>
        </w:rPr>
        <w:t>61.3%)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Pr="00653EC9">
        <w:rPr>
          <w:rFonts w:ascii="Times New Roman" w:hAnsi="Times New Roman" w:cs="Times New Roman"/>
          <w:sz w:val="24"/>
          <w:szCs w:val="24"/>
        </w:rPr>
        <w:t xml:space="preserve">male. This distribution reflects a male majority in the sample. In many agricultural studies, gender disparities are commonly observed, with men often being more engaged in farming activities. According to FAO (2011), women make up a significant portion of the agricultural workforce in developing countries but often have limited access to resources and extension services. More so, the age </w:t>
      </w:r>
      <w:r>
        <w:rPr>
          <w:rFonts w:ascii="Times New Roman" w:hAnsi="Times New Roman" w:cs="Times New Roman"/>
          <w:sz w:val="24"/>
          <w:szCs w:val="24"/>
        </w:rPr>
        <w:t>distribution reveals that (</w:t>
      </w:r>
      <w:r w:rsidRPr="00E142E8">
        <w:rPr>
          <w:rFonts w:ascii="Times New Roman" w:hAnsi="Times New Roman" w:cs="Times New Roman"/>
          <w:sz w:val="24"/>
          <w:szCs w:val="24"/>
        </w:rPr>
        <w:t>21.3%)</w:t>
      </w:r>
      <w:r w:rsidRPr="00653EC9">
        <w:rPr>
          <w:rFonts w:ascii="Times New Roman" w:hAnsi="Times New Roman" w:cs="Times New Roman"/>
          <w:sz w:val="24"/>
          <w:szCs w:val="24"/>
        </w:rPr>
        <w:t xml:space="preserve"> of respondents are aged between 30 and 39 years,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2E8">
        <w:rPr>
          <w:rFonts w:ascii="Times New Roman" w:hAnsi="Times New Roman" w:cs="Times New Roman"/>
          <w:sz w:val="24"/>
          <w:szCs w:val="24"/>
        </w:rPr>
        <w:t>(48.7%)</w:t>
      </w:r>
      <w:r w:rsidRPr="00653EC9">
        <w:rPr>
          <w:rFonts w:ascii="Times New Roman" w:hAnsi="Times New Roman" w:cs="Times New Roman"/>
          <w:sz w:val="24"/>
          <w:szCs w:val="24"/>
        </w:rPr>
        <w:t xml:space="preserve"> fall within</w:t>
      </w:r>
      <w:r>
        <w:rPr>
          <w:rFonts w:ascii="Times New Roman" w:hAnsi="Times New Roman" w:cs="Times New Roman"/>
          <w:sz w:val="24"/>
          <w:szCs w:val="24"/>
        </w:rPr>
        <w:t xml:space="preserve"> the 40-49 age group, and (</w:t>
      </w:r>
      <w:r w:rsidRPr="00E142E8">
        <w:rPr>
          <w:rFonts w:ascii="Times New Roman" w:hAnsi="Times New Roman" w:cs="Times New Roman"/>
          <w:sz w:val="24"/>
          <w:szCs w:val="24"/>
        </w:rPr>
        <w:t>30.0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E142E8">
        <w:rPr>
          <w:rFonts w:ascii="Times New Roman" w:hAnsi="Times New Roman" w:cs="Times New Roman"/>
          <w:sz w:val="24"/>
          <w:szCs w:val="24"/>
        </w:rPr>
        <w:t>)</w:t>
      </w:r>
      <w:r w:rsidRPr="00653EC9">
        <w:rPr>
          <w:rFonts w:ascii="Times New Roman" w:hAnsi="Times New Roman" w:cs="Times New Roman"/>
          <w:sz w:val="24"/>
          <w:szCs w:val="24"/>
        </w:rPr>
        <w:t xml:space="preserve"> are aged 50-59 years. The dominance of respondents in the 30-39 age groups suggests a relatively younger popula</w:t>
      </w:r>
      <w:r>
        <w:rPr>
          <w:rFonts w:ascii="Times New Roman" w:hAnsi="Times New Roman" w:cs="Times New Roman"/>
          <w:sz w:val="24"/>
          <w:szCs w:val="24"/>
        </w:rPr>
        <w:t>tion participating in the study</w:t>
      </w:r>
      <w:r w:rsidRPr="00653EC9">
        <w:rPr>
          <w:rFonts w:ascii="Times New Roman" w:hAnsi="Times New Roman" w:cs="Times New Roman"/>
          <w:sz w:val="24"/>
          <w:szCs w:val="24"/>
        </w:rPr>
        <w:t>.  Meanwhile, this data shows that (</w:t>
      </w:r>
      <w:r w:rsidRPr="00120A14">
        <w:rPr>
          <w:rFonts w:ascii="Times New Roman" w:hAnsi="Times New Roman" w:cs="Times New Roman"/>
          <w:sz w:val="24"/>
          <w:szCs w:val="24"/>
        </w:rPr>
        <w:t>13.3%)</w:t>
      </w:r>
      <w:r w:rsidRPr="00653EC9">
        <w:rPr>
          <w:rFonts w:ascii="Times New Roman" w:hAnsi="Times New Roman" w:cs="Times New Roman"/>
          <w:sz w:val="24"/>
          <w:szCs w:val="24"/>
        </w:rPr>
        <w:t xml:space="preserve"> of respondents have tertiary education, (</w:t>
      </w:r>
      <w:r w:rsidRPr="00120A14">
        <w:rPr>
          <w:rFonts w:ascii="Times New Roman" w:hAnsi="Times New Roman" w:cs="Times New Roman"/>
          <w:sz w:val="24"/>
          <w:szCs w:val="24"/>
        </w:rPr>
        <w:t>33.3%)</w:t>
      </w:r>
      <w:r w:rsidRPr="00653EC9">
        <w:rPr>
          <w:rFonts w:ascii="Times New Roman" w:hAnsi="Times New Roman" w:cs="Times New Roman"/>
          <w:sz w:val="24"/>
          <w:szCs w:val="24"/>
        </w:rPr>
        <w:t xml:space="preserve"> have secondary education, (</w:t>
      </w:r>
      <w:r w:rsidRPr="00120A14">
        <w:rPr>
          <w:rFonts w:ascii="Times New Roman" w:hAnsi="Times New Roman" w:cs="Times New Roman"/>
          <w:sz w:val="24"/>
          <w:szCs w:val="24"/>
        </w:rPr>
        <w:t>24.0%)</w:t>
      </w:r>
      <w:r w:rsidRPr="00653EC9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>ve primary education, and (</w:t>
      </w:r>
      <w:r w:rsidRPr="00120A14">
        <w:rPr>
          <w:rFonts w:ascii="Times New Roman" w:hAnsi="Times New Roman" w:cs="Times New Roman"/>
          <w:sz w:val="24"/>
          <w:szCs w:val="24"/>
        </w:rPr>
        <w:t>29.3%)</w:t>
      </w:r>
      <w:r w:rsidRPr="00653EC9">
        <w:rPr>
          <w:rFonts w:ascii="Times New Roman" w:hAnsi="Times New Roman" w:cs="Times New Roman"/>
          <w:sz w:val="24"/>
          <w:szCs w:val="24"/>
        </w:rPr>
        <w:t xml:space="preserve"> have no formal education. This variation in educational backgrounds is consistent with the findings of </w:t>
      </w:r>
      <w:proofErr w:type="spellStart"/>
      <w:r w:rsidRPr="00653EC9">
        <w:rPr>
          <w:rFonts w:ascii="Times New Roman" w:hAnsi="Times New Roman" w:cs="Times New Roman"/>
          <w:sz w:val="24"/>
          <w:szCs w:val="24"/>
        </w:rPr>
        <w:t>Tesfaye</w:t>
      </w:r>
      <w:proofErr w:type="spellEnd"/>
      <w:r w:rsidRPr="00653EC9">
        <w:rPr>
          <w:rFonts w:ascii="Times New Roman" w:hAnsi="Times New Roman" w:cs="Times New Roman"/>
          <w:sz w:val="24"/>
          <w:szCs w:val="24"/>
        </w:rPr>
        <w:t xml:space="preserve"> et al. (2020), which emphasize the importance of considering farmers' educational levels when examining their climate </w:t>
      </w:r>
      <w:r>
        <w:rPr>
          <w:rFonts w:ascii="Times New Roman" w:hAnsi="Times New Roman" w:cs="Times New Roman"/>
          <w:sz w:val="24"/>
          <w:szCs w:val="24"/>
        </w:rPr>
        <w:t>change awareness and adaptation</w:t>
      </w:r>
      <w:r w:rsidRPr="00120A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A14">
        <w:rPr>
          <w:rFonts w:ascii="Times New Roman" w:hAnsi="Times New Roman" w:cs="Times New Roman"/>
          <w:sz w:val="24"/>
          <w:szCs w:val="24"/>
        </w:rPr>
        <w:t xml:space="preserve">(60.0%) have access to extension services, while </w:t>
      </w:r>
      <w:r>
        <w:rPr>
          <w:rFonts w:ascii="Times New Roman" w:hAnsi="Times New Roman" w:cs="Times New Roman"/>
          <w:sz w:val="24"/>
          <w:szCs w:val="24"/>
        </w:rPr>
        <w:t>(40</w:t>
      </w:r>
      <w:r w:rsidRPr="00120A1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20A14">
        <w:rPr>
          <w:rFonts w:ascii="Times New Roman" w:hAnsi="Times New Roman" w:cs="Times New Roman"/>
          <w:sz w:val="24"/>
          <w:szCs w:val="24"/>
        </w:rPr>
        <w:t xml:space="preserve"> </w:t>
      </w:r>
      <w:r w:rsidRPr="00120A14">
        <w:rPr>
          <w:rFonts w:ascii="Times New Roman" w:hAnsi="Times New Roman" w:cs="Times New Roman"/>
          <w:sz w:val="24"/>
          <w:szCs w:val="24"/>
        </w:rPr>
        <w:lastRenderedPageBreak/>
        <w:t>have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Pr="00120A14">
        <w:rPr>
          <w:rFonts w:ascii="Times New Roman" w:hAnsi="Times New Roman" w:cs="Times New Roman"/>
          <w:sz w:val="24"/>
          <w:szCs w:val="24"/>
        </w:rPr>
        <w:t xml:space="preserve"> access to credit.  Access to these services is vital for farmers' awareness of </w:t>
      </w:r>
      <w:r>
        <w:rPr>
          <w:rFonts w:ascii="Times New Roman" w:hAnsi="Times New Roman" w:cs="Times New Roman"/>
          <w:sz w:val="24"/>
          <w:szCs w:val="24"/>
        </w:rPr>
        <w:t>traditional and modern extension methods of information dissemination among farmers</w:t>
      </w:r>
      <w:r w:rsidRPr="00120A14">
        <w:rPr>
          <w:rFonts w:ascii="Times New Roman" w:hAnsi="Times New Roman" w:cs="Times New Roman"/>
          <w:sz w:val="24"/>
          <w:szCs w:val="24"/>
        </w:rPr>
        <w:t>. The literature supports the idea that factors such as gender, education, age, marital status, and access to resources play a crucial role in shaping farmers’ responses 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3063B">
        <w:rPr>
          <w:rFonts w:ascii="Times New Roman" w:hAnsi="Times New Roman" w:cs="Times New Roman"/>
          <w:bCs/>
          <w:sz w:val="24"/>
          <w:szCs w:val="24"/>
        </w:rPr>
        <w:t>traditional and digital extension methods for disseminating agricultural information among farmers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6C48" w:rsidRPr="007B2BFB" w:rsidRDefault="008C6C48" w:rsidP="008C6C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BFB">
        <w:rPr>
          <w:rFonts w:ascii="Times New Roman" w:hAnsi="Times New Roman" w:cs="Times New Roman"/>
          <w:b/>
          <w:sz w:val="24"/>
          <w:szCs w:val="24"/>
        </w:rPr>
        <w:t xml:space="preserve">4.2 </w:t>
      </w:r>
      <w:r w:rsidRPr="007B2BFB">
        <w:rPr>
          <w:rFonts w:ascii="Times New Roman" w:hAnsi="Times New Roman" w:cs="Times New Roman"/>
          <w:b/>
          <w:bCs/>
          <w:sz w:val="24"/>
          <w:szCs w:val="24"/>
        </w:rPr>
        <w:t xml:space="preserve">Distribution of respondents by their </w:t>
      </w:r>
      <w:r w:rsidRPr="007B2BFB">
        <w:rPr>
          <w:rFonts w:ascii="Times New Roman" w:hAnsi="Times New Roman" w:cs="Times New Roman"/>
          <w:b/>
          <w:sz w:val="24"/>
          <w:szCs w:val="24"/>
        </w:rPr>
        <w:t>Perceived comparison of modern and traditional method for disseminating agriculture information among farmers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"/>
        <w:gridCol w:w="6468"/>
        <w:gridCol w:w="1079"/>
        <w:gridCol w:w="1166"/>
      </w:tblGrid>
      <w:tr w:rsidR="008C6C48" w:rsidRPr="003C7F2F" w:rsidTr="001E3550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S/N</w:t>
            </w:r>
          </w:p>
        </w:tc>
        <w:tc>
          <w:tcPr>
            <w:tcW w:w="6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ITEMS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8C6C48" w:rsidRPr="003C7F2F" w:rsidTr="001E3550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 xml:space="preserve">Have modern methods of disseminating agricultural information improved your farming system than traditional method?   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90(60.0%)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60(40.0%)</w:t>
            </w:r>
          </w:p>
        </w:tc>
      </w:tr>
      <w:tr w:rsidR="008C6C48" w:rsidRPr="003C7F2F" w:rsidTr="001E3550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Traditional method takes a longer period of time while disseminating Agricultural information than modern method?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98(65.3%)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52(34.7%)</w:t>
            </w:r>
          </w:p>
        </w:tc>
      </w:tr>
      <w:tr w:rsidR="008C6C48" w:rsidRPr="003C7F2F" w:rsidTr="001E3550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 xml:space="preserve">Traditional method of disseminating agricultural information is mainly based on </w:t>
            </w:r>
            <w:proofErr w:type="spellStart"/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labour</w:t>
            </w:r>
            <w:proofErr w:type="spellEnd"/>
            <w:r w:rsidRPr="003C7F2F">
              <w:rPr>
                <w:rFonts w:ascii="Times New Roman" w:hAnsi="Times New Roman" w:cs="Times New Roman"/>
                <w:sz w:val="20"/>
                <w:szCs w:val="20"/>
              </w:rPr>
              <w:t xml:space="preserve"> intensive than modern method?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(33.3%)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100(66.7%)</w:t>
            </w:r>
          </w:p>
        </w:tc>
      </w:tr>
      <w:tr w:rsidR="008C6C48" w:rsidRPr="003C7F2F" w:rsidTr="001E3550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Modern method is the most preferable method of disseminating Agricultural information than traditional method?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80(53.3%)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70(46.7%)</w:t>
            </w:r>
          </w:p>
        </w:tc>
      </w:tr>
      <w:tr w:rsidR="008C6C48" w:rsidRPr="003C7F2F" w:rsidTr="001E3550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Do you use any apps or online platforms for Agricultural information?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85(56.7%)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65(43.3%)</w:t>
            </w:r>
          </w:p>
        </w:tc>
      </w:tr>
      <w:tr w:rsidR="008C6C48" w:rsidRPr="003C7F2F" w:rsidTr="001E3550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F2F">
              <w:rPr>
                <w:rFonts w:ascii="Times New Roman" w:hAnsi="Times New Roman" w:cs="Times New Roman"/>
                <w:sz w:val="20"/>
                <w:szCs w:val="20"/>
              </w:rPr>
              <w:t>Is there any relative advantage in disseminating agricultural information using traditional method than modern method?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87(58.0%)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63(42%)</w:t>
            </w:r>
          </w:p>
        </w:tc>
      </w:tr>
    </w:tbl>
    <w:p w:rsidR="008C6C48" w:rsidRPr="007263C3" w:rsidRDefault="008C6C48" w:rsidP="008C6C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Field Survey, 2025</w:t>
      </w:r>
    </w:p>
    <w:p w:rsidR="008C6C48" w:rsidRPr="00254422" w:rsidRDefault="008C6C48" w:rsidP="008C6C4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4.2 presents the </w:t>
      </w:r>
      <w:r w:rsidRPr="00E42D43">
        <w:rPr>
          <w:rFonts w:ascii="Times New Roman" w:hAnsi="Times New Roman" w:cs="Times New Roman"/>
          <w:sz w:val="24"/>
          <w:szCs w:val="24"/>
        </w:rPr>
        <w:t>Perceived comparison of modern and traditional method for disseminating agriculture information among farmers</w:t>
      </w:r>
      <w:r>
        <w:rPr>
          <w:rFonts w:ascii="Times New Roman" w:hAnsi="Times New Roman" w:cs="Times New Roman"/>
          <w:sz w:val="24"/>
          <w:szCs w:val="24"/>
        </w:rPr>
        <w:t>. The data show that majority of the respondents considered modern methods of disseminating agricultural information as more beneficial to them than the traditional methods.</w:t>
      </w:r>
    </w:p>
    <w:p w:rsidR="008C6C48" w:rsidRDefault="008C6C48" w:rsidP="008C6C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C48" w:rsidRPr="00BC6600" w:rsidRDefault="008C6C48" w:rsidP="008C6C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600">
        <w:rPr>
          <w:rFonts w:ascii="Times New Roman" w:hAnsi="Times New Roman" w:cs="Times New Roman"/>
          <w:b/>
          <w:sz w:val="24"/>
          <w:szCs w:val="24"/>
        </w:rPr>
        <w:t xml:space="preserve">4.3 </w:t>
      </w:r>
      <w:r w:rsidRPr="00BC6600">
        <w:rPr>
          <w:rFonts w:ascii="Times New Roman" w:hAnsi="Times New Roman" w:cs="Times New Roman"/>
          <w:b/>
          <w:bCs/>
          <w:sz w:val="24"/>
          <w:szCs w:val="24"/>
        </w:rPr>
        <w:t xml:space="preserve">Distribution of respondents by their </w:t>
      </w:r>
      <w:r w:rsidRPr="00BC6600">
        <w:rPr>
          <w:rFonts w:ascii="Times New Roman" w:hAnsi="Times New Roman" w:cs="Times New Roman"/>
          <w:b/>
          <w:sz w:val="24"/>
          <w:szCs w:val="24"/>
        </w:rPr>
        <w:t>Perceived reliability of receiving Agricultural information through traditional and digital/modern methods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4224"/>
        <w:gridCol w:w="1003"/>
        <w:gridCol w:w="1350"/>
        <w:gridCol w:w="1084"/>
        <w:gridCol w:w="1094"/>
      </w:tblGrid>
      <w:tr w:rsidR="008C6C48" w:rsidRPr="003C7F2F" w:rsidTr="001E3550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7F2F">
              <w:rPr>
                <w:rFonts w:ascii="Times New Roman" w:hAnsi="Times New Roman" w:cs="Times New Roman"/>
                <w:b/>
                <w:sz w:val="16"/>
                <w:szCs w:val="16"/>
              </w:rPr>
              <w:t>S/N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7F2F">
              <w:rPr>
                <w:rFonts w:ascii="Times New Roman" w:hAnsi="Times New Roman" w:cs="Times New Roman"/>
                <w:b/>
                <w:sz w:val="16"/>
                <w:szCs w:val="16"/>
              </w:rPr>
              <w:t>ITEMS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7F2F">
              <w:rPr>
                <w:rFonts w:ascii="Times New Roman" w:hAnsi="Times New Roman" w:cs="Times New Roman"/>
                <w:b/>
                <w:sz w:val="16"/>
                <w:szCs w:val="16"/>
              </w:rPr>
              <w:t>Very reliable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7F2F">
              <w:rPr>
                <w:rFonts w:ascii="Times New Roman" w:hAnsi="Times New Roman" w:cs="Times New Roman"/>
                <w:b/>
                <w:sz w:val="16"/>
                <w:szCs w:val="16"/>
              </w:rPr>
              <w:t>Somewhat reliable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7F2F">
              <w:rPr>
                <w:rFonts w:ascii="Times New Roman" w:hAnsi="Times New Roman" w:cs="Times New Roman"/>
                <w:b/>
                <w:sz w:val="16"/>
                <w:szCs w:val="16"/>
              </w:rPr>
              <w:t>Not very reliable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7F2F">
              <w:rPr>
                <w:rFonts w:ascii="Times New Roman" w:hAnsi="Times New Roman" w:cs="Times New Roman"/>
                <w:b/>
                <w:sz w:val="16"/>
                <w:szCs w:val="16"/>
              </w:rPr>
              <w:t>Not at all reliable</w:t>
            </w:r>
          </w:p>
        </w:tc>
      </w:tr>
      <w:tr w:rsidR="008C6C48" w:rsidRPr="003C7F2F" w:rsidTr="001E3550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7F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7F2F">
              <w:rPr>
                <w:rFonts w:ascii="Times New Roman" w:hAnsi="Times New Roman" w:cs="Times New Roman"/>
                <w:sz w:val="16"/>
                <w:szCs w:val="16"/>
              </w:rPr>
              <w:t>How reliable do you find the Agricultural information received through traditional methods?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40(26.7%)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30(20.0%)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60(40.0%)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20(13.3%)</w:t>
            </w:r>
          </w:p>
        </w:tc>
      </w:tr>
      <w:tr w:rsidR="008C6C48" w:rsidRPr="003C7F2F" w:rsidTr="001E3550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7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7F2F">
              <w:rPr>
                <w:rFonts w:ascii="Times New Roman" w:hAnsi="Times New Roman" w:cs="Times New Roman"/>
                <w:sz w:val="16"/>
                <w:szCs w:val="16"/>
              </w:rPr>
              <w:t>How reliable do you find the Agricultural information received through modern methods?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90(60.0%)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20(13.3%)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20(13.3%)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3C7F2F" w:rsidRDefault="008C6C48" w:rsidP="001E35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20(13.3%)</w:t>
            </w:r>
          </w:p>
        </w:tc>
      </w:tr>
    </w:tbl>
    <w:p w:rsidR="008C6C48" w:rsidRDefault="008C6C48" w:rsidP="008C6C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Source: Field Survey, 2025</w:t>
      </w:r>
    </w:p>
    <w:p w:rsidR="008C6C48" w:rsidRPr="007263C3" w:rsidRDefault="008C6C48" w:rsidP="008C6C48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3C3">
        <w:rPr>
          <w:rFonts w:ascii="Times New Roman" w:hAnsi="Times New Roman" w:cs="Times New Roman"/>
          <w:sz w:val="24"/>
          <w:szCs w:val="24"/>
        </w:rPr>
        <w:t>Table 4.3 presents the Perceived reliability of receiving Agricultural information through traditional and digital/modern methods. The results show that majority of the respondents agreed that receiving Agricultural information through digital/modern methods is more reliable than that of traditional methods.</w:t>
      </w:r>
    </w:p>
    <w:p w:rsidR="008C6C48" w:rsidRPr="005507EF" w:rsidRDefault="008C6C48" w:rsidP="008C6C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EF">
        <w:rPr>
          <w:rFonts w:ascii="Times New Roman" w:hAnsi="Times New Roman" w:cs="Times New Roman"/>
          <w:b/>
          <w:sz w:val="24"/>
          <w:szCs w:val="24"/>
        </w:rPr>
        <w:t xml:space="preserve">4.4 </w:t>
      </w:r>
      <w:r w:rsidRPr="005507EF">
        <w:rPr>
          <w:rFonts w:ascii="Times New Roman" w:hAnsi="Times New Roman" w:cs="Times New Roman"/>
          <w:b/>
          <w:bCs/>
          <w:sz w:val="24"/>
          <w:szCs w:val="24"/>
        </w:rPr>
        <w:t xml:space="preserve">Distribution of respondents by their </w:t>
      </w:r>
      <w:r w:rsidRPr="005507EF">
        <w:rPr>
          <w:rFonts w:ascii="Times New Roman" w:hAnsi="Times New Roman" w:cs="Times New Roman"/>
          <w:b/>
          <w:sz w:val="24"/>
          <w:szCs w:val="24"/>
        </w:rPr>
        <w:t>Perceived challenges associated with accessing Agricultural information through traditional and digital/modern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2653"/>
        <w:gridCol w:w="1557"/>
        <w:gridCol w:w="1568"/>
        <w:gridCol w:w="1557"/>
        <w:gridCol w:w="1391"/>
      </w:tblGrid>
      <w:tr w:rsidR="008C6C48" w:rsidRPr="00615B69" w:rsidTr="001E3550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b/>
                <w:sz w:val="20"/>
                <w:szCs w:val="20"/>
              </w:rPr>
              <w:t>LIKERT ITEMS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b/>
                <w:sz w:val="20"/>
                <w:szCs w:val="20"/>
              </w:rPr>
              <w:t>Very severe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b/>
                <w:sz w:val="20"/>
                <w:szCs w:val="20"/>
              </w:rPr>
              <w:t>Severe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b/>
                <w:sz w:val="20"/>
                <w:szCs w:val="20"/>
              </w:rPr>
              <w:t>Less severe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b/>
                <w:sz w:val="20"/>
                <w:szCs w:val="20"/>
              </w:rPr>
              <w:t>Not a constraint</w:t>
            </w:r>
          </w:p>
        </w:tc>
      </w:tr>
      <w:tr w:rsidR="008C6C48" w:rsidRPr="00615B69" w:rsidTr="001E3550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Lack of access to extension agents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(34.7%)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(22.7%)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(26.7%)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(16.0%)</w:t>
            </w:r>
          </w:p>
        </w:tc>
      </w:tr>
      <w:tr w:rsidR="008C6C48" w:rsidRPr="00615B69" w:rsidTr="001E3550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Limited information available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60(40.0%)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30(20.0%)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40(26.7%)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20(13.3%)</w:t>
            </w:r>
          </w:p>
        </w:tc>
      </w:tr>
      <w:tr w:rsidR="008C6C48" w:rsidRPr="00615B69" w:rsidTr="001E3550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Difficulty in understanding information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(20.0%)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(40.0%)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(30.0%)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(10.0%)</w:t>
            </w:r>
          </w:p>
        </w:tc>
      </w:tr>
      <w:tr w:rsidR="008C6C48" w:rsidRPr="00615B69" w:rsidTr="001E3550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Lack of access to mobile phones/internet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30(20.0%)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40(26.7%)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60(40.0%)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20(13.3%)</w:t>
            </w:r>
          </w:p>
        </w:tc>
      </w:tr>
      <w:tr w:rsidR="008C6C48" w:rsidRPr="00615B69" w:rsidTr="001E3550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Limited digital literacy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(40.0%)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(26.7%)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(20.0%)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(13.3%)</w:t>
            </w:r>
          </w:p>
        </w:tc>
      </w:tr>
      <w:tr w:rsidR="008C6C48" w:rsidRPr="00615B69" w:rsidTr="001E3550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Difficulty in navigating apps /platforms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60(40.0%)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40(26.7%)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20(13.3)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C48" w:rsidRPr="00615B69" w:rsidRDefault="008C6C48" w:rsidP="001E3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9">
              <w:rPr>
                <w:rFonts w:ascii="Times New Roman" w:hAnsi="Times New Roman" w:cs="Times New Roman"/>
                <w:sz w:val="20"/>
                <w:szCs w:val="20"/>
              </w:rPr>
              <w:t>30(20.0%)</w:t>
            </w:r>
          </w:p>
        </w:tc>
      </w:tr>
    </w:tbl>
    <w:p w:rsidR="008C6C48" w:rsidRDefault="008C6C48" w:rsidP="008C6C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Field Survey, 2025</w:t>
      </w:r>
    </w:p>
    <w:p w:rsidR="008C6C48" w:rsidRDefault="008C6C48" w:rsidP="008C6C4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4.4 presents the </w:t>
      </w:r>
      <w:r w:rsidRPr="00FE4CC6">
        <w:rPr>
          <w:rFonts w:ascii="Times New Roman" w:hAnsi="Times New Roman" w:cs="Times New Roman"/>
          <w:sz w:val="24"/>
          <w:szCs w:val="24"/>
        </w:rPr>
        <w:t>Perceived challenges associated with accessing Agricultural information through traditional and digital/modern methods</w:t>
      </w:r>
      <w:r>
        <w:rPr>
          <w:rFonts w:ascii="Times New Roman" w:hAnsi="Times New Roman" w:cs="Times New Roman"/>
          <w:sz w:val="24"/>
          <w:szCs w:val="24"/>
        </w:rPr>
        <w:t>. The results show that l</w:t>
      </w:r>
      <w:r w:rsidRPr="000C3581">
        <w:rPr>
          <w:rFonts w:ascii="Times New Roman" w:hAnsi="Times New Roman" w:cs="Times New Roman"/>
          <w:sz w:val="24"/>
          <w:szCs w:val="24"/>
        </w:rPr>
        <w:t>ack of access to extension agents</w:t>
      </w:r>
      <w:r>
        <w:rPr>
          <w:rFonts w:ascii="Times New Roman" w:hAnsi="Times New Roman" w:cs="Times New Roman"/>
          <w:sz w:val="24"/>
          <w:szCs w:val="24"/>
        </w:rPr>
        <w:t xml:space="preserve"> is very severe (34.7%), </w:t>
      </w:r>
      <w:r w:rsidRPr="000C3581">
        <w:rPr>
          <w:rFonts w:ascii="Times New Roman" w:hAnsi="Times New Roman" w:cs="Times New Roman"/>
          <w:sz w:val="24"/>
          <w:szCs w:val="24"/>
        </w:rPr>
        <w:t>Limited information available (40.0%)</w:t>
      </w:r>
      <w:r>
        <w:rPr>
          <w:rFonts w:ascii="Times New Roman" w:hAnsi="Times New Roman" w:cs="Times New Roman"/>
          <w:sz w:val="24"/>
          <w:szCs w:val="24"/>
        </w:rPr>
        <w:t xml:space="preserve"> very severe, </w:t>
      </w:r>
      <w:r w:rsidRPr="000C3581">
        <w:rPr>
          <w:rFonts w:ascii="Times New Roman" w:hAnsi="Times New Roman" w:cs="Times New Roman"/>
          <w:sz w:val="24"/>
          <w:szCs w:val="24"/>
        </w:rPr>
        <w:t>Difficulty in understanding information</w:t>
      </w:r>
      <w:r>
        <w:rPr>
          <w:rFonts w:ascii="Times New Roman" w:hAnsi="Times New Roman" w:cs="Times New Roman"/>
          <w:sz w:val="24"/>
          <w:szCs w:val="24"/>
        </w:rPr>
        <w:t xml:space="preserve"> (40.0%) severe, </w:t>
      </w:r>
      <w:r w:rsidRPr="000C3581">
        <w:rPr>
          <w:rFonts w:ascii="Times New Roman" w:hAnsi="Times New Roman" w:cs="Times New Roman"/>
          <w:sz w:val="24"/>
          <w:szCs w:val="24"/>
        </w:rPr>
        <w:t>Lack of access to mobile phones/internet</w:t>
      </w:r>
      <w:r>
        <w:rPr>
          <w:rFonts w:ascii="Times New Roman" w:hAnsi="Times New Roman" w:cs="Times New Roman"/>
          <w:sz w:val="24"/>
          <w:szCs w:val="24"/>
        </w:rPr>
        <w:t xml:space="preserve"> (40.0%) less severe, </w:t>
      </w:r>
      <w:r w:rsidRPr="000C3581">
        <w:rPr>
          <w:rFonts w:ascii="Times New Roman" w:hAnsi="Times New Roman" w:cs="Times New Roman"/>
          <w:sz w:val="24"/>
          <w:szCs w:val="24"/>
        </w:rPr>
        <w:t>Limited digital literacy</w:t>
      </w:r>
      <w:r>
        <w:rPr>
          <w:rFonts w:ascii="Times New Roman" w:hAnsi="Times New Roman" w:cs="Times New Roman"/>
          <w:sz w:val="24"/>
          <w:szCs w:val="24"/>
        </w:rPr>
        <w:t xml:space="preserve"> (40.0%) very severe, and </w:t>
      </w:r>
      <w:r w:rsidRPr="000C3581">
        <w:rPr>
          <w:rFonts w:ascii="Times New Roman" w:hAnsi="Times New Roman" w:cs="Times New Roman"/>
          <w:sz w:val="24"/>
          <w:szCs w:val="24"/>
        </w:rPr>
        <w:t>Difficulty in navigating apps /platforms</w:t>
      </w:r>
      <w:r>
        <w:rPr>
          <w:rFonts w:ascii="Times New Roman" w:hAnsi="Times New Roman" w:cs="Times New Roman"/>
          <w:sz w:val="24"/>
          <w:szCs w:val="24"/>
        </w:rPr>
        <w:t xml:space="preserve"> (40.0%) very severe.</w:t>
      </w:r>
    </w:p>
    <w:p w:rsidR="00E15029" w:rsidRPr="008C6C48" w:rsidRDefault="008C6C48" w:rsidP="008C6C48">
      <w:bookmarkStart w:id="0" w:name="_GoBack"/>
      <w:bookmarkEnd w:id="0"/>
    </w:p>
    <w:sectPr w:rsidR="00E15029" w:rsidRPr="008C6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48"/>
    <w:rsid w:val="00191CF5"/>
    <w:rsid w:val="00457A8E"/>
    <w:rsid w:val="008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4F79F-F1FF-432F-921D-8134CF1F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C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erence-accessdate">
    <w:name w:val="reference-accessdate"/>
    <w:basedOn w:val="DefaultParagraphFont"/>
    <w:rsid w:val="008C6C48"/>
  </w:style>
  <w:style w:type="character" w:customStyle="1" w:styleId="nowrap">
    <w:name w:val="nowrap"/>
    <w:basedOn w:val="DefaultParagraphFont"/>
    <w:rsid w:val="008C6C48"/>
  </w:style>
  <w:style w:type="character" w:styleId="Hyperlink">
    <w:name w:val="Hyperlink"/>
    <w:basedOn w:val="DefaultParagraphFont"/>
    <w:uiPriority w:val="99"/>
    <w:unhideWhenUsed/>
    <w:rsid w:val="008C6C4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C6C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6C4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894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2025-07-13T12:41:00Z</dcterms:created>
  <dcterms:modified xsi:type="dcterms:W3CDTF">2025-07-13T12:45:00Z</dcterms:modified>
</cp:coreProperties>
</file>