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E94" w:rsidRDefault="006E3E94" w:rsidP="006E3E94">
      <w:pPr>
        <w:pStyle w:val="Heading1"/>
        <w:spacing w:line="480" w:lineRule="auto"/>
        <w:jc w:val="both"/>
      </w:pPr>
      <w:bookmarkStart w:id="0" w:name="_Toc202864747"/>
      <w:r>
        <w:rPr>
          <w:rStyle w:val="Heading1Char"/>
        </w:rPr>
        <w:t>3.</w:t>
      </w:r>
      <w:r>
        <w:rPr>
          <w:rFonts w:cs="Times New Roman"/>
          <w:szCs w:val="24"/>
        </w:rPr>
        <w:tab/>
      </w:r>
      <w:r>
        <w:rPr>
          <w:rStyle w:val="Heading1Char"/>
        </w:rPr>
        <w:t>METHODOLOGY</w:t>
      </w:r>
      <w:bookmarkEnd w:id="0"/>
    </w:p>
    <w:p w:rsidR="006E3E94" w:rsidRDefault="006E3E94" w:rsidP="006E3E94">
      <w:pPr>
        <w:pStyle w:val="Heading2"/>
        <w:spacing w:line="480" w:lineRule="auto"/>
        <w:jc w:val="both"/>
        <w:rPr>
          <w:rStyle w:val="Strong"/>
          <w:b w:val="0"/>
          <w:i w:val="0"/>
        </w:rPr>
      </w:pPr>
      <w:bookmarkStart w:id="1" w:name="_Toc202864748"/>
      <w:bookmarkStart w:id="2" w:name="_Toc183546522"/>
      <w:r>
        <w:rPr>
          <w:i w:val="0"/>
        </w:rPr>
        <w:t>3.1.</w:t>
      </w:r>
      <w:r>
        <w:rPr>
          <w:i w:val="0"/>
        </w:rPr>
        <w:tab/>
      </w:r>
      <w:r>
        <w:rPr>
          <w:rStyle w:val="Strong"/>
          <w:b w:val="0"/>
          <w:i w:val="0"/>
        </w:rPr>
        <w:t>Materials</w:t>
      </w:r>
      <w:bookmarkEnd w:id="1"/>
      <w:bookmarkEnd w:id="2"/>
    </w:p>
    <w:p w:rsidR="006E3E94" w:rsidRDefault="006E3E94" w:rsidP="006E3E94">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E3E94" w:rsidTr="006E3E94">
        <w:tc>
          <w:tcPr>
            <w:tcW w:w="4675" w:type="dxa"/>
            <w:hideMark/>
          </w:tcPr>
          <w:p w:rsidR="006E3E94" w:rsidRDefault="006E3E94">
            <w:pPr>
              <w:pStyle w:val="NormalWeb"/>
              <w:spacing w:line="480" w:lineRule="auto"/>
              <w:jc w:val="center"/>
            </w:pPr>
            <w:r>
              <w:rPr>
                <w:noProof/>
                <w:lang w:val="x-none" w:eastAsia="x-none"/>
              </w:rPr>
              <w:drawing>
                <wp:inline distT="0" distB="0" distL="0" distR="0">
                  <wp:extent cx="1438275" cy="1485900"/>
                  <wp:effectExtent l="0" t="0" r="9525" b="0"/>
                  <wp:docPr id="12" name="Picture 12"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efinitive Guide to Understanding Portland Cement &amp; Its Uses"/>
                          <pic:cNvPicPr>
                            <a:picLocks noChangeAspect="1" noChangeArrowheads="1"/>
                          </pic:cNvPicPr>
                        </pic:nvPicPr>
                        <pic:blipFill>
                          <a:blip r:embed="rId5" cstate="print">
                            <a:extLst>
                              <a:ext uri="{28A0092B-C50C-407E-A947-70E740481C1C}">
                                <a14:useLocalDpi xmlns:a14="http://schemas.microsoft.com/office/drawing/2010/main" val="0"/>
                              </a:ext>
                            </a:extLst>
                          </a:blip>
                          <a:srcRect l="21404" t="2000" r="19443" b="1863"/>
                          <a:stretch>
                            <a:fillRect/>
                          </a:stretch>
                        </pic:blipFill>
                        <pic:spPr bwMode="auto">
                          <a:xfrm flipH="1">
                            <a:off x="0" y="0"/>
                            <a:ext cx="1438275" cy="1485900"/>
                          </a:xfrm>
                          <a:prstGeom prst="rect">
                            <a:avLst/>
                          </a:prstGeom>
                          <a:noFill/>
                          <a:ln>
                            <a:noFill/>
                          </a:ln>
                        </pic:spPr>
                      </pic:pic>
                    </a:graphicData>
                  </a:graphic>
                </wp:inline>
              </w:drawing>
            </w:r>
          </w:p>
        </w:tc>
        <w:tc>
          <w:tcPr>
            <w:tcW w:w="4675" w:type="dxa"/>
            <w:hideMark/>
          </w:tcPr>
          <w:p w:rsidR="006E3E94" w:rsidRDefault="006E3E94">
            <w:pPr>
              <w:pStyle w:val="NormalWeb"/>
              <w:spacing w:line="480" w:lineRule="auto"/>
              <w:jc w:val="center"/>
            </w:pPr>
            <w:r>
              <w:rPr>
                <w:noProof/>
                <w:lang w:val="x-none" w:eastAsia="x-none"/>
              </w:rPr>
              <w:drawing>
                <wp:inline distT="0" distB="0" distL="0" distR="0">
                  <wp:extent cx="1438275" cy="1438275"/>
                  <wp:effectExtent l="0" t="0" r="9525" b="9525"/>
                  <wp:docPr id="11" name="Picture 11"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Stone Dust Be Used As A Coarse Aggregate In Lintel For 3bedroom  Bungalow. - Properties - Niger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6E3E94" w:rsidTr="006E3E94">
        <w:tc>
          <w:tcPr>
            <w:tcW w:w="4675" w:type="dxa"/>
            <w:hideMark/>
          </w:tcPr>
          <w:p w:rsidR="006E3E94" w:rsidRDefault="006E3E94">
            <w:pPr>
              <w:pStyle w:val="NormalWeb"/>
              <w:spacing w:line="480" w:lineRule="auto"/>
              <w:jc w:val="center"/>
            </w:pPr>
            <w:r>
              <w:t>(a)</w:t>
            </w:r>
          </w:p>
        </w:tc>
        <w:tc>
          <w:tcPr>
            <w:tcW w:w="4675" w:type="dxa"/>
            <w:hideMark/>
          </w:tcPr>
          <w:p w:rsidR="006E3E94" w:rsidRDefault="006E3E94">
            <w:pPr>
              <w:pStyle w:val="NormalWeb"/>
              <w:spacing w:line="480" w:lineRule="auto"/>
              <w:jc w:val="center"/>
            </w:pPr>
            <w:r>
              <w:t>(b)</w:t>
            </w:r>
          </w:p>
        </w:tc>
      </w:tr>
      <w:tr w:rsidR="006E3E94" w:rsidTr="006E3E94">
        <w:tc>
          <w:tcPr>
            <w:tcW w:w="4675" w:type="dxa"/>
            <w:hideMark/>
          </w:tcPr>
          <w:p w:rsidR="006E3E94" w:rsidRDefault="006E3E94">
            <w:pPr>
              <w:pStyle w:val="NormalWeb"/>
              <w:spacing w:line="480" w:lineRule="auto"/>
              <w:jc w:val="center"/>
            </w:pPr>
            <w:r>
              <w:rPr>
                <w:noProof/>
                <w:lang w:val="x-none" w:eastAsia="x-none"/>
              </w:rPr>
              <w:drawing>
                <wp:inline distT="0" distB="0" distL="0" distR="0">
                  <wp:extent cx="1438275" cy="1495425"/>
                  <wp:effectExtent l="0" t="0" r="9525" b="9525"/>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mental Investigation of Recycled Fine Aggregate from Demolition Waste  in Concrete"/>
                          <pic:cNvPicPr>
                            <a:picLocks noChangeAspect="1" noChangeArrowheads="1"/>
                          </pic:cNvPicPr>
                        </pic:nvPicPr>
                        <pic:blipFill>
                          <a:blip r:embed="rId7" cstate="print">
                            <a:extLst>
                              <a:ext uri="{28A0092B-C50C-407E-A947-70E740481C1C}">
                                <a14:useLocalDpi xmlns:a14="http://schemas.microsoft.com/office/drawing/2010/main" val="0"/>
                              </a:ext>
                            </a:extLst>
                          </a:blip>
                          <a:srcRect l="30737" t="2156" r="13927" b="-2156"/>
                          <a:stretch>
                            <a:fillRect/>
                          </a:stretch>
                        </pic:blipFill>
                        <pic:spPr bwMode="auto">
                          <a:xfrm>
                            <a:off x="0" y="0"/>
                            <a:ext cx="1438275" cy="1495425"/>
                          </a:xfrm>
                          <a:prstGeom prst="rect">
                            <a:avLst/>
                          </a:prstGeom>
                          <a:noFill/>
                          <a:ln>
                            <a:noFill/>
                          </a:ln>
                        </pic:spPr>
                      </pic:pic>
                    </a:graphicData>
                  </a:graphic>
                </wp:inline>
              </w:drawing>
            </w:r>
          </w:p>
        </w:tc>
        <w:tc>
          <w:tcPr>
            <w:tcW w:w="4675" w:type="dxa"/>
            <w:hideMark/>
          </w:tcPr>
          <w:p w:rsidR="006E3E94" w:rsidRDefault="006E3E94">
            <w:pPr>
              <w:pStyle w:val="NormalWeb"/>
              <w:spacing w:line="480" w:lineRule="auto"/>
              <w:jc w:val="center"/>
            </w:pPr>
            <w:r>
              <w:rPr>
                <w:noProof/>
                <w:lang w:val="x-none" w:eastAsia="x-none"/>
              </w:rPr>
              <w:drawing>
                <wp:inline distT="0" distB="0" distL="0" distR="0">
                  <wp:extent cx="1438275" cy="1438275"/>
                  <wp:effectExtent l="0" t="0" r="9525" b="9525"/>
                  <wp:docPr id="9" name="Picture 9"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Sodium lauryl sulfate (SLS)?What Is K12 needle?-Henan SECCO  Environmental Protection Technology Co. , L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6E3E94" w:rsidTr="006E3E94">
        <w:tc>
          <w:tcPr>
            <w:tcW w:w="4675" w:type="dxa"/>
            <w:hideMark/>
          </w:tcPr>
          <w:p w:rsidR="006E3E94" w:rsidRDefault="006E3E94">
            <w:pPr>
              <w:pStyle w:val="NormalWeb"/>
              <w:spacing w:line="480" w:lineRule="auto"/>
              <w:jc w:val="center"/>
            </w:pPr>
            <w:r>
              <w:t>(c)</w:t>
            </w:r>
          </w:p>
        </w:tc>
        <w:tc>
          <w:tcPr>
            <w:tcW w:w="4675" w:type="dxa"/>
            <w:hideMark/>
          </w:tcPr>
          <w:p w:rsidR="006E3E94" w:rsidRDefault="006E3E94">
            <w:pPr>
              <w:pStyle w:val="NormalWeb"/>
              <w:spacing w:line="480" w:lineRule="auto"/>
              <w:jc w:val="center"/>
            </w:pPr>
            <w:r>
              <w:t>(d)</w:t>
            </w:r>
          </w:p>
        </w:tc>
      </w:tr>
    </w:tbl>
    <w:p w:rsidR="006E3E94" w:rsidRDefault="006E3E94" w:rsidP="006E3E94">
      <w:pPr>
        <w:pStyle w:val="NormalWeb"/>
        <w:spacing w:line="480" w:lineRule="auto"/>
        <w:jc w:val="center"/>
      </w:pPr>
      <w:r>
        <w:rPr>
          <w:bCs/>
        </w:rPr>
        <w:t>Fig. 3.1.</w:t>
      </w:r>
      <w:r>
        <w:t xml:space="preserve"> Material appearance. (a) Portland limestone cement, (b) hybrid stone dust, (c) fine aggregate, (d) sodium lauryl sulfate.</w:t>
      </w:r>
    </w:p>
    <w:p w:rsidR="006E3E94" w:rsidRDefault="006E3E94" w:rsidP="006E3E94">
      <w:pPr>
        <w:pStyle w:val="Heading3"/>
        <w:spacing w:line="480" w:lineRule="auto"/>
        <w:jc w:val="both"/>
        <w:rPr>
          <w:rFonts w:cs="Times New Roman"/>
          <w:b/>
        </w:rPr>
      </w:pPr>
      <w:bookmarkStart w:id="3" w:name="_Toc183546523"/>
      <w:bookmarkStart w:id="4" w:name="_Toc202864749"/>
      <w:r>
        <w:rPr>
          <w:rFonts w:cs="Times New Roman"/>
        </w:rPr>
        <w:lastRenderedPageBreak/>
        <w:t>3.1.1.</w:t>
      </w:r>
      <w:r>
        <w:rPr>
          <w:rFonts w:cs="Times New Roman"/>
        </w:rPr>
        <w:tab/>
      </w:r>
      <w:r>
        <w:rPr>
          <w:rFonts w:cs="Times New Roman"/>
          <w:b/>
        </w:rPr>
        <w:t xml:space="preserve"> </w:t>
      </w:r>
      <w:bookmarkEnd w:id="3"/>
      <w:r>
        <w:rPr>
          <w:rStyle w:val="Strong"/>
          <w:b w:val="0"/>
        </w:rPr>
        <w:t>Binder</w:t>
      </w:r>
      <w:bookmarkEnd w:id="4"/>
    </w:p>
    <w:p w:rsidR="006E3E94" w:rsidRDefault="006E3E94" w:rsidP="006E3E94">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Pr>
          <w:b/>
        </w:rPr>
        <w:t xml:space="preserve"> </w:t>
      </w:r>
      <w:r>
        <w:rPr>
          <w:bCs/>
        </w:rPr>
        <w:t>Table 3.1.</w:t>
      </w:r>
    </w:p>
    <w:p w:rsidR="006E3E94" w:rsidRDefault="006E3E94" w:rsidP="006E3E94">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Pr>
          <w:rStyle w:val="katex-mathml"/>
          <w:rFonts w:eastAsiaTheme="majorEastAsia"/>
          <w:vertAlign w:val="subscript"/>
        </w:rPr>
        <w:t>3</w:t>
      </w:r>
      <w:r>
        <w:rPr>
          <w:rStyle w:val="katex-mathml"/>
          <w:rFonts w:eastAsiaTheme="majorEastAsia"/>
        </w:rPr>
        <w:t>S + H</w:t>
      </w:r>
      <w:r>
        <w:rPr>
          <w:rStyle w:val="katex-mathml"/>
          <w:rFonts w:eastAsiaTheme="majorEastAsia"/>
          <w:vertAlign w:val="subscript"/>
        </w:rPr>
        <w:t>2</w:t>
      </w:r>
      <w:r>
        <w:rPr>
          <w:rStyle w:val="katex-mathml"/>
          <w:rFonts w:eastAsiaTheme="majorEastAsia"/>
        </w:rPr>
        <w:t>O → C-S-H + Ca(OH)</w:t>
      </w:r>
      <w:r>
        <w:rPr>
          <w:rStyle w:val="katex-mathml"/>
          <w:rFonts w:eastAsiaTheme="majorEastAsia"/>
          <w:vertAlign w:val="subscript"/>
        </w:rPr>
        <w:t>2</w:t>
      </w:r>
      <w:r>
        <w:rPr>
          <w:rStyle w:val="vlist-s"/>
        </w:rPr>
        <w:t>​</w:t>
      </w:r>
    </w:p>
    <w:p w:rsidR="006E3E94" w:rsidRDefault="006E3E94" w:rsidP="006E3E94">
      <w:pPr>
        <w:pStyle w:val="NormalWeb"/>
        <w:spacing w:line="276" w:lineRule="auto"/>
      </w:pPr>
      <w:r>
        <w:t>Where:</w:t>
      </w:r>
    </w:p>
    <w:p w:rsidR="006E3E94" w:rsidRDefault="006E3E94" w:rsidP="006E3E94">
      <w:pPr>
        <w:spacing w:before="100" w:beforeAutospacing="1" w:after="100" w:afterAutospacing="1" w:line="240" w:lineRule="auto"/>
        <w:rPr>
          <w:rFonts w:eastAsia="Times New Roman" w:cs="Times New Roman"/>
          <w:szCs w:val="24"/>
        </w:rPr>
      </w:pPr>
      <w:r>
        <w:rPr>
          <w:rFonts w:eastAsia="Times New Roman" w:cs="Times New Roman"/>
          <w:bCs/>
          <w:szCs w:val="24"/>
        </w:rPr>
        <w:t>C</w:t>
      </w:r>
      <w:r>
        <w:rPr>
          <w:rFonts w:eastAsia="Times New Roman" w:cs="Times New Roman"/>
          <w:bCs/>
          <w:szCs w:val="24"/>
          <w:vertAlign w:val="subscript"/>
        </w:rPr>
        <w:t>3</w:t>
      </w:r>
      <w:r>
        <w:rPr>
          <w:rFonts w:eastAsia="Times New Roman" w:cs="Times New Roman"/>
          <w:bCs/>
          <w:szCs w:val="24"/>
        </w:rPr>
        <w:t>S (Tricalcium silicate)</w:t>
      </w:r>
    </w:p>
    <w:p w:rsidR="006E3E94" w:rsidRDefault="006E3E94" w:rsidP="006E3E94">
      <w:pPr>
        <w:spacing w:before="100" w:beforeAutospacing="1" w:after="100" w:afterAutospacing="1" w:line="240" w:lineRule="auto"/>
        <w:rPr>
          <w:rFonts w:eastAsia="Times New Roman" w:cs="Times New Roman"/>
          <w:szCs w:val="24"/>
        </w:rPr>
      </w:pPr>
      <w:r>
        <w:rPr>
          <w:rFonts w:eastAsia="Times New Roman" w:cs="Times New Roman"/>
          <w:bCs/>
          <w:szCs w:val="24"/>
        </w:rPr>
        <w:t>C-S-H (Calcium-silicate-hydrate, the binding gel)</w:t>
      </w:r>
    </w:p>
    <w:p w:rsidR="006E3E94" w:rsidRDefault="006E3E94" w:rsidP="006E3E94">
      <w:pPr>
        <w:spacing w:before="100" w:beforeAutospacing="1" w:after="100" w:afterAutospacing="1" w:line="240" w:lineRule="auto"/>
        <w:rPr>
          <w:rFonts w:eastAsia="Times New Roman" w:cs="Times New Roman"/>
          <w:bCs/>
          <w:szCs w:val="24"/>
        </w:rPr>
      </w:pPr>
      <w:r>
        <w:rPr>
          <w:rFonts w:eastAsia="Times New Roman" w:cs="Times New Roman"/>
          <w:bCs/>
          <w:szCs w:val="24"/>
        </w:rPr>
        <w:t>Ca(OH)</w:t>
      </w:r>
      <w:r>
        <w:rPr>
          <w:rFonts w:eastAsia="Times New Roman" w:cs="Times New Roman"/>
          <w:bCs/>
          <w:szCs w:val="24"/>
          <w:vertAlign w:val="subscript"/>
        </w:rPr>
        <w:t>2</w:t>
      </w:r>
      <w:r>
        <w:rPr>
          <w:rFonts w:eastAsia="Times New Roman" w:cs="Times New Roman"/>
          <w:bCs/>
          <w:szCs w:val="24"/>
        </w:rPr>
        <w:t xml:space="preserve"> (Calcium hydroxide, also called Portlandite)</w:t>
      </w:r>
    </w:p>
    <w:p w:rsidR="006E3E94" w:rsidRDefault="006E3E94" w:rsidP="006E3E94">
      <w:pPr>
        <w:pStyle w:val="NormalWeb"/>
        <w:spacing w:line="480" w:lineRule="auto"/>
      </w:pPr>
      <w:r>
        <w:rPr>
          <w:bCs/>
        </w:rPr>
        <w:t>Table 3.1.</w:t>
      </w:r>
      <w:r>
        <w:t xml:space="preserve"> Physical and mechanical properties of cement.</w:t>
      </w:r>
    </w:p>
    <w:tbl>
      <w:tblPr>
        <w:tblStyle w:val="PlainTable2"/>
        <w:tblW w:w="0" w:type="auto"/>
        <w:tblInd w:w="0" w:type="dxa"/>
        <w:tblLook w:val="06A0" w:firstRow="1" w:lastRow="0" w:firstColumn="1" w:lastColumn="0" w:noHBand="1" w:noVBand="1"/>
      </w:tblPr>
      <w:tblGrid>
        <w:gridCol w:w="3849"/>
        <w:gridCol w:w="1269"/>
        <w:gridCol w:w="2368"/>
        <w:gridCol w:w="1540"/>
      </w:tblGrid>
      <w:tr w:rsidR="006E3E94" w:rsidTr="006E3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Borders>
              <w:top w:val="single" w:sz="4" w:space="0" w:color="7F7F7F" w:themeColor="text1" w:themeTint="80"/>
              <w:left w:val="nil"/>
              <w:right w:val="nil"/>
            </w:tcBorders>
            <w:hideMark/>
          </w:tcPr>
          <w:p w:rsidR="006E3E94" w:rsidRDefault="006E3E94">
            <w:pPr>
              <w:pStyle w:val="NormalWeb"/>
              <w:spacing w:line="480" w:lineRule="auto"/>
              <w:jc w:val="both"/>
              <w:rPr>
                <w:b w:val="0"/>
              </w:rPr>
            </w:pPr>
            <w:r>
              <w:t>Properties</w:t>
            </w:r>
          </w:p>
        </w:tc>
        <w:tc>
          <w:tcPr>
            <w:tcW w:w="1293" w:type="dxa"/>
            <w:tcBorders>
              <w:top w:val="single" w:sz="4" w:space="0" w:color="7F7F7F" w:themeColor="text1" w:themeTint="80"/>
              <w:left w:val="nil"/>
              <w:right w:val="nil"/>
            </w:tcBorders>
            <w:hideMark/>
          </w:tcPr>
          <w:p w:rsidR="006E3E94" w:rsidRDefault="006E3E94">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t>Results</w:t>
            </w:r>
          </w:p>
        </w:tc>
        <w:tc>
          <w:tcPr>
            <w:tcW w:w="2476" w:type="dxa"/>
            <w:tcBorders>
              <w:top w:val="single" w:sz="4" w:space="0" w:color="7F7F7F" w:themeColor="text1" w:themeTint="80"/>
              <w:left w:val="nil"/>
              <w:right w:val="nil"/>
            </w:tcBorders>
          </w:tcPr>
          <w:p w:rsidR="006E3E94" w:rsidRDefault="006E3E94">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Borders>
              <w:top w:val="single" w:sz="4" w:space="0" w:color="7F7F7F" w:themeColor="text1" w:themeTint="80"/>
              <w:left w:val="nil"/>
              <w:right w:val="nil"/>
            </w:tcBorders>
            <w:hideMark/>
          </w:tcPr>
          <w:p w:rsidR="006E3E94" w:rsidRDefault="006E3E94">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Initial setting time (minute)</w:t>
            </w:r>
          </w:p>
        </w:tc>
        <w:tc>
          <w:tcPr>
            <w:tcW w:w="1293"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100</w:t>
            </w:r>
          </w:p>
        </w:tc>
        <w:tc>
          <w:tcPr>
            <w:tcW w:w="2476"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Pr>
                <w:u w:val="single"/>
              </w:rPr>
              <w:t>&gt;</w:t>
            </w:r>
            <w:r>
              <w:t xml:space="preserve"> 45 minutes</w:t>
            </w: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Final setting time (minute)</w:t>
            </w:r>
          </w:p>
        </w:tc>
        <w:tc>
          <w:tcPr>
            <w:tcW w:w="1293"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320</w:t>
            </w:r>
          </w:p>
        </w:tc>
        <w:tc>
          <w:tcPr>
            <w:tcW w:w="2476"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Pr>
                <w:u w:val="single"/>
              </w:rPr>
              <w:t>&lt;</w:t>
            </w:r>
            <w:r>
              <w:t xml:space="preserve"> 600 minutes</w:t>
            </w: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Fineness (Blaine m</w:t>
            </w:r>
            <w:r>
              <w:rPr>
                <w:vertAlign w:val="superscript"/>
              </w:rPr>
              <w:t>2</w:t>
            </w:r>
            <w:r>
              <w:t xml:space="preserve"> /kg)</w:t>
            </w:r>
          </w:p>
        </w:tc>
        <w:tc>
          <w:tcPr>
            <w:tcW w:w="1293"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300</w:t>
            </w:r>
          </w:p>
        </w:tc>
        <w:tc>
          <w:tcPr>
            <w:tcW w:w="2476"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Pr>
                <w:u w:val="single"/>
              </w:rPr>
              <w:t>&gt;</w:t>
            </w:r>
            <w:r>
              <w:t xml:space="preserve"> 230 (m</w:t>
            </w:r>
            <w:r>
              <w:rPr>
                <w:vertAlign w:val="superscript"/>
              </w:rPr>
              <w:t>2</w:t>
            </w:r>
            <w:r>
              <w:t xml:space="preserve"> /kg)</w:t>
            </w: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Soundness by Autoclave Method (%)</w:t>
            </w:r>
          </w:p>
        </w:tc>
        <w:tc>
          <w:tcPr>
            <w:tcW w:w="1293"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0.02</w:t>
            </w:r>
          </w:p>
        </w:tc>
        <w:tc>
          <w:tcPr>
            <w:tcW w:w="2476"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Not more than 0.8</w:t>
            </w: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 xml:space="preserve">Compressive strength (MPa) </w:t>
            </w:r>
          </w:p>
        </w:tc>
        <w:tc>
          <w:tcPr>
            <w:tcW w:w="1293" w:type="dxa"/>
            <w:tcBorders>
              <w:top w:val="nil"/>
              <w:left w:val="nil"/>
              <w:bottom w:val="nil"/>
              <w:right w:val="nil"/>
            </w:tcBorders>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Borders>
              <w:top w:val="nil"/>
              <w:left w:val="nil"/>
              <w:bottom w:val="nil"/>
              <w:right w:val="nil"/>
            </w:tcBorders>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nil"/>
              <w:right w:val="nil"/>
            </w:tcBorders>
            <w:hideMark/>
          </w:tcPr>
          <w:p w:rsidR="006E3E94" w:rsidRDefault="006E3E94">
            <w:pPr>
              <w:pStyle w:val="NormalWeb"/>
              <w:spacing w:line="480" w:lineRule="auto"/>
              <w:jc w:val="both"/>
            </w:pPr>
            <w:r>
              <w:t>3 days</w:t>
            </w:r>
          </w:p>
        </w:tc>
        <w:tc>
          <w:tcPr>
            <w:tcW w:w="1293"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21</w:t>
            </w:r>
          </w:p>
        </w:tc>
        <w:tc>
          <w:tcPr>
            <w:tcW w:w="2476" w:type="dxa"/>
            <w:tcBorders>
              <w:top w:val="nil"/>
              <w:left w:val="nil"/>
              <w:bottom w:val="nil"/>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Pr>
                <w:u w:val="single"/>
              </w:rPr>
              <w:t>&gt;</w:t>
            </w:r>
            <w:r>
              <w:t xml:space="preserve"> 15</w:t>
            </w:r>
          </w:p>
        </w:tc>
        <w:tc>
          <w:tcPr>
            <w:tcW w:w="1563"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r w:rsidR="006E3E94" w:rsidTr="006E3E94">
        <w:tc>
          <w:tcPr>
            <w:cnfStyle w:val="001000000000" w:firstRow="0" w:lastRow="0" w:firstColumn="1" w:lastColumn="0" w:oddVBand="0" w:evenVBand="0" w:oddHBand="0" w:evenHBand="0" w:firstRowFirstColumn="0" w:firstRowLastColumn="0" w:lastRowFirstColumn="0" w:lastRowLastColumn="0"/>
            <w:tcW w:w="4028" w:type="dxa"/>
            <w:tcBorders>
              <w:top w:val="nil"/>
              <w:left w:val="nil"/>
              <w:bottom w:val="single" w:sz="4" w:space="0" w:color="7F7F7F" w:themeColor="text1" w:themeTint="80"/>
              <w:right w:val="nil"/>
            </w:tcBorders>
            <w:hideMark/>
          </w:tcPr>
          <w:p w:rsidR="006E3E94" w:rsidRDefault="006E3E94">
            <w:pPr>
              <w:pStyle w:val="NormalWeb"/>
              <w:spacing w:line="480" w:lineRule="auto"/>
              <w:jc w:val="both"/>
            </w:pPr>
            <w:r>
              <w:t>7 days</w:t>
            </w:r>
          </w:p>
        </w:tc>
        <w:tc>
          <w:tcPr>
            <w:tcW w:w="1293" w:type="dxa"/>
            <w:tcBorders>
              <w:top w:val="nil"/>
              <w:left w:val="nil"/>
              <w:bottom w:val="single" w:sz="4" w:space="0" w:color="7F7F7F" w:themeColor="text1" w:themeTint="80"/>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27</w:t>
            </w:r>
          </w:p>
        </w:tc>
        <w:tc>
          <w:tcPr>
            <w:tcW w:w="2476" w:type="dxa"/>
            <w:tcBorders>
              <w:top w:val="nil"/>
              <w:left w:val="nil"/>
              <w:bottom w:val="single" w:sz="4" w:space="0" w:color="7F7F7F" w:themeColor="text1" w:themeTint="80"/>
              <w:right w:val="nil"/>
            </w:tcBorders>
            <w:hideMark/>
          </w:tcPr>
          <w:p w:rsidR="006E3E94" w:rsidRDefault="006E3E94">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Pr>
                <w:u w:val="single"/>
              </w:rPr>
              <w:t>&gt;</w:t>
            </w:r>
            <w:r>
              <w:t xml:space="preserve"> 2</w:t>
            </w:r>
          </w:p>
        </w:tc>
        <w:tc>
          <w:tcPr>
            <w:tcW w:w="1563" w:type="dxa"/>
            <w:tcBorders>
              <w:top w:val="nil"/>
              <w:left w:val="nil"/>
              <w:bottom w:val="single" w:sz="4" w:space="0" w:color="7F7F7F" w:themeColor="text1" w:themeTint="80"/>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 xml:space="preserve">IQS: 5/1984 </w:t>
            </w:r>
          </w:p>
        </w:tc>
      </w:tr>
    </w:tbl>
    <w:p w:rsidR="006E3E94" w:rsidRDefault="006E3E94" w:rsidP="006E3E94">
      <w:pPr>
        <w:spacing w:line="480" w:lineRule="auto"/>
        <w:jc w:val="both"/>
      </w:pPr>
    </w:p>
    <w:p w:rsidR="006E3E94" w:rsidRDefault="006E3E94" w:rsidP="006E3E94">
      <w:pPr>
        <w:pStyle w:val="NormalWeb"/>
        <w:spacing w:line="480" w:lineRule="auto"/>
        <w:jc w:val="both"/>
        <w:rPr>
          <w:b/>
        </w:rPr>
      </w:pPr>
      <w:r>
        <w:t xml:space="preserve">In addition, it is cheaper than other cement types such as high alumina cement, calcium sulfoaluminate cement and magnesium phosphate cement. Its chemical composition is given in </w:t>
      </w:r>
      <w:r>
        <w:rPr>
          <w:bCs/>
        </w:rPr>
        <w:t>Table 3.2.</w:t>
      </w:r>
    </w:p>
    <w:p w:rsidR="006E3E94" w:rsidRDefault="006E3E94" w:rsidP="006E3E94">
      <w:pPr>
        <w:spacing w:line="480" w:lineRule="auto"/>
        <w:jc w:val="both"/>
      </w:pPr>
      <w:r>
        <w:rPr>
          <w:bCs/>
        </w:rPr>
        <w:t>Table 3.2</w:t>
      </w:r>
      <w:r>
        <w:t>. Chemical Composition.</w:t>
      </w:r>
    </w:p>
    <w:tbl>
      <w:tblPr>
        <w:tblStyle w:val="PlainTable2"/>
        <w:tblW w:w="0" w:type="auto"/>
        <w:tblInd w:w="0" w:type="dxa"/>
        <w:tblLook w:val="06A0" w:firstRow="1" w:lastRow="0" w:firstColumn="1" w:lastColumn="0" w:noHBand="1" w:noVBand="1"/>
      </w:tblPr>
      <w:tblGrid>
        <w:gridCol w:w="6540"/>
        <w:gridCol w:w="2486"/>
      </w:tblGrid>
      <w:tr w:rsidR="006E3E94" w:rsidTr="006E3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7F7F7F" w:themeColor="text1" w:themeTint="80"/>
              <w:left w:val="nil"/>
              <w:right w:val="nil"/>
            </w:tcBorders>
            <w:hideMark/>
          </w:tcPr>
          <w:p w:rsidR="006E3E94" w:rsidRDefault="006E3E94">
            <w:pPr>
              <w:spacing w:line="480" w:lineRule="auto"/>
              <w:jc w:val="both"/>
            </w:pPr>
            <w:r>
              <w:t xml:space="preserve">Chemical composition of cement (%). </w:t>
            </w:r>
          </w:p>
        </w:tc>
        <w:tc>
          <w:tcPr>
            <w:tcW w:w="2556" w:type="dxa"/>
            <w:tcBorders>
              <w:top w:val="single" w:sz="4" w:space="0" w:color="7F7F7F" w:themeColor="text1" w:themeTint="80"/>
              <w:left w:val="nil"/>
              <w:right w:val="nil"/>
            </w:tcBorders>
            <w:hideMark/>
          </w:tcPr>
          <w:p w:rsidR="006E3E94" w:rsidRDefault="006E3E94">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 xml:space="preserve">MgO </w:t>
            </w:r>
            <w:r>
              <w:tab/>
            </w:r>
            <w:r>
              <w:tab/>
            </w:r>
            <w:r>
              <w:tab/>
            </w:r>
            <w:r>
              <w:tab/>
            </w:r>
            <w:r>
              <w:tab/>
            </w:r>
            <w:r>
              <w:tab/>
              <w:t>2.6</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SiO</w:t>
            </w:r>
            <w:r>
              <w:rPr>
                <w:vertAlign w:val="subscript"/>
              </w:rPr>
              <w:t xml:space="preserve">2 </w:t>
            </w:r>
            <w:r>
              <w:tab/>
            </w:r>
            <w:r>
              <w:tab/>
            </w:r>
            <w:r>
              <w:tab/>
            </w:r>
            <w:r>
              <w:tab/>
            </w:r>
            <w:r>
              <w:tab/>
            </w:r>
            <w:r>
              <w:tab/>
              <w:t>18.7</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Al</w:t>
            </w:r>
            <w:r>
              <w:rPr>
                <w:vertAlign w:val="subscript"/>
              </w:rPr>
              <w:t>2</w:t>
            </w:r>
            <w:r>
              <w:t>O</w:t>
            </w:r>
            <w:r>
              <w:rPr>
                <w:vertAlign w:val="subscript"/>
              </w:rPr>
              <w:t>3</w:t>
            </w:r>
            <w:r>
              <w:t xml:space="preserve"> </w:t>
            </w:r>
            <w:r>
              <w:tab/>
            </w:r>
            <w:r>
              <w:tab/>
            </w:r>
            <w:r>
              <w:tab/>
            </w:r>
            <w:r>
              <w:tab/>
            </w:r>
            <w:r>
              <w:tab/>
            </w:r>
            <w:r>
              <w:tab/>
              <w:t>5.48</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Fe</w:t>
            </w:r>
            <w:r>
              <w:rPr>
                <w:vertAlign w:val="subscript"/>
              </w:rPr>
              <w:t>2</w:t>
            </w:r>
            <w:r>
              <w:t>O</w:t>
            </w:r>
            <w:r>
              <w:rPr>
                <w:vertAlign w:val="subscript"/>
              </w:rPr>
              <w:t xml:space="preserve">3 </w:t>
            </w:r>
            <w:r>
              <w:tab/>
            </w:r>
            <w:r>
              <w:tab/>
            </w:r>
            <w:r>
              <w:tab/>
            </w:r>
            <w:r>
              <w:tab/>
            </w:r>
            <w:r>
              <w:tab/>
            </w:r>
            <w:r>
              <w:tab/>
              <w:t xml:space="preserve">3.01 </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Na</w:t>
            </w:r>
            <w:r>
              <w:rPr>
                <w:vertAlign w:val="subscript"/>
              </w:rPr>
              <w:t>2</w:t>
            </w:r>
            <w:r>
              <w:t xml:space="preserve">O </w:t>
            </w:r>
            <w:r>
              <w:tab/>
            </w:r>
            <w:r>
              <w:tab/>
            </w:r>
            <w:r>
              <w:tab/>
            </w:r>
            <w:r>
              <w:tab/>
            </w:r>
            <w:r>
              <w:tab/>
            </w:r>
            <w:r>
              <w:tab/>
              <w:t xml:space="preserve">0.23 </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K</w:t>
            </w:r>
            <w:r>
              <w:rPr>
                <w:vertAlign w:val="subscript"/>
              </w:rPr>
              <w:t>2</w:t>
            </w:r>
            <w:r>
              <w:t xml:space="preserve">O </w:t>
            </w:r>
            <w:r>
              <w:tab/>
            </w:r>
            <w:r>
              <w:tab/>
            </w:r>
            <w:r>
              <w:tab/>
            </w:r>
            <w:r>
              <w:tab/>
            </w:r>
            <w:r>
              <w:tab/>
            </w:r>
            <w:r>
              <w:tab/>
              <w:t xml:space="preserve">1.22 </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SO</w:t>
            </w:r>
            <w:r>
              <w:rPr>
                <w:vertAlign w:val="subscript"/>
              </w:rPr>
              <w:t>3</w:t>
            </w:r>
            <w:r>
              <w:tab/>
            </w:r>
            <w:r>
              <w:tab/>
            </w:r>
            <w:r>
              <w:tab/>
            </w:r>
            <w:r>
              <w:tab/>
            </w:r>
            <w:r>
              <w:tab/>
            </w:r>
            <w:r>
              <w:tab/>
              <w:t xml:space="preserve">3.25 </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 xml:space="preserve">CaO </w:t>
            </w:r>
            <w:r>
              <w:tab/>
            </w:r>
            <w:r>
              <w:tab/>
            </w:r>
            <w:r>
              <w:tab/>
            </w:r>
            <w:r>
              <w:tab/>
            </w:r>
            <w:r>
              <w:tab/>
            </w:r>
            <w:r>
              <w:tab/>
              <w:t xml:space="preserve">62.3 </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 xml:space="preserve">Cl- </w:t>
            </w:r>
            <w:r>
              <w:tab/>
            </w:r>
            <w:r>
              <w:tab/>
            </w:r>
            <w:r>
              <w:tab/>
            </w:r>
            <w:r>
              <w:tab/>
            </w:r>
            <w:r>
              <w:tab/>
            </w:r>
            <w:r>
              <w:tab/>
              <w:t>0.001</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nil"/>
              <w:right w:val="nil"/>
            </w:tcBorders>
            <w:hideMark/>
          </w:tcPr>
          <w:p w:rsidR="006E3E94" w:rsidRDefault="006E3E94">
            <w:pPr>
              <w:tabs>
                <w:tab w:val="left" w:pos="2055"/>
              </w:tabs>
              <w:spacing w:line="480" w:lineRule="auto"/>
              <w:jc w:val="both"/>
            </w:pPr>
            <w:r>
              <w:t xml:space="preserve">Loss on ignition </w:t>
            </w:r>
            <w:r>
              <w:tab/>
            </w:r>
            <w:r>
              <w:tab/>
            </w:r>
            <w:r>
              <w:tab/>
            </w:r>
            <w:r>
              <w:tab/>
            </w:r>
            <w:r>
              <w:tab/>
            </w:r>
            <w:r>
              <w:tab/>
              <w:t>2.17</w:t>
            </w:r>
          </w:p>
        </w:tc>
        <w:tc>
          <w:tcPr>
            <w:tcW w:w="2556" w:type="dxa"/>
            <w:tcBorders>
              <w:top w:val="nil"/>
              <w:left w:val="nil"/>
              <w:bottom w:val="nil"/>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r w:rsidR="006E3E94" w:rsidTr="006E3E94">
        <w:tc>
          <w:tcPr>
            <w:cnfStyle w:val="001000000000" w:firstRow="0" w:lastRow="0" w:firstColumn="1" w:lastColumn="0" w:oddVBand="0" w:evenVBand="0" w:oddHBand="0" w:evenHBand="0" w:firstRowFirstColumn="0" w:firstRowLastColumn="0" w:lastRowFirstColumn="0" w:lastRowLastColumn="0"/>
            <w:tcW w:w="6804" w:type="dxa"/>
            <w:tcBorders>
              <w:top w:val="nil"/>
              <w:left w:val="nil"/>
              <w:bottom w:val="single" w:sz="4" w:space="0" w:color="7F7F7F" w:themeColor="text1" w:themeTint="80"/>
              <w:right w:val="nil"/>
            </w:tcBorders>
            <w:hideMark/>
          </w:tcPr>
          <w:p w:rsidR="006E3E94" w:rsidRDefault="006E3E94">
            <w:pPr>
              <w:tabs>
                <w:tab w:val="left" w:pos="2055"/>
              </w:tabs>
              <w:spacing w:line="480" w:lineRule="auto"/>
              <w:jc w:val="both"/>
            </w:pPr>
            <w:r>
              <w:t xml:space="preserve">Insoluble residue </w:t>
            </w:r>
            <w:r>
              <w:tab/>
            </w:r>
            <w:r>
              <w:tab/>
            </w:r>
            <w:r>
              <w:tab/>
            </w:r>
            <w:r>
              <w:tab/>
            </w:r>
            <w:r>
              <w:tab/>
            </w:r>
            <w:r>
              <w:tab/>
              <w:t>0.7</w:t>
            </w:r>
          </w:p>
        </w:tc>
        <w:tc>
          <w:tcPr>
            <w:tcW w:w="2556" w:type="dxa"/>
            <w:tcBorders>
              <w:top w:val="nil"/>
              <w:left w:val="nil"/>
              <w:bottom w:val="single" w:sz="4" w:space="0" w:color="7F7F7F" w:themeColor="text1" w:themeTint="80"/>
              <w:right w:val="nil"/>
            </w:tcBorders>
            <w:hideMark/>
          </w:tcPr>
          <w:p w:rsidR="006E3E94" w:rsidRDefault="006E3E94">
            <w:pPr>
              <w:spacing w:line="240" w:lineRule="auto"/>
              <w:jc w:val="right"/>
              <w:cnfStyle w:val="000000000000" w:firstRow="0" w:lastRow="0" w:firstColumn="0" w:lastColumn="0" w:oddVBand="0" w:evenVBand="0" w:oddHBand="0" w:evenHBand="0" w:firstRowFirstColumn="0" w:firstRowLastColumn="0" w:lastRowFirstColumn="0" w:lastRowLastColumn="0"/>
            </w:pPr>
            <w:r>
              <w:t>ASTM C150</w:t>
            </w:r>
          </w:p>
        </w:tc>
      </w:tr>
    </w:tbl>
    <w:p w:rsidR="006E3E94" w:rsidRDefault="006E3E94" w:rsidP="006E3E94">
      <w:pPr>
        <w:spacing w:line="480" w:lineRule="auto"/>
        <w:jc w:val="both"/>
      </w:pPr>
    </w:p>
    <w:p w:rsidR="006E3E94" w:rsidRDefault="006E3E94" w:rsidP="006E3E94">
      <w:pPr>
        <w:pStyle w:val="Heading3"/>
        <w:spacing w:line="480" w:lineRule="auto"/>
        <w:jc w:val="both"/>
        <w:rPr>
          <w:rFonts w:cs="Times New Roman"/>
          <w:b/>
        </w:rPr>
      </w:pPr>
      <w:bookmarkStart w:id="5" w:name="_Toc202864750"/>
      <w:bookmarkStart w:id="6" w:name="_Toc183546524"/>
      <w:r>
        <w:rPr>
          <w:rFonts w:cs="Times New Roman"/>
        </w:rPr>
        <w:t>3.1.2.</w:t>
      </w:r>
      <w:r>
        <w:rPr>
          <w:rFonts w:cs="Times New Roman"/>
        </w:rPr>
        <w:tab/>
      </w:r>
      <w:r>
        <w:rPr>
          <w:rStyle w:val="Strong"/>
          <w:rFonts w:cs="Times New Roman"/>
          <w:b w:val="0"/>
        </w:rPr>
        <w:t>Fine Aggregates</w:t>
      </w:r>
      <w:bookmarkEnd w:id="5"/>
      <w:r>
        <w:rPr>
          <w:rStyle w:val="Strong"/>
          <w:b w:val="0"/>
        </w:rPr>
        <w:t xml:space="preserve"> </w:t>
      </w:r>
      <w:bookmarkEnd w:id="6"/>
    </w:p>
    <w:p w:rsidR="006E3E94" w:rsidRDefault="006E3E94" w:rsidP="006E3E94">
      <w:pPr>
        <w:spacing w:before="100" w:beforeAutospacing="1" w:after="100" w:afterAutospacing="1" w:line="480" w:lineRule="auto"/>
        <w:jc w:val="both"/>
        <w:rPr>
          <w:rFonts w:eastAsia="Times New Roman" w:cs="Times New Roman"/>
          <w:szCs w:val="24"/>
          <w:lang w:val="x-none" w:eastAsia="x-none"/>
        </w:rPr>
      </w:pPr>
      <w:bookmarkStart w:id="7" w:name="_Toc183546525"/>
      <w:r>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6E3E94" w:rsidRDefault="006E3E94" w:rsidP="006E3E94">
      <w:pPr>
        <w:pStyle w:val="Heading3"/>
        <w:spacing w:line="480" w:lineRule="auto"/>
        <w:jc w:val="both"/>
        <w:rPr>
          <w:rFonts w:cs="Times New Roman"/>
          <w:b/>
          <w:i w:val="0"/>
        </w:rPr>
      </w:pPr>
      <w:bookmarkStart w:id="8" w:name="_Toc202864751"/>
      <w:r>
        <w:rPr>
          <w:rFonts w:cs="Times New Roman"/>
        </w:rPr>
        <w:t>3.1.3.</w:t>
      </w:r>
      <w:r>
        <w:rPr>
          <w:rFonts w:cs="Times New Roman"/>
        </w:rPr>
        <w:tab/>
        <w:t xml:space="preserve"> </w:t>
      </w:r>
      <w:r>
        <w:rPr>
          <w:rStyle w:val="Strong"/>
          <w:rFonts w:cs="Times New Roman"/>
          <w:b w:val="0"/>
        </w:rPr>
        <w:t>Palm Kernel Oil</w:t>
      </w:r>
      <w:bookmarkEnd w:id="7"/>
      <w:bookmarkEnd w:id="8"/>
    </w:p>
    <w:p w:rsidR="006E3E94" w:rsidRDefault="006E3E94" w:rsidP="006E3E94">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p>
    <w:p w:rsidR="006E3E94" w:rsidRDefault="006E3E94" w:rsidP="006E3E94">
      <w:pPr>
        <w:pStyle w:val="Heading3"/>
        <w:spacing w:line="480" w:lineRule="auto"/>
        <w:jc w:val="both"/>
        <w:rPr>
          <w:rFonts w:cs="Times New Roman"/>
          <w:b/>
          <w:i w:val="0"/>
        </w:rPr>
      </w:pPr>
      <w:bookmarkStart w:id="9" w:name="_Toc202864752"/>
      <w:bookmarkStart w:id="10" w:name="_Toc183546526"/>
      <w:r>
        <w:rPr>
          <w:rFonts w:cs="Times New Roman"/>
        </w:rPr>
        <w:t>3.1.4.</w:t>
      </w:r>
      <w:r>
        <w:rPr>
          <w:rFonts w:cs="Times New Roman"/>
        </w:rPr>
        <w:tab/>
      </w:r>
      <w:r>
        <w:rPr>
          <w:rStyle w:val="Strong"/>
          <w:rFonts w:cs="Times New Roman"/>
          <w:b w:val="0"/>
        </w:rPr>
        <w:t>Water</w:t>
      </w:r>
      <w:bookmarkEnd w:id="9"/>
      <w:bookmarkEnd w:id="10"/>
    </w:p>
    <w:p w:rsidR="006E3E94" w:rsidRDefault="006E3E94" w:rsidP="006E3E94">
      <w:pPr>
        <w:pStyle w:val="NormalWeb"/>
        <w:spacing w:line="480" w:lineRule="auto"/>
        <w:jc w:val="both"/>
      </w:pPr>
      <w:r>
        <w:t xml:space="preserve">Water used in the mix was potable and clean, sourced from a local supply, and in accordance with ASTM C94 standards for mixing concrete. </w:t>
      </w:r>
    </w:p>
    <w:p w:rsidR="006E3E94" w:rsidRDefault="006E3E94" w:rsidP="006E3E94">
      <w:pPr>
        <w:pStyle w:val="Heading3"/>
        <w:spacing w:line="480" w:lineRule="auto"/>
        <w:jc w:val="both"/>
        <w:rPr>
          <w:rFonts w:cs="Times New Roman"/>
          <w:b/>
          <w:i w:val="0"/>
        </w:rPr>
      </w:pPr>
      <w:bookmarkStart w:id="11" w:name="_Toc183546527"/>
      <w:bookmarkStart w:id="12" w:name="_Toc202864753"/>
      <w:r>
        <w:rPr>
          <w:rFonts w:cs="Times New Roman"/>
        </w:rPr>
        <w:t>3.1.5.</w:t>
      </w:r>
      <w:r>
        <w:rPr>
          <w:rFonts w:cs="Times New Roman"/>
        </w:rPr>
        <w:tab/>
      </w:r>
      <w:r>
        <w:rPr>
          <w:rStyle w:val="Strong"/>
          <w:rFonts w:cs="Times New Roman"/>
          <w:b w:val="0"/>
        </w:rPr>
        <w:t>Sodium Lauryl Sulfate (foaming agent</w:t>
      </w:r>
      <w:bookmarkEnd w:id="11"/>
      <w:r>
        <w:rPr>
          <w:rStyle w:val="Strong"/>
          <w:b w:val="0"/>
        </w:rPr>
        <w:t>)</w:t>
      </w:r>
      <w:bookmarkEnd w:id="12"/>
    </w:p>
    <w:p w:rsidR="006E3E94" w:rsidRDefault="006E3E94" w:rsidP="006E3E94">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6E3E94" w:rsidRDefault="006E3E94" w:rsidP="006E3E94">
      <w:pPr>
        <w:pStyle w:val="Heading2"/>
        <w:spacing w:line="480" w:lineRule="auto"/>
        <w:jc w:val="both"/>
        <w:rPr>
          <w:b/>
        </w:rPr>
      </w:pPr>
      <w:bookmarkStart w:id="13" w:name="_Toc202864754"/>
      <w:bookmarkStart w:id="14" w:name="_Toc183546529"/>
      <w:r>
        <w:rPr>
          <w:i w:val="0"/>
        </w:rPr>
        <w:t>3.2.</w:t>
      </w:r>
      <w:r>
        <w:rPr>
          <w:b/>
        </w:rPr>
        <w:tab/>
      </w:r>
      <w:r>
        <w:rPr>
          <w:rStyle w:val="Strong"/>
          <w:b w:val="0"/>
          <w:i w:val="0"/>
        </w:rPr>
        <w:t>Methods</w:t>
      </w:r>
      <w:bookmarkEnd w:id="13"/>
      <w:bookmarkEnd w:id="14"/>
    </w:p>
    <w:p w:rsidR="006E3E94" w:rsidRDefault="006E3E94" w:rsidP="006E3E94">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p>
    <w:p w:rsidR="006E3E94" w:rsidRDefault="006E3E94" w:rsidP="006E3E94">
      <w:pPr>
        <w:pStyle w:val="Heading3"/>
        <w:spacing w:line="480" w:lineRule="auto"/>
        <w:jc w:val="both"/>
      </w:pPr>
      <w:bookmarkStart w:id="15" w:name="_Toc202864755"/>
      <w:bookmarkStart w:id="16" w:name="_Toc183546530"/>
      <w:r>
        <w:t>3.2.1.</w:t>
      </w:r>
      <w:r>
        <w:tab/>
        <w:t xml:space="preserve"> </w:t>
      </w:r>
      <w:r>
        <w:rPr>
          <w:rStyle w:val="Strong"/>
          <w:b w:val="0"/>
        </w:rPr>
        <w:t>Mix Design Preparation</w:t>
      </w:r>
      <w:bookmarkEnd w:id="15"/>
      <w:bookmarkEnd w:id="16"/>
    </w:p>
    <w:p w:rsidR="006E3E94" w:rsidRDefault="006E3E94" w:rsidP="006E3E94">
      <w:pPr>
        <w:spacing w:before="100" w:beforeAutospacing="1" w:after="100" w:afterAutospacing="1" w:line="480" w:lineRule="auto"/>
        <w:jc w:val="both"/>
      </w:pPr>
      <w:r>
        <w:t>The first step in the experiment was preparing the foam concrete mix design. The mixes were prepared according to the following steps:</w:t>
      </w:r>
    </w:p>
    <w:p w:rsidR="006E3E94" w:rsidRDefault="006E3E94" w:rsidP="006E3E94">
      <w:pPr>
        <w:pStyle w:val="ListParagraph"/>
        <w:numPr>
          <w:ilvl w:val="0"/>
          <w:numId w:val="1"/>
        </w:numPr>
        <w:spacing w:before="100" w:beforeAutospacing="1" w:after="100" w:afterAutospacing="1" w:line="480" w:lineRule="auto"/>
        <w:jc w:val="both"/>
      </w:pPr>
      <w:r>
        <w:t>The cement was weighed and mixed with fine aggregates (sand) at a specified weight ratio, typically 1:2 by weight of cement to sand, depending on the target density.</w:t>
      </w:r>
    </w:p>
    <w:p w:rsidR="006E3E94" w:rsidRDefault="006E3E94" w:rsidP="006E3E94">
      <w:pPr>
        <w:pStyle w:val="ListParagraph"/>
        <w:numPr>
          <w:ilvl w:val="0"/>
          <w:numId w:val="1"/>
        </w:numPr>
        <w:spacing w:before="100" w:beforeAutospacing="1" w:after="100" w:afterAutospacing="1" w:line="480" w:lineRule="auto"/>
        <w:jc w:val="both"/>
      </w:pPr>
      <w:r>
        <w:t>Water was added in the amount necessary to achieve suitable workability for the mix. A water-to-cement ratio of 0.8 to 1.5 was used.</w:t>
      </w:r>
    </w:p>
    <w:p w:rsidR="006E3E94" w:rsidRDefault="006E3E94" w:rsidP="006E3E94">
      <w:pPr>
        <w:pStyle w:val="ListParagraph"/>
        <w:numPr>
          <w:ilvl w:val="0"/>
          <w:numId w:val="1"/>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6E3E94" w:rsidRDefault="006E3E94" w:rsidP="006E3E94">
      <w:pPr>
        <w:pStyle w:val="ListParagraph"/>
        <w:numPr>
          <w:ilvl w:val="0"/>
          <w:numId w:val="1"/>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6E3E94" w:rsidRDefault="006E3E94" w:rsidP="006E3E94">
      <w:pPr>
        <w:pStyle w:val="Heading3"/>
        <w:spacing w:line="480" w:lineRule="auto"/>
        <w:jc w:val="both"/>
      </w:pPr>
      <w:bookmarkStart w:id="17" w:name="_Toc202864756"/>
      <w:bookmarkStart w:id="18" w:name="_Toc183546531"/>
      <w:r>
        <w:t>3.2.2.</w:t>
      </w:r>
      <w:r>
        <w:tab/>
      </w:r>
      <w:r>
        <w:rPr>
          <w:rStyle w:val="Strong"/>
          <w:b w:val="0"/>
        </w:rPr>
        <w:t>Preparation of Foam</w:t>
      </w:r>
      <w:bookmarkEnd w:id="17"/>
      <w:bookmarkEnd w:id="18"/>
    </w:p>
    <w:p w:rsidR="006E3E94" w:rsidRDefault="006E3E94" w:rsidP="006E3E94">
      <w:pPr>
        <w:pStyle w:val="NormalWeb"/>
        <w:spacing w:line="480" w:lineRule="auto"/>
        <w:jc w:val="both"/>
      </w:pPr>
      <w:bookmarkStart w:id="19" w:name="_Toc183546532"/>
      <w:r>
        <w:t>There are two primary techniques used in foam concreting: the pre-foaming method and the mix-foaming method. Both approaches regulate the mixing process and influence the quality of foamed concrete.</w:t>
      </w:r>
    </w:p>
    <w:p w:rsidR="006E3E94" w:rsidRDefault="006E3E94" w:rsidP="006E3E94">
      <w:pPr>
        <w:pStyle w:val="NormalWeb"/>
        <w:spacing w:line="480" w:lineRule="auto"/>
        <w:jc w:val="center"/>
      </w:pPr>
      <w:r>
        <w:rPr>
          <w:noProof/>
          <w:lang w:val="x-none" w:eastAsia="x-none"/>
        </w:rPr>
        <w:drawing>
          <wp:inline distT="0" distB="0" distL="0" distR="0" wp14:anchorId="6872F412" wp14:editId="1D0A54DF">
            <wp:extent cx="20097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590675"/>
                    </a:xfrm>
                    <a:prstGeom prst="rect">
                      <a:avLst/>
                    </a:prstGeom>
                    <a:noFill/>
                    <a:ln>
                      <a:noFill/>
                    </a:ln>
                  </pic:spPr>
                </pic:pic>
              </a:graphicData>
            </a:graphic>
          </wp:inline>
        </w:drawing>
      </w:r>
    </w:p>
    <w:p w:rsidR="006E3E94" w:rsidRDefault="006E3E94" w:rsidP="006E3E94">
      <w:pPr>
        <w:pStyle w:val="NormalWeb"/>
        <w:spacing w:line="480" w:lineRule="auto"/>
        <w:jc w:val="center"/>
      </w:pPr>
      <w:r>
        <w:t>Fig. 3.2.   Photograph of the foam generated.</w:t>
      </w:r>
    </w:p>
    <w:p w:rsidR="006E3E94" w:rsidRDefault="006E3E94" w:rsidP="006E3E94">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6E3E94" w:rsidRDefault="006E3E94" w:rsidP="006E3E94">
      <w:pPr>
        <w:pStyle w:val="Heading3"/>
        <w:spacing w:line="480" w:lineRule="auto"/>
        <w:jc w:val="both"/>
      </w:pPr>
      <w:bookmarkStart w:id="20" w:name="_Toc202864757"/>
      <w:r>
        <w:t>3.2.3.</w:t>
      </w:r>
      <w:r>
        <w:tab/>
      </w:r>
      <w:r>
        <w:rPr>
          <w:rStyle w:val="Strong"/>
          <w:b w:val="0"/>
        </w:rPr>
        <w:t>Mixing and Casting</w:t>
      </w:r>
      <w:bookmarkEnd w:id="19"/>
      <w:bookmarkEnd w:id="20"/>
    </w:p>
    <w:p w:rsidR="006E3E94" w:rsidRDefault="006E3E94" w:rsidP="006E3E94">
      <w:pPr>
        <w:pStyle w:val="NormalWeb"/>
        <w:spacing w:line="480" w:lineRule="auto"/>
      </w:pPr>
      <w:bookmarkStart w:id="21" w:name="_Toc183546533"/>
      <w:r>
        <w:t>Once the foam was prepared, it was carefully incorporated into the cement-sand-water mixture. The following procedure was used for mixing and casting:</w:t>
      </w:r>
    </w:p>
    <w:tbl>
      <w:tblPr>
        <w:tblStyle w:val="TableGrid"/>
        <w:tblW w:w="954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656"/>
      </w:tblGrid>
      <w:tr w:rsidR="006E3E94" w:rsidTr="006E3E94">
        <w:trPr>
          <w:trHeight w:val="2268"/>
        </w:trPr>
        <w:tc>
          <w:tcPr>
            <w:tcW w:w="4910" w:type="dxa"/>
            <w:hideMark/>
          </w:tcPr>
          <w:p w:rsidR="006E3E94" w:rsidRDefault="006E3E94">
            <w:pPr>
              <w:pStyle w:val="NormalWeb"/>
              <w:spacing w:line="480" w:lineRule="auto"/>
            </w:pPr>
            <w:r>
              <w:rPr>
                <w:noProof/>
                <w:lang w:val="x-none" w:eastAsia="x-none"/>
              </w:rPr>
              <w:drawing>
                <wp:inline distT="0" distB="0" distL="0" distR="0" wp14:anchorId="3066ABEE" wp14:editId="6DDE96C9">
                  <wp:extent cx="2981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b="51932"/>
                          <a:stretch>
                            <a:fillRect/>
                          </a:stretch>
                        </pic:blipFill>
                        <pic:spPr bwMode="auto">
                          <a:xfrm>
                            <a:off x="0" y="0"/>
                            <a:ext cx="2981325" cy="1257300"/>
                          </a:xfrm>
                          <a:prstGeom prst="rect">
                            <a:avLst/>
                          </a:prstGeom>
                          <a:noFill/>
                          <a:ln>
                            <a:noFill/>
                          </a:ln>
                        </pic:spPr>
                      </pic:pic>
                    </a:graphicData>
                  </a:graphic>
                </wp:inline>
              </w:drawing>
            </w:r>
          </w:p>
        </w:tc>
        <w:tc>
          <w:tcPr>
            <w:tcW w:w="4634" w:type="dxa"/>
            <w:hideMark/>
          </w:tcPr>
          <w:p w:rsidR="006E3E94" w:rsidRDefault="006E3E94">
            <w:pPr>
              <w:pStyle w:val="NormalWeb"/>
              <w:spacing w:line="480" w:lineRule="auto"/>
            </w:pPr>
            <w:r>
              <w:rPr>
                <w:noProof/>
                <w:lang w:val="x-none" w:eastAsia="x-none"/>
              </w:rPr>
              <w:drawing>
                <wp:inline distT="0" distB="0" distL="0" distR="0" wp14:anchorId="0F4B883F" wp14:editId="5FB689AA">
                  <wp:extent cx="280987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t="48927" b="-2"/>
                          <a:stretch>
                            <a:fillRect/>
                          </a:stretch>
                        </pic:blipFill>
                        <pic:spPr bwMode="auto">
                          <a:xfrm>
                            <a:off x="0" y="0"/>
                            <a:ext cx="2809875" cy="1257300"/>
                          </a:xfrm>
                          <a:prstGeom prst="rect">
                            <a:avLst/>
                          </a:prstGeom>
                          <a:noFill/>
                          <a:ln>
                            <a:noFill/>
                          </a:ln>
                        </pic:spPr>
                      </pic:pic>
                    </a:graphicData>
                  </a:graphic>
                </wp:inline>
              </w:drawing>
            </w:r>
          </w:p>
        </w:tc>
      </w:tr>
    </w:tbl>
    <w:p w:rsidR="006E3E94" w:rsidRDefault="006E3E94" w:rsidP="006E3E94">
      <w:pPr>
        <w:pStyle w:val="NormalWeb"/>
        <w:spacing w:line="480" w:lineRule="auto"/>
        <w:jc w:val="center"/>
      </w:pPr>
      <w:r>
        <w:t>Fig. 3.3.  Pictures depicting foam concretes incorporating foaming agent (SLS).</w:t>
      </w:r>
    </w:p>
    <w:p w:rsidR="006E3E94" w:rsidRDefault="006E3E94" w:rsidP="006E3E94">
      <w:pPr>
        <w:pStyle w:val="NormalWeb"/>
        <w:numPr>
          <w:ilvl w:val="0"/>
          <w:numId w:val="2"/>
        </w:numPr>
        <w:spacing w:line="480" w:lineRule="auto"/>
        <w:jc w:val="both"/>
      </w:pPr>
      <w:r>
        <w:t>The foam was gently folded into the wet mix to avoid collapsing the air bubbles in the foam.</w:t>
      </w:r>
    </w:p>
    <w:p w:rsidR="006E3E94" w:rsidRDefault="006E3E94" w:rsidP="006E3E94">
      <w:pPr>
        <w:pStyle w:val="NormalWeb"/>
        <w:numPr>
          <w:ilvl w:val="0"/>
          <w:numId w:val="2"/>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6E3E94" w:rsidRDefault="006E3E94" w:rsidP="006E3E94">
      <w:pPr>
        <w:pStyle w:val="NormalWeb"/>
        <w:numPr>
          <w:ilvl w:val="0"/>
          <w:numId w:val="2"/>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6E3E94" w:rsidRDefault="006E3E94" w:rsidP="006E3E94">
      <w:pPr>
        <w:pStyle w:val="Heading3"/>
        <w:spacing w:line="480" w:lineRule="auto"/>
        <w:jc w:val="both"/>
      </w:pPr>
      <w:bookmarkStart w:id="22" w:name="_Toc202864758"/>
      <w:r>
        <w:t>3.2.4.</w:t>
      </w:r>
      <w:r>
        <w:tab/>
      </w:r>
      <w:r>
        <w:rPr>
          <w:rStyle w:val="Strong"/>
          <w:b w:val="0"/>
        </w:rPr>
        <w:t>Testing of Foam Concrete</w:t>
      </w:r>
      <w:bookmarkEnd w:id="21"/>
      <w:bookmarkEnd w:id="22"/>
    </w:p>
    <w:p w:rsidR="006E3E94" w:rsidRDefault="006E3E94" w:rsidP="006E3E94">
      <w:pPr>
        <w:pStyle w:val="NormalWeb"/>
        <w:spacing w:line="480" w:lineRule="auto"/>
        <w:jc w:val="both"/>
      </w:pPr>
      <w:r>
        <w:t>The various properties tests were carried out in the fresh state and after the foam concrete had been cured.</w:t>
      </w:r>
    </w:p>
    <w:p w:rsidR="006E3E94" w:rsidRDefault="006E3E94" w:rsidP="006E3E94">
      <w:pPr>
        <w:pStyle w:val="Heading4"/>
        <w:spacing w:line="480" w:lineRule="auto"/>
        <w:jc w:val="both"/>
        <w:rPr>
          <w:rFonts w:ascii="Times New Roman" w:hAnsi="Times New Roman" w:cs="Times New Roman"/>
          <w:b/>
        </w:rPr>
      </w:pPr>
      <w:r>
        <w:rPr>
          <w:rFonts w:ascii="Times New Roman" w:hAnsi="Times New Roman" w:cs="Times New Roman"/>
        </w:rPr>
        <w:t>3.2.4.1</w:t>
      </w:r>
      <w:r>
        <w:rPr>
          <w:rFonts w:ascii="Times New Roman" w:hAnsi="Times New Roman" w:cs="Times New Roman"/>
          <w:b/>
        </w:rPr>
        <w:t xml:space="preserve">.  </w:t>
      </w:r>
      <w:r>
        <w:rPr>
          <w:rStyle w:val="Strong"/>
          <w:rFonts w:ascii="Times New Roman" w:hAnsi="Times New Roman" w:cs="Times New Roman"/>
          <w:b w:val="0"/>
        </w:rPr>
        <w:t>Slump Test</w:t>
      </w:r>
    </w:p>
    <w:p w:rsidR="006E3E94" w:rsidRDefault="006E3E94" w:rsidP="006E3E94">
      <w:pPr>
        <w:pStyle w:val="ListParagraph"/>
        <w:numPr>
          <w:ilvl w:val="0"/>
          <w:numId w:val="3"/>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Pr>
          <w:rFonts w:eastAsia="Times New Roman" w:cs="Times New Roman"/>
          <w:szCs w:val="24"/>
        </w:rPr>
        <w:t>.</w:t>
      </w:r>
    </w:p>
    <w:p w:rsidR="006E3E94" w:rsidRDefault="006E3E94" w:rsidP="006E3E94">
      <w:pPr>
        <w:pStyle w:val="ListParagraph"/>
        <w:numPr>
          <w:ilvl w:val="0"/>
          <w:numId w:val="3"/>
        </w:numPr>
        <w:spacing w:before="100" w:beforeAutospacing="1" w:after="100" w:afterAutospacing="1" w:line="480" w:lineRule="auto"/>
        <w:jc w:val="both"/>
        <w:rPr>
          <w:rFonts w:eastAsia="Times New Roman" w:cs="Times New Roman"/>
          <w:szCs w:val="24"/>
        </w:rPr>
      </w:pPr>
      <w:r>
        <w:rPr>
          <w:rFonts w:eastAsia="Times New Roman" w:cs="Times New Roman"/>
          <w:szCs w:val="24"/>
        </w:rPr>
        <w:t>Procedure:</w:t>
      </w:r>
    </w:p>
    <w:p w:rsidR="006E3E94" w:rsidRDefault="006E3E94" w:rsidP="006E3E94">
      <w:pPr>
        <w:pStyle w:val="ListParagraph"/>
        <w:numPr>
          <w:ilvl w:val="0"/>
          <w:numId w:val="4"/>
        </w:numPr>
        <w:spacing w:before="100" w:beforeAutospacing="1" w:after="100" w:afterAutospacing="1" w:line="480" w:lineRule="auto"/>
        <w:jc w:val="both"/>
      </w:pPr>
      <w:r>
        <w:t>A slump cone (base diameter: 200 mm, top diameter: 100 mm, height: 300 mm) was placed on a flat, non-absorbent surface.</w:t>
      </w:r>
    </w:p>
    <w:p w:rsidR="006E3E94" w:rsidRDefault="006E3E94" w:rsidP="006E3E94">
      <w:pPr>
        <w:pStyle w:val="ListParagraph"/>
        <w:numPr>
          <w:ilvl w:val="0"/>
          <w:numId w:val="4"/>
        </w:numPr>
        <w:spacing w:before="100" w:beforeAutospacing="1" w:after="100" w:afterAutospacing="1" w:line="480" w:lineRule="auto"/>
        <w:jc w:val="both"/>
      </w:pPr>
      <w:r>
        <w:t>The cone was filled with foam concrete in three layers, each tamped 25 times with a standard tamping rod.</w:t>
      </w:r>
    </w:p>
    <w:p w:rsidR="006E3E94" w:rsidRDefault="006E3E94" w:rsidP="006E3E94">
      <w:pPr>
        <w:pStyle w:val="ListParagraph"/>
        <w:numPr>
          <w:ilvl w:val="0"/>
          <w:numId w:val="4"/>
        </w:numPr>
        <w:spacing w:before="100" w:beforeAutospacing="1" w:after="100" w:afterAutospacing="1" w:line="480" w:lineRule="auto"/>
        <w:jc w:val="both"/>
      </w:pPr>
      <w:r>
        <w:t>After filling, the cone was carefully lifted vertically, allowing the concrete to slump under its own weight.</w:t>
      </w:r>
    </w:p>
    <w:p w:rsidR="006E3E94" w:rsidRDefault="006E3E94" w:rsidP="006E3E94">
      <w:pPr>
        <w:pStyle w:val="ListParagraph"/>
        <w:numPr>
          <w:ilvl w:val="0"/>
          <w:numId w:val="4"/>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E3E94" w:rsidRDefault="006E3E94" w:rsidP="006E3E94">
      <w:pPr>
        <w:pStyle w:val="Heading2"/>
        <w:spacing w:line="480" w:lineRule="auto"/>
      </w:pPr>
      <w:bookmarkStart w:id="23" w:name="_Toc202864759"/>
      <w:r>
        <w:t>3.2.4.2.  Thermal insulation Properties Test</w:t>
      </w:r>
      <w:bookmarkEnd w:id="23"/>
      <w:r>
        <w:t xml:space="preserve"> </w:t>
      </w:r>
    </w:p>
    <w:p w:rsidR="006E3E94" w:rsidRDefault="006E3E94" w:rsidP="006E3E94">
      <w:pPr>
        <w:spacing w:before="100" w:beforeAutospacing="1" w:after="100" w:afterAutospacing="1"/>
        <w:rPr>
          <w:rFonts w:eastAsia="Times New Roman" w:cs="Times New Roman"/>
          <w:szCs w:val="24"/>
        </w:rPr>
      </w:pPr>
      <w:r>
        <w:rPr>
          <w:rFonts w:eastAsia="Times New Roman" w:cs="Times New Roman"/>
          <w:szCs w:val="24"/>
        </w:rPr>
        <w:t>The thermal insulation test was conducted under the following environmental conditions:</w:t>
      </w:r>
    </w:p>
    <w:p w:rsidR="006E3E94" w:rsidRDefault="006E3E94" w:rsidP="006E3E94">
      <w:pPr>
        <w:numPr>
          <w:ilvl w:val="0"/>
          <w:numId w:val="5"/>
        </w:numPr>
        <w:spacing w:before="100" w:beforeAutospacing="1" w:after="100" w:afterAutospacing="1" w:line="480" w:lineRule="auto"/>
        <w:jc w:val="both"/>
        <w:rPr>
          <w:rFonts w:eastAsia="Times New Roman" w:cs="Times New Roman"/>
          <w:szCs w:val="24"/>
        </w:rPr>
      </w:pPr>
      <w:r>
        <w:rPr>
          <w:rFonts w:eastAsia="Times New Roman" w:cs="Times New Roman"/>
          <w:bCs/>
          <w:szCs w:val="24"/>
        </w:rPr>
        <w:t>Date of Test</w:t>
      </w:r>
      <w:r>
        <w:rPr>
          <w:rFonts w:eastAsia="Times New Roman" w:cs="Times New Roman"/>
          <w:szCs w:val="24"/>
        </w:rPr>
        <w:t>: 22th April 2025.</w:t>
      </w:r>
    </w:p>
    <w:p w:rsidR="006E3E94" w:rsidRDefault="006E3E94" w:rsidP="006E3E94">
      <w:pPr>
        <w:numPr>
          <w:ilvl w:val="0"/>
          <w:numId w:val="5"/>
        </w:numPr>
        <w:spacing w:before="100" w:beforeAutospacing="1" w:after="100" w:afterAutospacing="1" w:line="480" w:lineRule="auto"/>
        <w:jc w:val="both"/>
        <w:rPr>
          <w:rFonts w:eastAsia="Times New Roman" w:cs="Times New Roman"/>
          <w:szCs w:val="24"/>
        </w:rPr>
      </w:pPr>
      <w:r>
        <w:rPr>
          <w:rFonts w:eastAsia="Times New Roman" w:cs="Times New Roman"/>
          <w:bCs/>
          <w:szCs w:val="24"/>
        </w:rPr>
        <w:t>Time of Exposure</w:t>
      </w:r>
      <w:r>
        <w:rPr>
          <w:rFonts w:eastAsia="Times New Roman" w:cs="Times New Roman"/>
          <w:szCs w:val="24"/>
        </w:rPr>
        <w:t>: 12:00 PM to 2:00 PM</w:t>
      </w:r>
    </w:p>
    <w:p w:rsidR="006E3E94" w:rsidRDefault="006E3E94" w:rsidP="006E3E94">
      <w:pPr>
        <w:numPr>
          <w:ilvl w:val="0"/>
          <w:numId w:val="5"/>
        </w:numPr>
        <w:spacing w:before="100" w:beforeAutospacing="1" w:after="100" w:afterAutospacing="1" w:line="480" w:lineRule="auto"/>
        <w:jc w:val="both"/>
        <w:rPr>
          <w:rFonts w:eastAsia="Times New Roman" w:cs="Times New Roman"/>
          <w:szCs w:val="24"/>
        </w:rPr>
      </w:pPr>
      <w:r>
        <w:rPr>
          <w:rFonts w:eastAsia="Times New Roman" w:cs="Times New Roman"/>
          <w:bCs/>
          <w:szCs w:val="24"/>
        </w:rPr>
        <w:t>Location</w:t>
      </w:r>
      <w:r>
        <w:rPr>
          <w:rFonts w:eastAsia="Times New Roman" w:cs="Times New Roman"/>
          <w:szCs w:val="24"/>
        </w:rPr>
        <w:t>: I.O.T yard, Kwara State Polytechnic, Ilorin, Nigeria.</w:t>
      </w:r>
    </w:p>
    <w:p w:rsidR="006E3E94" w:rsidRDefault="006E3E94" w:rsidP="006E3E94">
      <w:pPr>
        <w:numPr>
          <w:ilvl w:val="0"/>
          <w:numId w:val="5"/>
        </w:numPr>
        <w:spacing w:before="100" w:beforeAutospacing="1" w:after="100" w:afterAutospacing="1" w:line="480" w:lineRule="auto"/>
        <w:jc w:val="both"/>
        <w:rPr>
          <w:rFonts w:eastAsia="Times New Roman" w:cs="Times New Roman"/>
          <w:szCs w:val="24"/>
        </w:rPr>
      </w:pPr>
      <w:r>
        <w:rPr>
          <w:rFonts w:eastAsia="Times New Roman" w:cs="Times New Roman"/>
          <w:bCs/>
          <w:szCs w:val="24"/>
        </w:rPr>
        <w:t>Weather Condition</w:t>
      </w:r>
      <w:r>
        <w:rPr>
          <w:rFonts w:eastAsia="Times New Roman" w:cs="Times New Roman"/>
          <w:szCs w:val="24"/>
        </w:rPr>
        <w:t>: Clear skies with direct sunlight.</w:t>
      </w:r>
    </w:p>
    <w:p w:rsidR="006E3E94" w:rsidRDefault="006E3E94" w:rsidP="006E3E94">
      <w:pPr>
        <w:numPr>
          <w:ilvl w:val="0"/>
          <w:numId w:val="5"/>
        </w:numPr>
        <w:spacing w:before="100" w:beforeAutospacing="1" w:after="100" w:afterAutospacing="1" w:line="480" w:lineRule="auto"/>
        <w:jc w:val="both"/>
        <w:rPr>
          <w:rFonts w:eastAsia="Times New Roman" w:cs="Times New Roman"/>
          <w:szCs w:val="24"/>
        </w:rPr>
      </w:pPr>
      <w:r>
        <w:rPr>
          <w:rFonts w:eastAsia="Times New Roman" w:cs="Times New Roman"/>
          <w:bCs/>
          <w:szCs w:val="24"/>
        </w:rPr>
        <w:t>Ambient Temperature</w:t>
      </w:r>
      <w:r>
        <w:rPr>
          <w:rFonts w:eastAsia="Times New Roman" w:cs="Times New Roman"/>
          <w:szCs w:val="24"/>
        </w:rPr>
        <w:t>: Ranged between 38°C and 42°C during the test.</w:t>
      </w:r>
    </w:p>
    <w:p w:rsidR="006E3E94" w:rsidRDefault="006E3E94" w:rsidP="006E3E94">
      <w:pPr>
        <w:spacing w:line="480" w:lineRule="auto"/>
        <w:jc w:val="both"/>
      </w:pPr>
      <w:r>
        <w:t>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of 30 minutes using a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6E3E94" w:rsidRDefault="006E3E94" w:rsidP="006E3E94">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Pr>
          <w:rStyle w:val="Strong"/>
          <w:rFonts w:ascii="Times New Roman" w:hAnsi="Times New Roman" w:cs="Times New Roman"/>
          <w:b w:val="0"/>
        </w:rPr>
        <w:t>Compressive Strength Test</w:t>
      </w:r>
    </w:p>
    <w:p w:rsidR="006E3E94" w:rsidRDefault="006E3E94" w:rsidP="006E3E94">
      <w:pPr>
        <w:pStyle w:val="NormalWeb"/>
        <w:numPr>
          <w:ilvl w:val="0"/>
          <w:numId w:val="6"/>
        </w:numPr>
        <w:spacing w:line="480" w:lineRule="auto"/>
        <w:jc w:val="both"/>
      </w:pPr>
      <w:r>
        <w:rPr>
          <w:rStyle w:val="Strong"/>
          <w:b w:val="0"/>
          <w:bCs w:val="0"/>
        </w:rPr>
        <w:t>Standard Code</w:t>
      </w:r>
      <w:r>
        <w:t>: ASTM C39 – The compressive strength test was conducted in accordance with the Standard Test Method for Compressive Strength of Cylindrical Concrete Specimens.</w:t>
      </w:r>
    </w:p>
    <w:p w:rsidR="006E3E94" w:rsidRDefault="006E3E94" w:rsidP="006E3E94">
      <w:pPr>
        <w:numPr>
          <w:ilvl w:val="0"/>
          <w:numId w:val="6"/>
        </w:numPr>
        <w:spacing w:before="100" w:beforeAutospacing="1" w:after="100" w:afterAutospacing="1" w:line="480" w:lineRule="auto"/>
        <w:jc w:val="both"/>
      </w:pPr>
      <w:r>
        <w:rPr>
          <w:rStyle w:val="Strong"/>
          <w:b w:val="0"/>
          <w:bCs w:val="0"/>
        </w:rPr>
        <w:t>Procedure</w:t>
      </w:r>
      <w:r>
        <w:t>: Cube samples (150 mm x 150 mm x 150 mm) of foam concrete was tested for compressive strength after 7, 14, and 28 days of curing.</w:t>
      </w:r>
    </w:p>
    <w:p w:rsidR="006E3E94" w:rsidRDefault="006E3E94" w:rsidP="006E3E94">
      <w:pPr>
        <w:numPr>
          <w:ilvl w:val="0"/>
          <w:numId w:val="6"/>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6E3E94" w:rsidRDefault="006E3E94" w:rsidP="006E3E94">
      <w:r>
        <w:br w:type="page"/>
      </w:r>
    </w:p>
    <w:p w:rsidR="006E3E94" w:rsidRDefault="006E3E94" w:rsidP="006E3E94">
      <w:pPr>
        <w:pStyle w:val="Heading1"/>
      </w:pPr>
      <w:bookmarkStart w:id="24" w:name="_Toc202864760"/>
      <w:r>
        <w:t>3.3.  Selected image of workplace moment</w:t>
      </w:r>
      <w:bookmarkEnd w:id="24"/>
    </w:p>
    <w:p w:rsidR="006E3E94" w:rsidRDefault="006E3E94" w:rsidP="006E3E94">
      <w:pPr>
        <w:rPr>
          <w:lang w:val="en-NG"/>
        </w:rPr>
      </w:pPr>
    </w:p>
    <w:tbl>
      <w:tblPr>
        <w:tblStyle w:val="TableGrid"/>
        <w:tblpPr w:leftFromText="180" w:rightFromText="180" w:vertAnchor="page" w:horzAnchor="margin" w:tblpXSpec="center" w:tblpY="186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2694"/>
        <w:gridCol w:w="3653"/>
      </w:tblGrid>
      <w:tr w:rsidR="006E3E94" w:rsidTr="006E3E94">
        <w:trPr>
          <w:trHeight w:val="2542"/>
        </w:trPr>
        <w:tc>
          <w:tcPr>
            <w:tcW w:w="2711" w:type="dxa"/>
          </w:tcPr>
          <w:p w:rsidR="006E3E94" w:rsidRDefault="006E3E94">
            <w:pPr>
              <w:spacing w:line="240" w:lineRule="auto"/>
              <w:jc w:val="center"/>
            </w:pPr>
            <w:r>
              <w:rPr>
                <w:noProof/>
                <w:lang w:val="x-none" w:eastAsia="x-none"/>
              </w:rPr>
              <w:drawing>
                <wp:inline distT="0" distB="0" distL="0" distR="0" wp14:anchorId="78CC221C" wp14:editId="4A4586D4">
                  <wp:extent cx="1438275" cy="1438275"/>
                  <wp:effectExtent l="0" t="0" r="9525" b="9525"/>
                  <wp:docPr id="5" name="Picture 5"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50619-WA0019"/>
                          <pic:cNvPicPr>
                            <a:picLocks noChangeAspect="1" noChangeArrowheads="1"/>
                          </pic:cNvPicPr>
                        </pic:nvPicPr>
                        <pic:blipFill>
                          <a:blip r:embed="rId11">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6E3E94" w:rsidRDefault="006E3E94">
            <w:pPr>
              <w:spacing w:line="240" w:lineRule="auto"/>
            </w:pPr>
          </w:p>
        </w:tc>
        <w:tc>
          <w:tcPr>
            <w:tcW w:w="2730" w:type="dxa"/>
            <w:hideMark/>
          </w:tcPr>
          <w:p w:rsidR="006E3E94" w:rsidRDefault="006E3E94">
            <w:pPr>
              <w:spacing w:line="240" w:lineRule="auto"/>
              <w:jc w:val="center"/>
            </w:pPr>
            <w:r>
              <w:rPr>
                <w:bCs/>
                <w:noProof/>
                <w:lang w:val="x-none" w:eastAsia="x-none"/>
              </w:rPr>
              <w:drawing>
                <wp:inline distT="0" distB="0" distL="0" distR="0" wp14:anchorId="68525A31" wp14:editId="3A5AE836">
                  <wp:extent cx="1466850" cy="1438275"/>
                  <wp:effectExtent l="0" t="0" r="0" b="9525"/>
                  <wp:docPr id="4" name="Picture 4" descr="IMG-20250619-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50619-WA0014"/>
                          <pic:cNvPicPr>
                            <a:picLocks noChangeAspect="1" noChangeArrowheads="1"/>
                          </pic:cNvPicPr>
                        </pic:nvPicPr>
                        <pic:blipFill>
                          <a:blip r:embed="rId12" cstate="print">
                            <a:extLst>
                              <a:ext uri="{28A0092B-C50C-407E-A947-70E740481C1C}">
                                <a14:useLocalDpi xmlns:a14="http://schemas.microsoft.com/office/drawing/2010/main" val="0"/>
                              </a:ext>
                            </a:extLst>
                          </a:blip>
                          <a:srcRect b="26732"/>
                          <a:stretch>
                            <a:fillRect/>
                          </a:stretch>
                        </pic:blipFill>
                        <pic:spPr bwMode="auto">
                          <a:xfrm>
                            <a:off x="0" y="0"/>
                            <a:ext cx="1466850" cy="1438275"/>
                          </a:xfrm>
                          <a:prstGeom prst="rect">
                            <a:avLst/>
                          </a:prstGeom>
                          <a:noFill/>
                          <a:ln>
                            <a:noFill/>
                          </a:ln>
                        </pic:spPr>
                      </pic:pic>
                    </a:graphicData>
                  </a:graphic>
                </wp:inline>
              </w:drawing>
            </w:r>
          </w:p>
        </w:tc>
        <w:tc>
          <w:tcPr>
            <w:tcW w:w="3696" w:type="dxa"/>
            <w:hideMark/>
          </w:tcPr>
          <w:p w:rsidR="006E3E94" w:rsidRDefault="006E3E94">
            <w:pPr>
              <w:spacing w:line="240" w:lineRule="auto"/>
              <w:jc w:val="center"/>
              <w:rPr>
                <w:noProof/>
              </w:rPr>
            </w:pPr>
            <w:r>
              <w:rPr>
                <w:noProof/>
                <w:lang w:val="x-none" w:eastAsia="x-none"/>
              </w:rPr>
              <w:drawing>
                <wp:inline distT="0" distB="0" distL="0" distR="0" wp14:anchorId="4C8B345C" wp14:editId="136497F9">
                  <wp:extent cx="1447800" cy="1438275"/>
                  <wp:effectExtent l="0" t="0" r="0" b="9525"/>
                  <wp:docPr id="3" name="Picture 3"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50619-WA0024"/>
                          <pic:cNvPicPr>
                            <a:picLocks noChangeAspect="1" noChangeArrowheads="1"/>
                          </pic:cNvPicPr>
                        </pic:nvPicPr>
                        <pic:blipFill>
                          <a:blip r:embed="rId13"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6E3E94" w:rsidTr="006E3E94">
        <w:trPr>
          <w:trHeight w:val="405"/>
        </w:trPr>
        <w:tc>
          <w:tcPr>
            <w:tcW w:w="2711" w:type="dxa"/>
            <w:hideMark/>
          </w:tcPr>
          <w:p w:rsidR="006E3E94" w:rsidRDefault="006E3E94">
            <w:pPr>
              <w:spacing w:line="240" w:lineRule="auto"/>
              <w:jc w:val="center"/>
              <w:rPr>
                <w:noProof/>
              </w:rPr>
            </w:pPr>
            <w:r>
              <w:rPr>
                <w:noProof/>
              </w:rPr>
              <w:t>(a)</w:t>
            </w:r>
          </w:p>
        </w:tc>
        <w:tc>
          <w:tcPr>
            <w:tcW w:w="2730" w:type="dxa"/>
            <w:hideMark/>
          </w:tcPr>
          <w:p w:rsidR="006E3E94" w:rsidRDefault="006E3E94">
            <w:pPr>
              <w:spacing w:line="240" w:lineRule="auto"/>
              <w:jc w:val="center"/>
              <w:rPr>
                <w:rStyle w:val="Strong"/>
                <w:b w:val="0"/>
                <w:lang w:eastAsia="x-none"/>
              </w:rPr>
            </w:pPr>
            <w:r>
              <w:rPr>
                <w:rStyle w:val="Strong"/>
                <w:b w:val="0"/>
                <w:noProof/>
                <w:lang w:eastAsia="x-none"/>
              </w:rPr>
              <w:t>(b)</w:t>
            </w:r>
          </w:p>
        </w:tc>
        <w:tc>
          <w:tcPr>
            <w:tcW w:w="3696" w:type="dxa"/>
            <w:hideMark/>
          </w:tcPr>
          <w:p w:rsidR="006E3E94" w:rsidRDefault="006E3E94">
            <w:pPr>
              <w:spacing w:line="240" w:lineRule="auto"/>
              <w:jc w:val="center"/>
            </w:pPr>
            <w:r>
              <w:rPr>
                <w:noProof/>
              </w:rPr>
              <w:t>(c)</w:t>
            </w:r>
          </w:p>
        </w:tc>
      </w:tr>
      <w:tr w:rsidR="006E3E94" w:rsidTr="006E3E94">
        <w:trPr>
          <w:trHeight w:val="2396"/>
        </w:trPr>
        <w:tc>
          <w:tcPr>
            <w:tcW w:w="2711" w:type="dxa"/>
            <w:hideMark/>
          </w:tcPr>
          <w:p w:rsidR="006E3E94" w:rsidRDefault="006E3E94">
            <w:pPr>
              <w:spacing w:line="240" w:lineRule="auto"/>
              <w:jc w:val="center"/>
            </w:pPr>
            <w:r>
              <w:rPr>
                <w:noProof/>
                <w:lang w:val="x-none" w:eastAsia="x-none"/>
              </w:rPr>
              <w:drawing>
                <wp:anchor distT="0" distB="0" distL="114300" distR="114300" simplePos="0" relativeHeight="251658240" behindDoc="1" locked="0" layoutInCell="1" allowOverlap="1">
                  <wp:simplePos x="0" y="0"/>
                  <wp:positionH relativeFrom="column">
                    <wp:posOffset>65405</wp:posOffset>
                  </wp:positionH>
                  <wp:positionV relativeFrom="paragraph">
                    <wp:posOffset>0</wp:posOffset>
                  </wp:positionV>
                  <wp:extent cx="1438275" cy="1362075"/>
                  <wp:effectExtent l="0" t="0" r="9525" b="9525"/>
                  <wp:wrapSquare wrapText="bothSides"/>
                  <wp:docPr id="14" name="Picture 1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9-WA0027"/>
                          <pic:cNvPicPr>
                            <a:picLocks noChangeAspect="1" noChangeArrowheads="1"/>
                          </pic:cNvPicPr>
                        </pic:nvPicPr>
                        <pic:blipFill>
                          <a:blip r:embed="rId14"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pic:spPr>
                      </pic:pic>
                    </a:graphicData>
                  </a:graphic>
                  <wp14:sizeRelH relativeFrom="page">
                    <wp14:pctWidth>0</wp14:pctWidth>
                  </wp14:sizeRelH>
                  <wp14:sizeRelV relativeFrom="page">
                    <wp14:pctHeight>0</wp14:pctHeight>
                  </wp14:sizeRelV>
                </wp:anchor>
              </w:drawing>
            </w:r>
          </w:p>
        </w:tc>
        <w:tc>
          <w:tcPr>
            <w:tcW w:w="2730" w:type="dxa"/>
            <w:hideMark/>
          </w:tcPr>
          <w:p w:rsidR="006E3E94" w:rsidRDefault="006E3E94">
            <w:pPr>
              <w:spacing w:line="240" w:lineRule="auto"/>
            </w:pPr>
            <w:r>
              <w:rPr>
                <w:noProof/>
                <w:lang w:val="x-none" w:eastAsia="x-none"/>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1440180" cy="1389380"/>
                  <wp:effectExtent l="0" t="0" r="762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10194" t="8669" r="11777" b="18697"/>
                          <a:stretch>
                            <a:fillRect/>
                          </a:stretch>
                        </pic:blipFill>
                        <pic:spPr bwMode="auto">
                          <a:xfrm>
                            <a:off x="0" y="0"/>
                            <a:ext cx="1440180" cy="1389380"/>
                          </a:xfrm>
                          <a:prstGeom prst="rect">
                            <a:avLst/>
                          </a:prstGeom>
                          <a:noFill/>
                        </pic:spPr>
                      </pic:pic>
                    </a:graphicData>
                  </a:graphic>
                  <wp14:sizeRelH relativeFrom="page">
                    <wp14:pctWidth>0</wp14:pctWidth>
                  </wp14:sizeRelH>
                  <wp14:sizeRelV relativeFrom="page">
                    <wp14:pctHeight>0</wp14:pctHeight>
                  </wp14:sizeRelV>
                </wp:anchor>
              </w:drawing>
            </w:r>
          </w:p>
        </w:tc>
        <w:tc>
          <w:tcPr>
            <w:tcW w:w="3696" w:type="dxa"/>
            <w:vMerge w:val="restart"/>
          </w:tcPr>
          <w:p w:rsidR="006E3E94" w:rsidRDefault="006E3E94">
            <w:pPr>
              <w:spacing w:line="240" w:lineRule="auto"/>
              <w:jc w:val="center"/>
              <w:rPr>
                <w:noProof/>
              </w:rPr>
            </w:pPr>
            <w:r>
              <w:rPr>
                <w:noProof/>
                <w:lang w:val="x-none" w:eastAsia="x-none"/>
              </w:rPr>
              <w:drawing>
                <wp:inline distT="0" distB="0" distL="0" distR="0" wp14:anchorId="1526EA2D" wp14:editId="10F2751A">
                  <wp:extent cx="2200275" cy="3086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3086100"/>
                          </a:xfrm>
                          <a:prstGeom prst="rect">
                            <a:avLst/>
                          </a:prstGeom>
                          <a:noFill/>
                          <a:ln>
                            <a:noFill/>
                          </a:ln>
                        </pic:spPr>
                      </pic:pic>
                    </a:graphicData>
                  </a:graphic>
                </wp:inline>
              </w:drawing>
            </w:r>
          </w:p>
          <w:p w:rsidR="006E3E94" w:rsidRDefault="006E3E94">
            <w:pPr>
              <w:spacing w:line="240" w:lineRule="auto"/>
            </w:pPr>
          </w:p>
          <w:p w:rsidR="006E3E94" w:rsidRDefault="006E3E94">
            <w:pPr>
              <w:spacing w:line="240" w:lineRule="auto"/>
              <w:jc w:val="center"/>
            </w:pPr>
            <w:r>
              <w:t>(g)</w:t>
            </w:r>
          </w:p>
        </w:tc>
      </w:tr>
      <w:tr w:rsidR="006E3E94" w:rsidTr="006E3E94">
        <w:trPr>
          <w:trHeight w:val="347"/>
        </w:trPr>
        <w:tc>
          <w:tcPr>
            <w:tcW w:w="2711" w:type="dxa"/>
            <w:hideMark/>
          </w:tcPr>
          <w:p w:rsidR="006E3E94" w:rsidRDefault="006E3E94">
            <w:pPr>
              <w:spacing w:line="240" w:lineRule="auto"/>
              <w:jc w:val="center"/>
              <w:rPr>
                <w:noProof/>
              </w:rPr>
            </w:pPr>
            <w:r>
              <w:rPr>
                <w:noProof/>
              </w:rPr>
              <w:t>(d)</w:t>
            </w:r>
          </w:p>
        </w:tc>
        <w:tc>
          <w:tcPr>
            <w:tcW w:w="2730" w:type="dxa"/>
            <w:hideMark/>
          </w:tcPr>
          <w:p w:rsidR="006E3E94" w:rsidRDefault="006E3E94">
            <w:pPr>
              <w:spacing w:line="240" w:lineRule="auto"/>
              <w:jc w:val="center"/>
            </w:pPr>
            <w:r>
              <w:t>(e)</w:t>
            </w:r>
          </w:p>
        </w:tc>
        <w:tc>
          <w:tcPr>
            <w:tcW w:w="0" w:type="auto"/>
            <w:vMerge/>
            <w:vAlign w:val="center"/>
            <w:hideMark/>
          </w:tcPr>
          <w:p w:rsidR="006E3E94" w:rsidRDefault="006E3E94">
            <w:pPr>
              <w:spacing w:line="240" w:lineRule="auto"/>
            </w:pPr>
          </w:p>
        </w:tc>
      </w:tr>
      <w:tr w:rsidR="006E3E94" w:rsidTr="006E3E94">
        <w:trPr>
          <w:trHeight w:val="2961"/>
        </w:trPr>
        <w:tc>
          <w:tcPr>
            <w:tcW w:w="5441" w:type="dxa"/>
            <w:gridSpan w:val="2"/>
            <w:hideMark/>
          </w:tcPr>
          <w:p w:rsidR="006E3E94" w:rsidRDefault="006E3E94">
            <w:pPr>
              <w:spacing w:line="240" w:lineRule="auto"/>
              <w:jc w:val="center"/>
            </w:pPr>
            <w:r>
              <w:rPr>
                <w:noProof/>
                <w:lang w:val="x-none" w:eastAsia="x-none"/>
              </w:rPr>
              <w:drawing>
                <wp:inline distT="0" distB="0" distL="0" distR="0" wp14:anchorId="40831520" wp14:editId="7FCE4CAE">
                  <wp:extent cx="331470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243" t="39047" b="13144"/>
                          <a:stretch>
                            <a:fillRect/>
                          </a:stretch>
                        </pic:blipFill>
                        <pic:spPr bwMode="auto">
                          <a:xfrm>
                            <a:off x="0" y="0"/>
                            <a:ext cx="3314700" cy="1466850"/>
                          </a:xfrm>
                          <a:prstGeom prst="rect">
                            <a:avLst/>
                          </a:prstGeom>
                          <a:noFill/>
                          <a:ln>
                            <a:noFill/>
                          </a:ln>
                        </pic:spPr>
                      </pic:pic>
                    </a:graphicData>
                  </a:graphic>
                </wp:inline>
              </w:drawing>
            </w:r>
          </w:p>
          <w:p w:rsidR="006E3E94" w:rsidRDefault="006E3E94">
            <w:pPr>
              <w:spacing w:line="240" w:lineRule="auto"/>
              <w:jc w:val="center"/>
            </w:pPr>
            <w:r>
              <w:t>(f)</w:t>
            </w:r>
          </w:p>
        </w:tc>
        <w:tc>
          <w:tcPr>
            <w:tcW w:w="0" w:type="auto"/>
            <w:vMerge/>
            <w:vAlign w:val="center"/>
            <w:hideMark/>
          </w:tcPr>
          <w:p w:rsidR="006E3E94" w:rsidRDefault="006E3E94">
            <w:pPr>
              <w:spacing w:line="240" w:lineRule="auto"/>
            </w:pPr>
          </w:p>
        </w:tc>
      </w:tr>
    </w:tbl>
    <w:p w:rsidR="00F46FB0" w:rsidRDefault="006E3E94">
      <w:r>
        <w:t>Fig. 3.4. Photographs (in alphabetical order from top left to bottom right) of the FC preparation, casting, curing and testing phases in cubic</w:t>
      </w:r>
      <w:bookmarkStart w:id="25" w:name="_GoBack"/>
      <w:bookmarkEnd w:id="25"/>
    </w:p>
    <w:sectPr w:rsidR="00F46F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6D66"/>
    <w:multiLevelType w:val="hybridMultilevel"/>
    <w:tmpl w:val="B5A29410"/>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 w15:restartNumberingAfterBreak="0">
    <w:nsid w:val="128072D1"/>
    <w:multiLevelType w:val="hybridMultilevel"/>
    <w:tmpl w:val="377C01CC"/>
    <w:lvl w:ilvl="0" w:tplc="0000001B">
      <w:start w:val="1"/>
      <w:numFmt w:val="lowerRoman"/>
      <w:lvlText w:val="%1."/>
      <w:lvlJc w:val="right"/>
      <w:pPr>
        <w:ind w:left="720" w:hanging="360"/>
      </w:pPr>
    </w:lvl>
    <w:lvl w:ilvl="1" w:tplc="00000019">
      <w:start w:val="1"/>
      <w:numFmt w:val="lowerLetter"/>
      <w:lvlText w:val="%2."/>
      <w:lvlJc w:val="left"/>
      <w:pPr>
        <w:ind w:left="1440" w:hanging="360"/>
      </w:pPr>
    </w:lvl>
    <w:lvl w:ilvl="2" w:tplc="0000001B">
      <w:start w:val="1"/>
      <w:numFmt w:val="lowerRoman"/>
      <w:lvlText w:val="%3."/>
      <w:lvlJc w:val="right"/>
      <w:pPr>
        <w:ind w:left="2160" w:hanging="180"/>
      </w:pPr>
    </w:lvl>
    <w:lvl w:ilvl="3" w:tplc="0000000F">
      <w:start w:val="1"/>
      <w:numFmt w:val="decimal"/>
      <w:lvlText w:val="%4."/>
      <w:lvlJc w:val="left"/>
      <w:pPr>
        <w:ind w:left="2880" w:hanging="360"/>
      </w:pPr>
    </w:lvl>
    <w:lvl w:ilvl="4" w:tplc="00000019">
      <w:start w:val="1"/>
      <w:numFmt w:val="lowerLetter"/>
      <w:lvlText w:val="%5."/>
      <w:lvlJc w:val="left"/>
      <w:pPr>
        <w:ind w:left="3600" w:hanging="360"/>
      </w:pPr>
    </w:lvl>
    <w:lvl w:ilvl="5" w:tplc="0000001B">
      <w:start w:val="1"/>
      <w:numFmt w:val="lowerRoman"/>
      <w:lvlText w:val="%6."/>
      <w:lvlJc w:val="right"/>
      <w:pPr>
        <w:ind w:left="4320" w:hanging="180"/>
      </w:pPr>
    </w:lvl>
    <w:lvl w:ilvl="6" w:tplc="0000000F">
      <w:start w:val="1"/>
      <w:numFmt w:val="decimal"/>
      <w:lvlText w:val="%7."/>
      <w:lvlJc w:val="left"/>
      <w:pPr>
        <w:ind w:left="5040" w:hanging="360"/>
      </w:pPr>
    </w:lvl>
    <w:lvl w:ilvl="7" w:tplc="00000019">
      <w:start w:val="1"/>
      <w:numFmt w:val="lowerLetter"/>
      <w:lvlText w:val="%8."/>
      <w:lvlJc w:val="left"/>
      <w:pPr>
        <w:ind w:left="5760" w:hanging="360"/>
      </w:pPr>
    </w:lvl>
    <w:lvl w:ilvl="8" w:tplc="0000001B">
      <w:start w:val="1"/>
      <w:numFmt w:val="lowerRoman"/>
      <w:lvlText w:val="%9."/>
      <w:lvlJc w:val="right"/>
      <w:pPr>
        <w:ind w:left="6480" w:hanging="180"/>
      </w:pPr>
    </w:lvl>
  </w:abstractNum>
  <w:abstractNum w:abstractNumId="2" w15:restartNumberingAfterBreak="0">
    <w:nsid w:val="2A0E173D"/>
    <w:multiLevelType w:val="hybridMultilevel"/>
    <w:tmpl w:val="8C7A979C"/>
    <w:lvl w:ilvl="0" w:tplc="00000019">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 w15:restartNumberingAfterBreak="0">
    <w:nsid w:val="3C276794"/>
    <w:multiLevelType w:val="multilevel"/>
    <w:tmpl w:val="A6988202"/>
    <w:lvl w:ilvl="0">
      <w:start w:val="1"/>
      <w:numFmt w:val="lowerRoman"/>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E82004"/>
    <w:multiLevelType w:val="hybridMultilevel"/>
    <w:tmpl w:val="D2767844"/>
    <w:lvl w:ilvl="0" w:tplc="0000001B">
      <w:start w:val="1"/>
      <w:numFmt w:val="lowerRoman"/>
      <w:lvlText w:val="%1."/>
      <w:lvlJc w:val="right"/>
      <w:pPr>
        <w:ind w:left="1080" w:hanging="360"/>
      </w:pPr>
    </w:lvl>
    <w:lvl w:ilvl="1" w:tplc="00000019">
      <w:start w:val="1"/>
      <w:numFmt w:val="lowerLetter"/>
      <w:lvlText w:val="%2."/>
      <w:lvlJc w:val="left"/>
      <w:pPr>
        <w:ind w:left="1800" w:hanging="360"/>
      </w:pPr>
    </w:lvl>
    <w:lvl w:ilvl="2" w:tplc="0000001B">
      <w:start w:val="1"/>
      <w:numFmt w:val="lowerRoman"/>
      <w:lvlText w:val="%3."/>
      <w:lvlJc w:val="right"/>
      <w:pPr>
        <w:ind w:left="2520" w:hanging="180"/>
      </w:pPr>
    </w:lvl>
    <w:lvl w:ilvl="3" w:tplc="0000000F">
      <w:start w:val="1"/>
      <w:numFmt w:val="decimal"/>
      <w:lvlText w:val="%4."/>
      <w:lvlJc w:val="left"/>
      <w:pPr>
        <w:ind w:left="3240" w:hanging="360"/>
      </w:pPr>
    </w:lvl>
    <w:lvl w:ilvl="4" w:tplc="00000019">
      <w:start w:val="1"/>
      <w:numFmt w:val="lowerLetter"/>
      <w:lvlText w:val="%5."/>
      <w:lvlJc w:val="left"/>
      <w:pPr>
        <w:ind w:left="3960" w:hanging="360"/>
      </w:pPr>
    </w:lvl>
    <w:lvl w:ilvl="5" w:tplc="0000001B">
      <w:start w:val="1"/>
      <w:numFmt w:val="lowerRoman"/>
      <w:lvlText w:val="%6."/>
      <w:lvlJc w:val="right"/>
      <w:pPr>
        <w:ind w:left="4680" w:hanging="180"/>
      </w:pPr>
    </w:lvl>
    <w:lvl w:ilvl="6" w:tplc="0000000F">
      <w:start w:val="1"/>
      <w:numFmt w:val="decimal"/>
      <w:lvlText w:val="%7."/>
      <w:lvlJc w:val="left"/>
      <w:pPr>
        <w:ind w:left="5400" w:hanging="360"/>
      </w:pPr>
    </w:lvl>
    <w:lvl w:ilvl="7" w:tplc="00000019">
      <w:start w:val="1"/>
      <w:numFmt w:val="lowerLetter"/>
      <w:lvlText w:val="%8."/>
      <w:lvlJc w:val="left"/>
      <w:pPr>
        <w:ind w:left="6120" w:hanging="360"/>
      </w:pPr>
    </w:lvl>
    <w:lvl w:ilvl="8" w:tplc="0000001B">
      <w:start w:val="1"/>
      <w:numFmt w:val="lowerRoman"/>
      <w:lvlText w:val="%9."/>
      <w:lvlJc w:val="right"/>
      <w:pPr>
        <w:ind w:left="6840" w:hanging="180"/>
      </w:pPr>
    </w:lvl>
  </w:abstractNum>
  <w:abstractNum w:abstractNumId="5" w15:restartNumberingAfterBreak="0">
    <w:nsid w:val="48FB18C8"/>
    <w:multiLevelType w:val="hybridMultilevel"/>
    <w:tmpl w:val="4CEECE58"/>
    <w:lvl w:ilvl="0" w:tplc="0000001B">
      <w:start w:val="1"/>
      <w:numFmt w:val="lowerRoman"/>
      <w:lvlText w:val="%1."/>
      <w:lvlJc w:val="right"/>
      <w:pPr>
        <w:ind w:left="720" w:hanging="360"/>
      </w:pPr>
    </w:lvl>
    <w:lvl w:ilvl="1" w:tplc="00000019">
      <w:start w:val="1"/>
      <w:numFmt w:val="lowerLetter"/>
      <w:lvlText w:val="%2."/>
      <w:lvlJc w:val="left"/>
      <w:pPr>
        <w:ind w:left="1440" w:hanging="360"/>
      </w:pPr>
    </w:lvl>
    <w:lvl w:ilvl="2" w:tplc="0000001B">
      <w:start w:val="1"/>
      <w:numFmt w:val="lowerRoman"/>
      <w:lvlText w:val="%3."/>
      <w:lvlJc w:val="right"/>
      <w:pPr>
        <w:ind w:left="2160" w:hanging="180"/>
      </w:pPr>
    </w:lvl>
    <w:lvl w:ilvl="3" w:tplc="0000000F">
      <w:start w:val="1"/>
      <w:numFmt w:val="decimal"/>
      <w:lvlText w:val="%4."/>
      <w:lvlJc w:val="left"/>
      <w:pPr>
        <w:ind w:left="2880" w:hanging="360"/>
      </w:pPr>
    </w:lvl>
    <w:lvl w:ilvl="4" w:tplc="00000019">
      <w:start w:val="1"/>
      <w:numFmt w:val="lowerLetter"/>
      <w:lvlText w:val="%5."/>
      <w:lvlJc w:val="left"/>
      <w:pPr>
        <w:ind w:left="3600" w:hanging="360"/>
      </w:pPr>
    </w:lvl>
    <w:lvl w:ilvl="5" w:tplc="0000001B">
      <w:start w:val="1"/>
      <w:numFmt w:val="lowerRoman"/>
      <w:lvlText w:val="%6."/>
      <w:lvlJc w:val="right"/>
      <w:pPr>
        <w:ind w:left="4320" w:hanging="180"/>
      </w:pPr>
    </w:lvl>
    <w:lvl w:ilvl="6" w:tplc="0000000F">
      <w:start w:val="1"/>
      <w:numFmt w:val="decimal"/>
      <w:lvlText w:val="%7."/>
      <w:lvlJc w:val="left"/>
      <w:pPr>
        <w:ind w:left="5040" w:hanging="360"/>
      </w:pPr>
    </w:lvl>
    <w:lvl w:ilvl="7" w:tplc="00000019">
      <w:start w:val="1"/>
      <w:numFmt w:val="lowerLetter"/>
      <w:lvlText w:val="%8."/>
      <w:lvlJc w:val="left"/>
      <w:pPr>
        <w:ind w:left="5760" w:hanging="360"/>
      </w:pPr>
    </w:lvl>
    <w:lvl w:ilvl="8" w:tplc="0000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E94"/>
    <w:rsid w:val="00090785"/>
    <w:rsid w:val="006E3E94"/>
    <w:rsid w:val="007178E8"/>
    <w:rsid w:val="009030FF"/>
    <w:rsid w:val="00F46FB0"/>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3C435D-4EB7-4BE7-87D1-97662A06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E3E94"/>
    <w:pPr>
      <w:spacing w:line="256" w:lineRule="auto"/>
    </w:pPr>
    <w:rPr>
      <w:rFonts w:ascii="Times New Roman" w:hAnsi="Times New Roman"/>
      <w:sz w:val="24"/>
      <w:lang w:val="en-US"/>
    </w:rPr>
  </w:style>
  <w:style w:type="paragraph" w:styleId="Heading1">
    <w:name w:val="heading 1"/>
    <w:basedOn w:val="Normal"/>
    <w:next w:val="Normal"/>
    <w:link w:val="Heading1Char"/>
    <w:uiPriority w:val="9"/>
    <w:qFormat/>
    <w:rsid w:val="006E3E94"/>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semiHidden/>
    <w:unhideWhenUsed/>
    <w:qFormat/>
    <w:rsid w:val="006E3E94"/>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semiHidden/>
    <w:unhideWhenUsed/>
    <w:qFormat/>
    <w:rsid w:val="006E3E94"/>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semiHidden/>
    <w:unhideWhenUsed/>
    <w:qFormat/>
    <w:rsid w:val="006E3E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E94"/>
    <w:rPr>
      <w:rFonts w:ascii="Times New Roman" w:eastAsiaTheme="majorEastAsia" w:hAnsi="Times New Roman" w:cstheme="majorBidi"/>
      <w:color w:val="2E74B5" w:themeColor="accent1" w:themeShade="BF"/>
      <w:sz w:val="24"/>
      <w:szCs w:val="32"/>
      <w:lang w:val="en-US"/>
    </w:rPr>
  </w:style>
  <w:style w:type="character" w:customStyle="1" w:styleId="Heading2Char">
    <w:name w:val="Heading 2 Char"/>
    <w:basedOn w:val="DefaultParagraphFont"/>
    <w:link w:val="Heading2"/>
    <w:uiPriority w:val="9"/>
    <w:semiHidden/>
    <w:rsid w:val="006E3E94"/>
    <w:rPr>
      <w:rFonts w:ascii="Times New Roman" w:eastAsiaTheme="majorEastAsia" w:hAnsi="Times New Roman" w:cstheme="majorBidi"/>
      <w:i/>
      <w:color w:val="2E74B5" w:themeColor="accent1" w:themeShade="BF"/>
      <w:sz w:val="24"/>
      <w:szCs w:val="26"/>
      <w:lang w:val="en-US"/>
    </w:rPr>
  </w:style>
  <w:style w:type="character" w:customStyle="1" w:styleId="Heading3Char">
    <w:name w:val="Heading 3 Char"/>
    <w:basedOn w:val="DefaultParagraphFont"/>
    <w:link w:val="Heading3"/>
    <w:uiPriority w:val="9"/>
    <w:semiHidden/>
    <w:rsid w:val="006E3E94"/>
    <w:rPr>
      <w:rFonts w:ascii="Times New Roman" w:eastAsiaTheme="majorEastAsia" w:hAnsi="Times New Roman" w:cstheme="majorBidi"/>
      <w: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6E3E94"/>
    <w:rPr>
      <w:rFonts w:asciiTheme="majorHAnsi" w:eastAsiaTheme="majorEastAsia" w:hAnsiTheme="majorHAnsi" w:cstheme="majorBidi"/>
      <w:i/>
      <w:iCs/>
      <w:color w:val="2E74B5" w:themeColor="accent1" w:themeShade="BF"/>
      <w:sz w:val="24"/>
      <w:lang w:val="en-US"/>
    </w:rPr>
  </w:style>
  <w:style w:type="paragraph" w:styleId="NormalWeb">
    <w:name w:val="Normal (Web)"/>
    <w:basedOn w:val="Normal"/>
    <w:uiPriority w:val="99"/>
    <w:semiHidden/>
    <w:unhideWhenUsed/>
    <w:rsid w:val="006E3E94"/>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6E3E94"/>
    <w:pPr>
      <w:ind w:left="720"/>
      <w:contextualSpacing/>
    </w:pPr>
  </w:style>
  <w:style w:type="character" w:customStyle="1" w:styleId="katex-mathml">
    <w:name w:val="katex-mathml"/>
    <w:basedOn w:val="DefaultParagraphFont"/>
    <w:rsid w:val="006E3E94"/>
  </w:style>
  <w:style w:type="character" w:customStyle="1" w:styleId="vlist-s">
    <w:name w:val="vlist-s"/>
    <w:basedOn w:val="DefaultParagraphFont"/>
    <w:rsid w:val="006E3E94"/>
  </w:style>
  <w:style w:type="table" w:styleId="TableGrid">
    <w:name w:val="Table Grid"/>
    <w:basedOn w:val="TableNormal"/>
    <w:uiPriority w:val="39"/>
    <w:rsid w:val="006E3E94"/>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3E94"/>
    <w:pPr>
      <w:spacing w:after="0" w:line="240" w:lineRule="auto"/>
    </w:pPr>
    <w:rPr>
      <w:lang w:val="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6E3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78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1415</Words>
  <Characters>8066</Characters>
  <Application>Microsoft Office Word</Application>
  <DocSecurity>0</DocSecurity>
  <Lines>67</Lines>
  <Paragraphs>18</Paragraphs>
  <ScaleCrop>false</ScaleCrop>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1</cp:revision>
  <dcterms:created xsi:type="dcterms:W3CDTF">2025-07-11T07:17:00Z</dcterms:created>
  <dcterms:modified xsi:type="dcterms:W3CDTF">2025-07-11T07:20:00Z</dcterms:modified>
</cp:coreProperties>
</file>