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575A" w14:textId="77777777" w:rsidR="00592D37" w:rsidRPr="007C226C" w:rsidRDefault="00592D37"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b/>
          <w:sz w:val="26"/>
          <w:szCs w:val="26"/>
        </w:rPr>
        <w:t>CHAPTER FIVE</w:t>
      </w:r>
    </w:p>
    <w:p w14:paraId="38D1D5BD" w14:textId="77777777" w:rsidR="00592D37" w:rsidRPr="007C226C" w:rsidRDefault="00592D37"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b/>
          <w:sz w:val="26"/>
          <w:szCs w:val="26"/>
        </w:rPr>
        <w:t>CONCLUSION, AND RECOMMENDATIONS</w:t>
      </w:r>
    </w:p>
    <w:p w14:paraId="6501766B" w14:textId="77777777" w:rsidR="00073D8B"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7C226C">
        <w:rPr>
          <w:rFonts w:ascii="Times New Roman" w:hAnsi="Times New Roman" w:cs="Times New Roman"/>
          <w:b/>
          <w:sz w:val="26"/>
          <w:szCs w:val="26"/>
        </w:rPr>
        <w:t>CONCLUSION</w:t>
      </w:r>
    </w:p>
    <w:p w14:paraId="0428E102" w14:textId="77777777" w:rsid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2F4CC00D" w14:textId="77777777" w:rsidR="00073D8B" w:rsidRPr="007C226C" w:rsidRDefault="00073D8B" w:rsidP="007C226C">
      <w:pPr>
        <w:pStyle w:val="NoSpacing"/>
        <w:spacing w:line="360" w:lineRule="auto"/>
        <w:ind w:firstLine="720"/>
        <w:jc w:val="both"/>
        <w:rPr>
          <w:rFonts w:ascii="Times New Roman" w:hAnsi="Times New Roman" w:cs="Times New Roman"/>
          <w:sz w:val="26"/>
          <w:szCs w:val="26"/>
        </w:rPr>
      </w:pPr>
      <w:r w:rsidRPr="007C226C">
        <w:rPr>
          <w:rFonts w:ascii="Times New Roman" w:hAnsi="Times New Roman" w:cs="Times New Roman"/>
          <w:sz w:val="26"/>
          <w:szCs w:val="26"/>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2E7080A6"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Accurate Measurement:Reliable capture of voltage, current, and power consumption data via precision analog sensors.</w:t>
      </w:r>
    </w:p>
    <w:p w14:paraId="2D04368C"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Robust Data Transmission: Consistent and reliable transfer of sensor data to the Firebase cloud platform using Wi-Fi connectivity.</w:t>
      </w:r>
    </w:p>
    <w:p w14:paraId="15AD7553"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Effective User Interface:Real-time visualization and access to energy usage data through the Android application, complemented by local display via an LCD module.</w:t>
      </w:r>
    </w:p>
    <w:p w14:paraId="3A7AAA2C"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Functional Control:Optional integration of relay control for load management.</w:t>
      </w:r>
    </w:p>
    <w:p w14:paraId="0EDF3C98" w14:textId="77777777" w:rsidR="00073D8B" w:rsidRPr="007C226C" w:rsidRDefault="00073D8B" w:rsidP="007C226C">
      <w:pPr>
        <w:pStyle w:val="NoSpacing"/>
        <w:numPr>
          <w:ilvl w:val="0"/>
          <w:numId w:val="7"/>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Overall Performance:Satisfactory results in terms of accuracy, reliability, response time, and user interaction.</w:t>
      </w:r>
    </w:p>
    <w:p w14:paraId="25244832" w14:textId="77777777" w:rsidR="00073D8B"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7BF269BF" w14:textId="77777777" w:rsidR="007C226C" w:rsidRPr="007C226C" w:rsidRDefault="00073D8B" w:rsidP="007C226C">
      <w:pPr>
        <w:pStyle w:val="NoSpacing"/>
        <w:spacing w:line="360" w:lineRule="auto"/>
        <w:ind w:firstLine="360"/>
        <w:jc w:val="both"/>
        <w:rPr>
          <w:rFonts w:ascii="Times New Roman" w:hAnsi="Times New Roman" w:cs="Times New Roman"/>
          <w:sz w:val="26"/>
          <w:szCs w:val="26"/>
        </w:rPr>
      </w:pPr>
      <w:r w:rsidRPr="007C226C">
        <w:rPr>
          <w:rFonts w:ascii="Times New Roman" w:hAnsi="Times New Roman" w:cs="Times New Roman"/>
          <w:sz w:val="26"/>
          <w:szCs w:val="26"/>
        </w:rPr>
        <w:t>Ultimately, this work provides a tangible application of embedded systems and IoT frameworks to address real-world energy management needs. It aligns with broader global initiatives promoting smart grid technologies and sustainable energy practices.</w:t>
      </w:r>
    </w:p>
    <w:p w14:paraId="1DCFBE73" w14:textId="77777777" w:rsidR="00592D37" w:rsidRPr="007C226C" w:rsidRDefault="007C226C" w:rsidP="007C226C">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7C226C">
        <w:rPr>
          <w:rFonts w:ascii="Times New Roman" w:hAnsi="Times New Roman" w:cs="Times New Roman"/>
          <w:b/>
          <w:sz w:val="26"/>
          <w:szCs w:val="26"/>
        </w:rPr>
        <w:t>RECOMMENDATIONS</w:t>
      </w:r>
    </w:p>
    <w:p w14:paraId="45C9F135" w14:textId="77777777" w:rsidR="00592D37" w:rsidRPr="007C226C" w:rsidRDefault="00592D37" w:rsidP="007C226C">
      <w:pPr>
        <w:pStyle w:val="NoSpacing"/>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Based on the observations, limitations, and opportunities identified during this project, the following recommendations are proposed for future improvements and practical deployment:</w:t>
      </w:r>
    </w:p>
    <w:p w14:paraId="6F375744"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Hardware Enhancement</w:t>
      </w:r>
    </w:p>
    <w:p w14:paraId="391BC3D0"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inclusion of non-invasive current sensors (e.g., SCT-013) is recommended to eliminate the need to cut or reroute AC lines, thus improving safety.</w:t>
      </w:r>
    </w:p>
    <w:p w14:paraId="7933E2FE"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Implementation of a dedicated power management unit (PMU) with backup battery support can ensure continuous data logging during power outages.</w:t>
      </w:r>
    </w:p>
    <w:p w14:paraId="569821B5" w14:textId="77777777" w:rsidR="00592D37" w:rsidRPr="007C226C" w:rsidRDefault="00592D37" w:rsidP="007C226C">
      <w:pPr>
        <w:pStyle w:val="NoSpacing"/>
        <w:numPr>
          <w:ilvl w:val="0"/>
          <w:numId w:val="9"/>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Future iterations should include optical isolation for the AC measurement side to improve safety during high-voltage interfacing.</w:t>
      </w:r>
    </w:p>
    <w:p w14:paraId="25520B20"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Software Optimization</w:t>
      </w:r>
    </w:p>
    <w:p w14:paraId="57819374"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firmware can be enhanced to include interrupt-based sampling to reduce unnecessary delay cycles and optimize system responsiveness.</w:t>
      </w:r>
    </w:p>
    <w:p w14:paraId="2102B843"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Use of secure communication protocols such as HTTPS or MQTT over SSL/TLS is recommended for data privacy and integrity.</w:t>
      </w:r>
    </w:p>
    <w:p w14:paraId="0063A422" w14:textId="77777777" w:rsidR="00592D37" w:rsidRPr="007C226C" w:rsidRDefault="00592D37" w:rsidP="007C226C">
      <w:pPr>
        <w:pStyle w:val="NoSpacing"/>
        <w:numPr>
          <w:ilvl w:val="0"/>
          <w:numId w:val="10"/>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Integration with cloud analytics platforms such as Google Cloud, AWS IoT Core, or Azure IoT Hub can support advanced data visualization and predictive analytics.</w:t>
      </w:r>
    </w:p>
    <w:p w14:paraId="099C4BE6"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Android Application Improvement</w:t>
      </w:r>
    </w:p>
    <w:p w14:paraId="4C187C17"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The Android application can be extended to allow user authentication, multiple user roles, and multi-device synchronization.</w:t>
      </w:r>
    </w:p>
    <w:p w14:paraId="625D55C9"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Historical data visualization through interactive charts and downloadable reports should be introduced.</w:t>
      </w:r>
    </w:p>
    <w:p w14:paraId="31B0EFF7" w14:textId="77777777" w:rsidR="00592D37" w:rsidRPr="007C226C" w:rsidRDefault="00592D37" w:rsidP="007C226C">
      <w:pPr>
        <w:pStyle w:val="NoSpacing"/>
        <w:numPr>
          <w:ilvl w:val="0"/>
          <w:numId w:val="11"/>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Push notifications can be configured to alert users when consumption exceeds a specified threshold.</w:t>
      </w:r>
    </w:p>
    <w:p w14:paraId="6BF29871" w14:textId="77777777" w:rsidR="00592D37" w:rsidRPr="007C226C" w:rsidRDefault="00592D37" w:rsidP="007C226C">
      <w:pPr>
        <w:pStyle w:val="NoSpacing"/>
        <w:numPr>
          <w:ilvl w:val="0"/>
          <w:numId w:val="8"/>
        </w:numPr>
        <w:spacing w:line="360" w:lineRule="auto"/>
        <w:jc w:val="both"/>
        <w:rPr>
          <w:rFonts w:ascii="Times New Roman" w:hAnsi="Times New Roman" w:cs="Times New Roman"/>
          <w:b/>
          <w:sz w:val="26"/>
          <w:szCs w:val="26"/>
        </w:rPr>
      </w:pPr>
      <w:r w:rsidRPr="007C226C">
        <w:rPr>
          <w:rFonts w:ascii="Times New Roman" w:hAnsi="Times New Roman" w:cs="Times New Roman"/>
          <w:b/>
          <w:sz w:val="26"/>
          <w:szCs w:val="26"/>
        </w:rPr>
        <w:t>Real-world Deployment Consideration</w:t>
      </w:r>
    </w:p>
    <w:p w14:paraId="54CF0C5A"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For field deployment, weatherproof casing and surge protection components are necessary to protect against environmental and electrical disturbances.</w:t>
      </w:r>
    </w:p>
    <w:p w14:paraId="2619C8B7"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Calibration against utility-standard meters must be periodically conducted to ensure measurement conformity.</w:t>
      </w:r>
    </w:p>
    <w:p w14:paraId="4635DD29" w14:textId="77777777" w:rsidR="00592D37" w:rsidRPr="007C226C" w:rsidRDefault="00592D37" w:rsidP="007C226C">
      <w:pPr>
        <w:pStyle w:val="NoSpacing"/>
        <w:numPr>
          <w:ilvl w:val="0"/>
          <w:numId w:val="12"/>
        </w:numPr>
        <w:spacing w:line="360" w:lineRule="auto"/>
        <w:jc w:val="both"/>
        <w:rPr>
          <w:rFonts w:ascii="Times New Roman" w:hAnsi="Times New Roman" w:cs="Times New Roman"/>
          <w:sz w:val="26"/>
          <w:szCs w:val="26"/>
        </w:rPr>
      </w:pPr>
      <w:r w:rsidRPr="007C226C">
        <w:rPr>
          <w:rFonts w:ascii="Times New Roman" w:hAnsi="Times New Roman" w:cs="Times New Roman"/>
          <w:sz w:val="26"/>
          <w:szCs w:val="26"/>
        </w:rPr>
        <w:t>A mobile data module (e.g., GSM with SIM800L) can be incorporated for environments where Wi-Fi is unavailable.</w:t>
      </w:r>
    </w:p>
    <w:p w14:paraId="1B724F14" w14:textId="77777777" w:rsidR="0058065D" w:rsidRPr="007C226C" w:rsidRDefault="0058065D" w:rsidP="007C226C">
      <w:pPr>
        <w:pStyle w:val="NoSpacing"/>
        <w:spacing w:line="360" w:lineRule="auto"/>
        <w:jc w:val="both"/>
        <w:rPr>
          <w:rFonts w:ascii="Times New Roman" w:hAnsi="Times New Roman" w:cs="Times New Roman"/>
          <w:sz w:val="26"/>
          <w:szCs w:val="26"/>
        </w:rPr>
      </w:pPr>
    </w:p>
    <w:p w14:paraId="0B507C4C" w14:textId="77777777" w:rsidR="00C2020A" w:rsidRPr="007C226C" w:rsidRDefault="0058065D" w:rsidP="007C226C">
      <w:pPr>
        <w:pStyle w:val="NoSpacing"/>
        <w:spacing w:line="360" w:lineRule="auto"/>
        <w:jc w:val="center"/>
        <w:rPr>
          <w:rFonts w:ascii="Times New Roman" w:hAnsi="Times New Roman" w:cs="Times New Roman"/>
          <w:b/>
          <w:sz w:val="26"/>
          <w:szCs w:val="26"/>
        </w:rPr>
      </w:pPr>
      <w:r w:rsidRPr="007C226C">
        <w:rPr>
          <w:rFonts w:ascii="Times New Roman" w:hAnsi="Times New Roman" w:cs="Times New Roman"/>
          <w:sz w:val="26"/>
          <w:szCs w:val="26"/>
        </w:rPr>
        <w:br w:type="page"/>
      </w:r>
      <w:r w:rsidR="00C2020A" w:rsidRPr="007C226C">
        <w:rPr>
          <w:rFonts w:ascii="Times New Roman" w:hAnsi="Times New Roman" w:cs="Times New Roman"/>
          <w:b/>
          <w:sz w:val="26"/>
          <w:szCs w:val="26"/>
        </w:rPr>
        <w:t>REFERENCES</w:t>
      </w:r>
    </w:p>
    <w:p w14:paraId="29BD34C5"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Al-Fuqaha, A., Guizani, M., Mohammadi, M., Aledhari, M., &amp;Ayyash, M. (2015). Internet of Things: A survey on enabling technologies, protocols, and applications. </w:t>
      </w:r>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xml:space="preserve">, 17(4), 2347–2376. </w:t>
      </w:r>
      <w:hyperlink r:id="rId5" w:history="1">
        <w:r w:rsidRPr="007C226C">
          <w:rPr>
            <w:rStyle w:val="Hyperlink"/>
            <w:rFonts w:ascii="Times New Roman" w:hAnsi="Times New Roman" w:cs="Times New Roman"/>
            <w:sz w:val="26"/>
            <w:szCs w:val="26"/>
          </w:rPr>
          <w:t>https://doi.org/10.1109/COMST.2015.2444095</w:t>
        </w:r>
      </w:hyperlink>
    </w:p>
    <w:p w14:paraId="5A9E3624"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Alahakoon, D., &amp; Yu, X. (2016). Smart electricity meter data intelligence for future energy systems: A survey.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12(1), 425–436. </w:t>
      </w:r>
      <w:hyperlink r:id="rId6" w:history="1">
        <w:r w:rsidRPr="007C226C">
          <w:rPr>
            <w:rStyle w:val="Hyperlink"/>
            <w:rFonts w:ascii="Times New Roman" w:hAnsi="Times New Roman" w:cs="Times New Roman"/>
            <w:sz w:val="26"/>
            <w:szCs w:val="26"/>
          </w:rPr>
          <w:t>https://doi.org/10.1109/TII.2015.2414355</w:t>
        </w:r>
      </w:hyperlink>
    </w:p>
    <w:p w14:paraId="028FF559"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Botta, A., de Donato, W., Persico, V., &amp;Pescapé, A. (2016). Integration of cloud computing and Internet of Things: A survey. </w:t>
      </w:r>
      <w:r w:rsidRPr="007C226C">
        <w:rPr>
          <w:rStyle w:val="Emphasis"/>
          <w:rFonts w:ascii="Times New Roman" w:hAnsi="Times New Roman" w:cs="Times New Roman"/>
          <w:sz w:val="26"/>
          <w:szCs w:val="26"/>
        </w:rPr>
        <w:t>Future Generation Computer Systems</w:t>
      </w:r>
      <w:r w:rsidRPr="007C226C">
        <w:rPr>
          <w:rFonts w:ascii="Times New Roman" w:hAnsi="Times New Roman" w:cs="Times New Roman"/>
          <w:sz w:val="26"/>
          <w:szCs w:val="26"/>
        </w:rPr>
        <w:t xml:space="preserve">, 56, 684–700. </w:t>
      </w:r>
      <w:hyperlink r:id="rId7" w:history="1">
        <w:r w:rsidRPr="007C226C">
          <w:rPr>
            <w:rStyle w:val="Hyperlink"/>
            <w:rFonts w:ascii="Times New Roman" w:hAnsi="Times New Roman" w:cs="Times New Roman"/>
            <w:sz w:val="26"/>
            <w:szCs w:val="26"/>
          </w:rPr>
          <w:t>https://doi.org/10.1016/j.future.2015.09.021</w:t>
        </w:r>
      </w:hyperlink>
    </w:p>
    <w:p w14:paraId="67C40AE1"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Depuru, S. S. S. R., Wang, L., &amp;Devabhaktuni, V. (2011). Smart meters for power grid: Challenges, issues, advantages and status. </w:t>
      </w:r>
      <w:r w:rsidRPr="007C226C">
        <w:rPr>
          <w:rStyle w:val="Emphasis"/>
          <w:rFonts w:ascii="Times New Roman" w:hAnsi="Times New Roman" w:cs="Times New Roman"/>
          <w:sz w:val="26"/>
          <w:szCs w:val="26"/>
        </w:rPr>
        <w:t>Renewable and Sustainable Energy Reviews</w:t>
      </w:r>
      <w:r w:rsidRPr="007C226C">
        <w:rPr>
          <w:rFonts w:ascii="Times New Roman" w:hAnsi="Times New Roman" w:cs="Times New Roman"/>
          <w:sz w:val="26"/>
          <w:szCs w:val="26"/>
        </w:rPr>
        <w:t xml:space="preserve">, 15(6), 2736–2742. </w:t>
      </w:r>
      <w:hyperlink r:id="rId8" w:history="1">
        <w:r w:rsidRPr="007C226C">
          <w:rPr>
            <w:rStyle w:val="Hyperlink"/>
            <w:rFonts w:ascii="Times New Roman" w:hAnsi="Times New Roman" w:cs="Times New Roman"/>
            <w:sz w:val="26"/>
            <w:szCs w:val="26"/>
          </w:rPr>
          <w:t>https://doi.org/10.1016/j.rser.2011.02.039</w:t>
        </w:r>
      </w:hyperlink>
    </w:p>
    <w:p w14:paraId="66E258B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Fang, X., Misra, S., Xue, G., &amp; Yang, D. (2012). Smart grid—The new and improved power grid: A survey. </w:t>
      </w:r>
      <w:r w:rsidRPr="007C226C">
        <w:rPr>
          <w:rStyle w:val="Emphasis"/>
          <w:rFonts w:ascii="Times New Roman" w:hAnsi="Times New Roman" w:cs="Times New Roman"/>
          <w:sz w:val="26"/>
          <w:szCs w:val="26"/>
        </w:rPr>
        <w:t>IEEE Communications Surveys &amp; Tutorials</w:t>
      </w:r>
      <w:r w:rsidRPr="007C226C">
        <w:rPr>
          <w:rFonts w:ascii="Times New Roman" w:hAnsi="Times New Roman" w:cs="Times New Roman"/>
          <w:sz w:val="26"/>
          <w:szCs w:val="26"/>
        </w:rPr>
        <w:t xml:space="preserve">, 14(4), 944–980. </w:t>
      </w:r>
      <w:hyperlink r:id="rId9" w:history="1">
        <w:r w:rsidRPr="007C226C">
          <w:rPr>
            <w:rStyle w:val="Hyperlink"/>
            <w:rFonts w:ascii="Times New Roman" w:hAnsi="Times New Roman" w:cs="Times New Roman"/>
            <w:sz w:val="26"/>
            <w:szCs w:val="26"/>
          </w:rPr>
          <w:t>https://doi.org/10.1109/SURV.2011.101911.00087</w:t>
        </w:r>
      </w:hyperlink>
    </w:p>
    <w:p w14:paraId="14735D4C"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Gungor, V. C., Sahin, D., Kocak, T., Ergut, S., Buccella, C., Cecati, C., &amp;Hancke, G. P. (2011). Smart grid technologies: Communication technologies and standards. </w:t>
      </w:r>
      <w:r w:rsidRPr="007C226C">
        <w:rPr>
          <w:rStyle w:val="Emphasis"/>
          <w:rFonts w:ascii="Times New Roman" w:hAnsi="Times New Roman" w:cs="Times New Roman"/>
          <w:sz w:val="26"/>
          <w:szCs w:val="26"/>
        </w:rPr>
        <w:t>IEEE Transactions on Industrial Informatics</w:t>
      </w:r>
      <w:r w:rsidRPr="007C226C">
        <w:rPr>
          <w:rFonts w:ascii="Times New Roman" w:hAnsi="Times New Roman" w:cs="Times New Roman"/>
          <w:sz w:val="26"/>
          <w:szCs w:val="26"/>
        </w:rPr>
        <w:t xml:space="preserve">, 7(4), 529–539. </w:t>
      </w:r>
      <w:hyperlink r:id="rId10" w:history="1">
        <w:r w:rsidRPr="007C226C">
          <w:rPr>
            <w:rStyle w:val="Hyperlink"/>
            <w:rFonts w:ascii="Times New Roman" w:hAnsi="Times New Roman" w:cs="Times New Roman"/>
            <w:sz w:val="26"/>
            <w:szCs w:val="26"/>
          </w:rPr>
          <w:t>https://doi.org/10.1109/TII.2011.2166794</w:t>
        </w:r>
      </w:hyperlink>
    </w:p>
    <w:p w14:paraId="28CEF225"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Jain, S., &amp;Bagree, R. (2011). Remote electricity monitoring using wireless sensors. </w:t>
      </w:r>
      <w:r w:rsidRPr="007C226C">
        <w:rPr>
          <w:rStyle w:val="Emphasis"/>
          <w:rFonts w:ascii="Times New Roman" w:hAnsi="Times New Roman" w:cs="Times New Roman"/>
          <w:sz w:val="26"/>
          <w:szCs w:val="26"/>
        </w:rPr>
        <w:t>International Journal of Engineering, Science and Technology</w:t>
      </w:r>
      <w:r w:rsidRPr="007C226C">
        <w:rPr>
          <w:rFonts w:ascii="Times New Roman" w:hAnsi="Times New Roman" w:cs="Times New Roman"/>
          <w:sz w:val="26"/>
          <w:szCs w:val="26"/>
        </w:rPr>
        <w:t xml:space="preserve">, 3(3), 264–270. </w:t>
      </w:r>
      <w:hyperlink r:id="rId11" w:history="1">
        <w:r w:rsidRPr="007C226C">
          <w:rPr>
            <w:rStyle w:val="Hyperlink"/>
            <w:rFonts w:ascii="Times New Roman" w:hAnsi="Times New Roman" w:cs="Times New Roman"/>
            <w:sz w:val="26"/>
            <w:szCs w:val="26"/>
          </w:rPr>
          <w:t>https://doi.org/10.4314/ijest.v3i3.68497</w:t>
        </w:r>
      </w:hyperlink>
    </w:p>
    <w:p w14:paraId="262C3E80"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Kalra, A., &amp; Saini, S. (2018). Smart energy meter using IoT. </w:t>
      </w:r>
      <w:r w:rsidRPr="007C226C">
        <w:rPr>
          <w:rStyle w:val="Emphasis"/>
          <w:rFonts w:ascii="Times New Roman" w:hAnsi="Times New Roman" w:cs="Times New Roman"/>
          <w:sz w:val="26"/>
          <w:szCs w:val="26"/>
        </w:rPr>
        <w:t>International Journal of Engineering Research &amp; Technology (IJERT)</w:t>
      </w:r>
      <w:r w:rsidRPr="007C226C">
        <w:rPr>
          <w:rFonts w:ascii="Times New Roman" w:hAnsi="Times New Roman" w:cs="Times New Roman"/>
          <w:sz w:val="26"/>
          <w:szCs w:val="26"/>
        </w:rPr>
        <w:t>, 7(4), 2278–0181.</w:t>
      </w:r>
    </w:p>
    <w:p w14:paraId="0A666BCD"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Kulkarni, R., &amp;Sawant, S. (2017). Development of smart energy meter using embedded system and IoT. </w:t>
      </w:r>
      <w:r w:rsidRPr="007C226C">
        <w:rPr>
          <w:rStyle w:val="Emphasis"/>
          <w:rFonts w:ascii="Times New Roman" w:hAnsi="Times New Roman" w:cs="Times New Roman"/>
          <w:sz w:val="26"/>
          <w:szCs w:val="26"/>
        </w:rPr>
        <w:t>International Research Journal of Engineering and Technology (IRJET)</w:t>
      </w:r>
      <w:r w:rsidRPr="007C226C">
        <w:rPr>
          <w:rFonts w:ascii="Times New Roman" w:hAnsi="Times New Roman" w:cs="Times New Roman"/>
          <w:sz w:val="26"/>
          <w:szCs w:val="26"/>
        </w:rPr>
        <w:t>, 4(5), 2395–0072.</w:t>
      </w:r>
    </w:p>
    <w:p w14:paraId="16424CE6"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Li, H., Zhang, L., Wang, Y., &amp; Zhao, H. (2020). An AI-based energy consumption prediction system for smart homes. </w:t>
      </w:r>
      <w:r w:rsidRPr="007C226C">
        <w:rPr>
          <w:rStyle w:val="Emphasis"/>
          <w:rFonts w:ascii="Times New Roman" w:hAnsi="Times New Roman" w:cs="Times New Roman"/>
          <w:sz w:val="26"/>
          <w:szCs w:val="26"/>
        </w:rPr>
        <w:t>Journal of Ambient Intelligence and Humanized Computing</w:t>
      </w:r>
      <w:r w:rsidRPr="007C226C">
        <w:rPr>
          <w:rFonts w:ascii="Times New Roman" w:hAnsi="Times New Roman" w:cs="Times New Roman"/>
          <w:sz w:val="26"/>
          <w:szCs w:val="26"/>
        </w:rPr>
        <w:t xml:space="preserve">, 11, 2921–2934. </w:t>
      </w:r>
      <w:hyperlink r:id="rId12" w:history="1">
        <w:r w:rsidRPr="007C226C">
          <w:rPr>
            <w:rStyle w:val="Hyperlink"/>
            <w:rFonts w:ascii="Times New Roman" w:hAnsi="Times New Roman" w:cs="Times New Roman"/>
            <w:sz w:val="26"/>
            <w:szCs w:val="26"/>
          </w:rPr>
          <w:t>https://doi.org/10.1007/s12652-019-01262-2</w:t>
        </w:r>
      </w:hyperlink>
    </w:p>
    <w:p w14:paraId="088CDA97"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Lopez, D., Taha, A., &amp; Trivedi, K. S. (2018). Energy analytics in smart grid: Literature review and framework. </w:t>
      </w:r>
      <w:r w:rsidRPr="007C226C">
        <w:rPr>
          <w:rStyle w:val="Emphasis"/>
          <w:rFonts w:ascii="Times New Roman" w:hAnsi="Times New Roman" w:cs="Times New Roman"/>
          <w:sz w:val="26"/>
          <w:szCs w:val="26"/>
        </w:rPr>
        <w:t>IEEE Access</w:t>
      </w:r>
      <w:r w:rsidRPr="007C226C">
        <w:rPr>
          <w:rFonts w:ascii="Times New Roman" w:hAnsi="Times New Roman" w:cs="Times New Roman"/>
          <w:sz w:val="26"/>
          <w:szCs w:val="26"/>
        </w:rPr>
        <w:t xml:space="preserve">, 6, 36088–36109. </w:t>
      </w:r>
      <w:hyperlink r:id="rId13" w:history="1">
        <w:r w:rsidRPr="007C226C">
          <w:rPr>
            <w:rStyle w:val="Hyperlink"/>
            <w:rFonts w:ascii="Times New Roman" w:hAnsi="Times New Roman" w:cs="Times New Roman"/>
            <w:sz w:val="26"/>
            <w:szCs w:val="26"/>
          </w:rPr>
          <w:t>https://doi.org/10.1109/ACCESS.2018.2851731</w:t>
        </w:r>
      </w:hyperlink>
    </w:p>
    <w:p w14:paraId="1EAA8DD4"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McDaniel, P., &amp; McLaughlin, S. (2009). Security and privacy challenges in the smart grid. </w:t>
      </w:r>
      <w:r w:rsidRPr="007C226C">
        <w:rPr>
          <w:rStyle w:val="Emphasis"/>
          <w:rFonts w:ascii="Times New Roman" w:hAnsi="Times New Roman" w:cs="Times New Roman"/>
          <w:sz w:val="26"/>
          <w:szCs w:val="26"/>
        </w:rPr>
        <w:t>IEEE Security &amp; Privacy</w:t>
      </w:r>
      <w:r w:rsidRPr="007C226C">
        <w:rPr>
          <w:rFonts w:ascii="Times New Roman" w:hAnsi="Times New Roman" w:cs="Times New Roman"/>
          <w:sz w:val="26"/>
          <w:szCs w:val="26"/>
        </w:rPr>
        <w:t xml:space="preserve">, 7(3), 75–77. </w:t>
      </w:r>
      <w:hyperlink r:id="rId14" w:history="1">
        <w:r w:rsidRPr="007C226C">
          <w:rPr>
            <w:rStyle w:val="Hyperlink"/>
            <w:rFonts w:ascii="Times New Roman" w:hAnsi="Times New Roman" w:cs="Times New Roman"/>
            <w:sz w:val="26"/>
            <w:szCs w:val="26"/>
          </w:rPr>
          <w:t>https://doi.org/10.1109/MSP.2009.76</w:t>
        </w:r>
      </w:hyperlink>
    </w:p>
    <w:p w14:paraId="100FAF9F"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Rogers, E. M. (2003). </w:t>
      </w:r>
      <w:r w:rsidRPr="007C226C">
        <w:rPr>
          <w:rStyle w:val="Emphasis"/>
          <w:rFonts w:ascii="Times New Roman" w:hAnsi="Times New Roman" w:cs="Times New Roman"/>
          <w:sz w:val="26"/>
          <w:szCs w:val="26"/>
        </w:rPr>
        <w:t>Diffusion of Innovations</w:t>
      </w:r>
      <w:r w:rsidRPr="007C226C">
        <w:rPr>
          <w:rFonts w:ascii="Times New Roman" w:hAnsi="Times New Roman" w:cs="Times New Roman"/>
          <w:sz w:val="26"/>
          <w:szCs w:val="26"/>
        </w:rPr>
        <w:t xml:space="preserve"> (5th ed.). Free Press.</w:t>
      </w:r>
    </w:p>
    <w:p w14:paraId="44D123A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Sharma, R., Singh, M., &amp; Patel, A. (2020). Real-time electricity monitoring using IoT and Firebase. </w:t>
      </w:r>
      <w:r w:rsidRPr="007C226C">
        <w:rPr>
          <w:rStyle w:val="Emphasis"/>
          <w:rFonts w:ascii="Times New Roman" w:hAnsi="Times New Roman" w:cs="Times New Roman"/>
          <w:sz w:val="26"/>
          <w:szCs w:val="26"/>
        </w:rPr>
        <w:t>International Journal of Computer Applications</w:t>
      </w:r>
      <w:r w:rsidRPr="007C226C">
        <w:rPr>
          <w:rFonts w:ascii="Times New Roman" w:hAnsi="Times New Roman" w:cs="Times New Roman"/>
          <w:sz w:val="26"/>
          <w:szCs w:val="26"/>
        </w:rPr>
        <w:t xml:space="preserve">, 176(8), 10–15. </w:t>
      </w:r>
      <w:hyperlink r:id="rId15" w:history="1">
        <w:r w:rsidRPr="007C226C">
          <w:rPr>
            <w:rStyle w:val="Hyperlink"/>
            <w:rFonts w:ascii="Times New Roman" w:hAnsi="Times New Roman" w:cs="Times New Roman"/>
            <w:sz w:val="26"/>
            <w:szCs w:val="26"/>
          </w:rPr>
          <w:t>https://doi.org/10.5120/ijca2020920121</w:t>
        </w:r>
      </w:hyperlink>
    </w:p>
    <w:p w14:paraId="2652978A"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Singh, P., Singh, K. J., &amp; De, T. (2019). LoRa-based smart energy meter for rural electrification. </w:t>
      </w:r>
      <w:r w:rsidRPr="007C226C">
        <w:rPr>
          <w:rStyle w:val="Emphasis"/>
          <w:rFonts w:ascii="Times New Roman" w:hAnsi="Times New Roman" w:cs="Times New Roman"/>
          <w:sz w:val="26"/>
          <w:szCs w:val="26"/>
        </w:rPr>
        <w:t>Procedia Computer Science</w:t>
      </w:r>
      <w:r w:rsidRPr="007C226C">
        <w:rPr>
          <w:rFonts w:ascii="Times New Roman" w:hAnsi="Times New Roman" w:cs="Times New Roman"/>
          <w:sz w:val="26"/>
          <w:szCs w:val="26"/>
        </w:rPr>
        <w:t xml:space="preserve">, 152, 95–102. </w:t>
      </w:r>
      <w:hyperlink r:id="rId16" w:history="1">
        <w:r w:rsidRPr="007C226C">
          <w:rPr>
            <w:rStyle w:val="Hyperlink"/>
            <w:rFonts w:ascii="Times New Roman" w:hAnsi="Times New Roman" w:cs="Times New Roman"/>
            <w:sz w:val="26"/>
            <w:szCs w:val="26"/>
          </w:rPr>
          <w:t>https://doi.org/10.1016/j.procs.2019.05.012</w:t>
        </w:r>
      </w:hyperlink>
    </w:p>
    <w:p w14:paraId="498C4DFE" w14:textId="77777777" w:rsidR="00C2020A" w:rsidRPr="007C226C" w:rsidRDefault="00C2020A" w:rsidP="007C226C">
      <w:pPr>
        <w:pStyle w:val="NoSpacing"/>
        <w:spacing w:line="360" w:lineRule="auto"/>
        <w:jc w:val="both"/>
        <w:divId w:val="1227296308"/>
        <w:rPr>
          <w:rFonts w:ascii="Times New Roman" w:hAnsi="Times New Roman" w:cs="Times New Roman"/>
          <w:sz w:val="26"/>
          <w:szCs w:val="26"/>
        </w:rPr>
      </w:pPr>
      <w:r w:rsidRPr="007C226C">
        <w:rPr>
          <w:rFonts w:ascii="Times New Roman" w:hAnsi="Times New Roman" w:cs="Times New Roman"/>
          <w:sz w:val="26"/>
          <w:szCs w:val="26"/>
        </w:rPr>
        <w:t xml:space="preserve">Zanella, A., Bui, N., Castellani, A., Vangelista, L., &amp;Zorzi, M. (2014). Internet of Things for smart cities. </w:t>
      </w:r>
      <w:r w:rsidRPr="007C226C">
        <w:rPr>
          <w:rStyle w:val="Emphasis"/>
          <w:rFonts w:ascii="Times New Roman" w:hAnsi="Times New Roman" w:cs="Times New Roman"/>
          <w:sz w:val="26"/>
          <w:szCs w:val="26"/>
        </w:rPr>
        <w:t>IEEE Internet of Things Journal</w:t>
      </w:r>
      <w:r w:rsidRPr="007C226C">
        <w:rPr>
          <w:rFonts w:ascii="Times New Roman" w:hAnsi="Times New Roman" w:cs="Times New Roman"/>
          <w:sz w:val="26"/>
          <w:szCs w:val="26"/>
        </w:rPr>
        <w:t xml:space="preserve">, 1(1), 22–32. </w:t>
      </w:r>
      <w:hyperlink r:id="rId17" w:history="1">
        <w:r w:rsidRPr="007C226C">
          <w:rPr>
            <w:rStyle w:val="Hyperlink"/>
            <w:rFonts w:ascii="Times New Roman" w:hAnsi="Times New Roman" w:cs="Times New Roman"/>
            <w:sz w:val="26"/>
            <w:szCs w:val="26"/>
          </w:rPr>
          <w:t>https://doi.org/10.1109/JIOT.2014.2306328</w:t>
        </w:r>
      </w:hyperlink>
    </w:p>
    <w:p w14:paraId="2698E058" w14:textId="77777777" w:rsidR="0058065D" w:rsidRPr="007C226C" w:rsidRDefault="0058065D" w:rsidP="007C226C">
      <w:pPr>
        <w:pStyle w:val="NoSpacing"/>
        <w:spacing w:line="360" w:lineRule="auto"/>
        <w:jc w:val="both"/>
        <w:rPr>
          <w:rFonts w:ascii="Times New Roman" w:hAnsi="Times New Roman" w:cs="Times New Roman"/>
          <w:sz w:val="26"/>
          <w:szCs w:val="26"/>
        </w:rPr>
      </w:pPr>
    </w:p>
    <w:sectPr w:rsidR="0058065D" w:rsidRPr="007C226C" w:rsidSect="00223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23B2"/>
    <w:multiLevelType w:val="multilevel"/>
    <w:tmpl w:val="1D1E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B24AA"/>
    <w:multiLevelType w:val="hybridMultilevel"/>
    <w:tmpl w:val="9F3AF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D6A5E"/>
    <w:multiLevelType w:val="hybridMultilevel"/>
    <w:tmpl w:val="FD60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86EE0"/>
    <w:multiLevelType w:val="multilevel"/>
    <w:tmpl w:val="B6D2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33E3E"/>
    <w:multiLevelType w:val="multilevel"/>
    <w:tmpl w:val="45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A7563"/>
    <w:multiLevelType w:val="hybridMultilevel"/>
    <w:tmpl w:val="4D76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148F7"/>
    <w:multiLevelType w:val="multilevel"/>
    <w:tmpl w:val="FA9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E560A"/>
    <w:multiLevelType w:val="hybridMultilevel"/>
    <w:tmpl w:val="0C0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B767F"/>
    <w:multiLevelType w:val="hybridMultilevel"/>
    <w:tmpl w:val="6EBA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07176"/>
    <w:multiLevelType w:val="hybridMultilevel"/>
    <w:tmpl w:val="168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3557D"/>
    <w:multiLevelType w:val="hybridMultilevel"/>
    <w:tmpl w:val="DA547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C0B01"/>
    <w:multiLevelType w:val="multilevel"/>
    <w:tmpl w:val="D416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751449">
    <w:abstractNumId w:val="6"/>
  </w:num>
  <w:num w:numId="2" w16cid:durableId="923491283">
    <w:abstractNumId w:val="11"/>
  </w:num>
  <w:num w:numId="3" w16cid:durableId="1661041321">
    <w:abstractNumId w:val="0"/>
  </w:num>
  <w:num w:numId="4" w16cid:durableId="660889080">
    <w:abstractNumId w:val="4"/>
  </w:num>
  <w:num w:numId="5" w16cid:durableId="232474766">
    <w:abstractNumId w:val="3"/>
  </w:num>
  <w:num w:numId="6" w16cid:durableId="1828857895">
    <w:abstractNumId w:val="2"/>
  </w:num>
  <w:num w:numId="7" w16cid:durableId="1391728202">
    <w:abstractNumId w:val="1"/>
  </w:num>
  <w:num w:numId="8" w16cid:durableId="1415007971">
    <w:abstractNumId w:val="10"/>
  </w:num>
  <w:num w:numId="9" w16cid:durableId="1687319634">
    <w:abstractNumId w:val="5"/>
  </w:num>
  <w:num w:numId="10" w16cid:durableId="1728408883">
    <w:abstractNumId w:val="8"/>
  </w:num>
  <w:num w:numId="11" w16cid:durableId="1786803006">
    <w:abstractNumId w:val="7"/>
  </w:num>
  <w:num w:numId="12" w16cid:durableId="349843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37"/>
    <w:rsid w:val="00073D8B"/>
    <w:rsid w:val="001566D4"/>
    <w:rsid w:val="00172E17"/>
    <w:rsid w:val="00223721"/>
    <w:rsid w:val="002504E3"/>
    <w:rsid w:val="00264EB2"/>
    <w:rsid w:val="003D4E35"/>
    <w:rsid w:val="0058065D"/>
    <w:rsid w:val="00592D37"/>
    <w:rsid w:val="005A7236"/>
    <w:rsid w:val="00687EB0"/>
    <w:rsid w:val="006F2795"/>
    <w:rsid w:val="007C226C"/>
    <w:rsid w:val="00950523"/>
    <w:rsid w:val="009E07EE"/>
    <w:rsid w:val="009F502A"/>
    <w:rsid w:val="00AD22F2"/>
    <w:rsid w:val="00B05E8D"/>
    <w:rsid w:val="00B401A1"/>
    <w:rsid w:val="00B507C7"/>
    <w:rsid w:val="00B925E7"/>
    <w:rsid w:val="00C2020A"/>
    <w:rsid w:val="00C70A77"/>
    <w:rsid w:val="00FD0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C3A2"/>
  <w15:docId w15:val="{39BC471F-C70F-DA42-917B-7DEB7500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21"/>
  </w:style>
  <w:style w:type="paragraph" w:styleId="Heading2">
    <w:name w:val="heading 2"/>
    <w:basedOn w:val="Normal"/>
    <w:link w:val="Heading2Char"/>
    <w:uiPriority w:val="9"/>
    <w:qFormat/>
    <w:rsid w:val="00592D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2D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92D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2D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2D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2D37"/>
    <w:rPr>
      <w:rFonts w:ascii="Times New Roman" w:eastAsia="Times New Roman" w:hAnsi="Times New Roman" w:cs="Times New Roman"/>
      <w:b/>
      <w:bCs/>
      <w:sz w:val="24"/>
      <w:szCs w:val="24"/>
    </w:rPr>
  </w:style>
  <w:style w:type="character" w:styleId="Strong">
    <w:name w:val="Strong"/>
    <w:basedOn w:val="DefaultParagraphFont"/>
    <w:uiPriority w:val="22"/>
    <w:qFormat/>
    <w:rsid w:val="00592D37"/>
    <w:rPr>
      <w:b/>
      <w:bCs/>
    </w:rPr>
  </w:style>
  <w:style w:type="paragraph" w:styleId="NormalWeb">
    <w:name w:val="Normal (Web)"/>
    <w:basedOn w:val="Normal"/>
    <w:uiPriority w:val="99"/>
    <w:semiHidden/>
    <w:unhideWhenUsed/>
    <w:rsid w:val="00592D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502A"/>
    <w:pPr>
      <w:ind w:left="720"/>
      <w:contextualSpacing/>
    </w:pPr>
  </w:style>
  <w:style w:type="character" w:styleId="Emphasis">
    <w:name w:val="Emphasis"/>
    <w:basedOn w:val="DefaultParagraphFont"/>
    <w:uiPriority w:val="20"/>
    <w:qFormat/>
    <w:rsid w:val="00C2020A"/>
    <w:rPr>
      <w:i/>
      <w:iCs/>
    </w:rPr>
  </w:style>
  <w:style w:type="character" w:styleId="Hyperlink">
    <w:name w:val="Hyperlink"/>
    <w:basedOn w:val="DefaultParagraphFont"/>
    <w:uiPriority w:val="99"/>
    <w:semiHidden/>
    <w:unhideWhenUsed/>
    <w:rsid w:val="00C2020A"/>
    <w:rPr>
      <w:color w:val="0000FF"/>
      <w:u w:val="single"/>
    </w:rPr>
  </w:style>
  <w:style w:type="paragraph" w:styleId="NoSpacing">
    <w:name w:val="No Spacing"/>
    <w:uiPriority w:val="1"/>
    <w:qFormat/>
    <w:rsid w:val="007C22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96308">
      <w:bodyDiv w:val="1"/>
      <w:marLeft w:val="0"/>
      <w:marRight w:val="0"/>
      <w:marTop w:val="0"/>
      <w:marBottom w:val="0"/>
      <w:divBdr>
        <w:top w:val="none" w:sz="0" w:space="0" w:color="auto"/>
        <w:left w:val="none" w:sz="0" w:space="0" w:color="auto"/>
        <w:bottom w:val="none" w:sz="0" w:space="0" w:color="auto"/>
        <w:right w:val="none" w:sz="0" w:space="0" w:color="auto"/>
      </w:divBdr>
    </w:div>
    <w:div w:id="17858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ser.2011.02.039" TargetMode="External" /><Relationship Id="rId13" Type="http://schemas.openxmlformats.org/officeDocument/2006/relationships/hyperlink" Target="https://doi.org/10.1109/ACCESS.2018.2851731"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oi.org/10.1016/j.future.2015.09.021" TargetMode="External" /><Relationship Id="rId12" Type="http://schemas.openxmlformats.org/officeDocument/2006/relationships/hyperlink" Target="https://doi.org/10.1007/s12652-019-01262-2" TargetMode="External" /><Relationship Id="rId17" Type="http://schemas.openxmlformats.org/officeDocument/2006/relationships/hyperlink" Target="https://doi.org/10.1109/JIOT.2014.2306328" TargetMode="External" /><Relationship Id="rId2" Type="http://schemas.openxmlformats.org/officeDocument/2006/relationships/styles" Target="styles.xml" /><Relationship Id="rId16" Type="http://schemas.openxmlformats.org/officeDocument/2006/relationships/hyperlink" Target="https://doi.org/10.1016/j.procs.2019.05.012" TargetMode="External" /><Relationship Id="rId1" Type="http://schemas.openxmlformats.org/officeDocument/2006/relationships/numbering" Target="numbering.xml" /><Relationship Id="rId6" Type="http://schemas.openxmlformats.org/officeDocument/2006/relationships/hyperlink" Target="https://doi.org/10.1109/TII.2015.2414355" TargetMode="External" /><Relationship Id="rId11" Type="http://schemas.openxmlformats.org/officeDocument/2006/relationships/hyperlink" Target="https://doi.org/10.4314/ijest.v3i3.68497" TargetMode="External" /><Relationship Id="rId5" Type="http://schemas.openxmlformats.org/officeDocument/2006/relationships/hyperlink" Target="https://doi.org/10.1109/COMST.2015.2444095" TargetMode="External" /><Relationship Id="rId15" Type="http://schemas.openxmlformats.org/officeDocument/2006/relationships/hyperlink" Target="https://doi.org/10.5120/ijca2020920121" TargetMode="External" /><Relationship Id="rId10" Type="http://schemas.openxmlformats.org/officeDocument/2006/relationships/hyperlink" Target="https://doi.org/10.1109/TII.2011.2166794"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doi.org/10.1109/SURV.2011.101911.00087" TargetMode="External" /><Relationship Id="rId14" Type="http://schemas.openxmlformats.org/officeDocument/2006/relationships/hyperlink" Target="https://doi.org/10.1109/MSP.2009.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Umunnabuike Eze</cp:lastModifiedBy>
  <cp:revision>2</cp:revision>
  <dcterms:created xsi:type="dcterms:W3CDTF">2025-07-11T05:13:00Z</dcterms:created>
  <dcterms:modified xsi:type="dcterms:W3CDTF">2025-07-11T05:13:00Z</dcterms:modified>
</cp:coreProperties>
</file>