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EADA" w14:textId="77777777" w:rsidR="00236CB7" w:rsidRDefault="00236CB7" w:rsidP="00236CB7">
      <w:pPr>
        <w:spacing w:after="200" w:line="276" w:lineRule="auto"/>
        <w:jc w:val="center"/>
        <w:rPr>
          <w:rFonts w:ascii="Times New Roman" w:eastAsia="Arial" w:hAnsi="Times New Roman" w:cs="Times New Roman"/>
          <w:b/>
          <w:bCs/>
          <w:sz w:val="24"/>
        </w:rPr>
      </w:pPr>
      <w:r>
        <w:rPr>
          <w:rFonts w:ascii="Times New Roman" w:hAnsi="Times New Roman" w:cs="Times New Roman"/>
          <w:b/>
          <w:bCs/>
          <w:sz w:val="24"/>
        </w:rPr>
        <w:t>CHAPTER FIVE</w:t>
      </w:r>
    </w:p>
    <w:p w14:paraId="3E2C9AAA"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b/>
          <w:bCs/>
          <w:sz w:val="24"/>
        </w:rPr>
        <w:t>5.0 SUMMARY, CONCLUSION AND RECOMMENDATIONS</w:t>
      </w:r>
    </w:p>
    <w:p w14:paraId="5036540F"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b/>
          <w:bCs/>
          <w:sz w:val="24"/>
        </w:rPr>
        <w:t>5.1 SUMMERY</w:t>
      </w:r>
    </w:p>
    <w:p w14:paraId="4F43974B"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t>This study examined the determinants of poverty among crop farming households in Ilorin East Local Government Area of Kwara State, with the aim of identifying key socio-economic and institutional factors influencing household welfare. The research was driven by the recognition that crop farmers in rural Nigeria face persistent poverty despite their significant role in food production and rural development.</w:t>
      </w:r>
    </w:p>
    <w:p w14:paraId="6F0FFBE6"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t>Primary data were collected through structured questionnaires administered to selected crop farming households. Analytical tools used include descriptive statistics, the Foster-Greer-</w:t>
      </w:r>
      <w:proofErr w:type="spellStart"/>
      <w:r>
        <w:rPr>
          <w:rFonts w:ascii="Times New Roman" w:hAnsi="Times New Roman" w:cs="Times New Roman"/>
          <w:sz w:val="24"/>
        </w:rPr>
        <w:t>Thorbecke</w:t>
      </w:r>
      <w:proofErr w:type="spellEnd"/>
      <w:r>
        <w:rPr>
          <w:rFonts w:ascii="Times New Roman" w:hAnsi="Times New Roman" w:cs="Times New Roman"/>
          <w:sz w:val="24"/>
        </w:rPr>
        <w:t xml:space="preserve"> (FGT) poverty index, and logistic regression.</w:t>
      </w:r>
    </w:p>
    <w:p w14:paraId="533F96B9"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t>The major findings are as follows:</w:t>
      </w:r>
    </w:p>
    <w:p w14:paraId="49860DE6"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t>A high incidence of poverty was recorded among the respondents, with more than half living below the poverty line.</w:t>
      </w:r>
    </w:p>
    <w:p w14:paraId="36D01077"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t>Most farmers had low levels of formal education, limited access to credit, and small farm sizes.</w:t>
      </w:r>
    </w:p>
    <w:p w14:paraId="67146BE3"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t>Key determinants of poverty include:</w:t>
      </w:r>
    </w:p>
    <w:p w14:paraId="157BC852"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t>Household size – larger families were more likely to be poor.</w:t>
      </w:r>
    </w:p>
    <w:p w14:paraId="48C0B7FF"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t>Education level – higher education reduced poverty likelihood.</w:t>
      </w:r>
    </w:p>
    <w:p w14:paraId="245F930C"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t>Access to agricultural credit – helped improve household welfare.</w:t>
      </w:r>
    </w:p>
    <w:p w14:paraId="0198EBEF"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t>Farm size – positively associated with income generation.</w:t>
      </w:r>
    </w:p>
    <w:p w14:paraId="629FE89E"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t>Extension services – access reduced poverty through improved farming techniques.</w:t>
      </w:r>
    </w:p>
    <w:p w14:paraId="2BABE977"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lastRenderedPageBreak/>
        <w:t>Market access – poor road and market infrastructure increased poverty risk.</w:t>
      </w:r>
    </w:p>
    <w:p w14:paraId="7D284707" w14:textId="77777777" w:rsidR="00236CB7" w:rsidRDefault="00236CB7" w:rsidP="00236CB7">
      <w:pPr>
        <w:spacing w:after="200" w:line="420" w:lineRule="auto"/>
        <w:rPr>
          <w:rFonts w:ascii="Times New Roman" w:hAnsi="Times New Roman" w:cs="Times New Roman"/>
          <w:b/>
          <w:bCs/>
          <w:sz w:val="24"/>
        </w:rPr>
      </w:pPr>
      <w:r>
        <w:rPr>
          <w:rFonts w:ascii="Times New Roman" w:hAnsi="Times New Roman" w:cs="Times New Roman"/>
          <w:sz w:val="24"/>
        </w:rPr>
        <w:t>These findings indicate that poverty among crop farming households is a multidimensional issue, involving both individual and structural barriers to economic empowerment.</w:t>
      </w:r>
    </w:p>
    <w:p w14:paraId="0D39DEB8" w14:textId="77777777" w:rsidR="00236CB7" w:rsidRDefault="00236CB7" w:rsidP="00236CB7">
      <w:pPr>
        <w:spacing w:after="200" w:line="420" w:lineRule="auto"/>
        <w:rPr>
          <w:rFonts w:ascii="Times New Roman" w:hAnsi="Times New Roman" w:cs="Times New Roman"/>
          <w:b/>
          <w:bCs/>
          <w:sz w:val="24"/>
        </w:rPr>
      </w:pPr>
    </w:p>
    <w:p w14:paraId="0021E009"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b/>
          <w:bCs/>
          <w:sz w:val="24"/>
        </w:rPr>
        <w:t>5.2 Conclusion</w:t>
      </w:r>
    </w:p>
    <w:p w14:paraId="2E9C6CAC"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t>The study concludes that poverty in Ilorin East among crop farming households is widespread, deep, and largely influenced by a combination of socio-economic and institutional factors. The majority of farming households are characterized by low productivity, poor access to resources, and limited exposure to modern agricultural practices.</w:t>
      </w:r>
    </w:p>
    <w:p w14:paraId="4201CD31" w14:textId="77777777" w:rsidR="00236CB7" w:rsidRDefault="00236CB7" w:rsidP="00236CB7">
      <w:pPr>
        <w:spacing w:after="200" w:line="420" w:lineRule="auto"/>
        <w:rPr>
          <w:rFonts w:ascii="Times New Roman" w:hAnsi="Times New Roman" w:cs="Times New Roman"/>
          <w:b/>
          <w:bCs/>
          <w:sz w:val="24"/>
        </w:rPr>
      </w:pPr>
      <w:r>
        <w:rPr>
          <w:rFonts w:ascii="Times New Roman" w:hAnsi="Times New Roman" w:cs="Times New Roman"/>
          <w:sz w:val="24"/>
        </w:rPr>
        <w:t>It was established that enhancing household welfare requires more than just increasing crop yield; it also demands targeted interventions in education, credit access, market development, and extension services. Poverty reduction among rural farmers, therefore, must be approached through comprehensive and inclusive rural development strategies that address both income and capability deficits.</w:t>
      </w:r>
    </w:p>
    <w:p w14:paraId="5A299655" w14:textId="77777777" w:rsidR="00236CB7" w:rsidRDefault="00236CB7" w:rsidP="00236CB7">
      <w:pPr>
        <w:spacing w:after="200" w:line="420" w:lineRule="auto"/>
        <w:rPr>
          <w:rFonts w:ascii="Times New Roman" w:hAnsi="Times New Roman" w:cs="Times New Roman"/>
          <w:b/>
          <w:bCs/>
          <w:sz w:val="24"/>
        </w:rPr>
      </w:pPr>
    </w:p>
    <w:p w14:paraId="08792A4D"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b/>
          <w:bCs/>
          <w:sz w:val="24"/>
        </w:rPr>
        <w:t>5.3 Recommendations</w:t>
      </w:r>
    </w:p>
    <w:p w14:paraId="2B588345"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t>Based on the findings and conclusion, the following recommendations are made:</w:t>
      </w:r>
    </w:p>
    <w:p w14:paraId="7DB0C9DA"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t>1. Strengthen Agricultural Extension Services</w:t>
      </w:r>
      <w:r>
        <w:rPr>
          <w:rFonts w:ascii="Times New Roman" w:eastAsia="Arial" w:hAnsi="Times New Roman" w:cs="Times New Roman"/>
          <w:b/>
          <w:bCs/>
          <w:sz w:val="24"/>
        </w:rPr>
        <w:t xml:space="preserve">: </w:t>
      </w:r>
      <w:r>
        <w:rPr>
          <w:rFonts w:ascii="Times New Roman" w:hAnsi="Times New Roman" w:cs="Times New Roman"/>
          <w:sz w:val="24"/>
        </w:rPr>
        <w:t>Government agencies should recruit and train more extension agents to cover rural areas effectively, ensuring that farmers have timely access to modern farming techniques and policy information.</w:t>
      </w:r>
    </w:p>
    <w:p w14:paraId="023C9D98"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t>2. Improve Access to Credit Facilities</w:t>
      </w:r>
      <w:r>
        <w:rPr>
          <w:rFonts w:ascii="Times New Roman" w:eastAsia="Arial" w:hAnsi="Times New Roman" w:cs="Times New Roman"/>
          <w:b/>
          <w:bCs/>
          <w:sz w:val="24"/>
        </w:rPr>
        <w:t xml:space="preserve">: </w:t>
      </w:r>
      <w:r>
        <w:rPr>
          <w:rFonts w:ascii="Times New Roman" w:hAnsi="Times New Roman" w:cs="Times New Roman"/>
          <w:sz w:val="24"/>
        </w:rPr>
        <w:t>Microfinance institutions and agricultural banks should design low-interest, collateral-free credit schemes tailored to the needs of smallholder farmers to enable investment in productive assets.</w:t>
      </w:r>
    </w:p>
    <w:p w14:paraId="6A768B2F"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lastRenderedPageBreak/>
        <w:t>3. Invest in Rural Infrastructure</w:t>
      </w:r>
      <w:r>
        <w:rPr>
          <w:rFonts w:ascii="Times New Roman" w:eastAsia="Arial" w:hAnsi="Times New Roman" w:cs="Times New Roman"/>
          <w:b/>
          <w:bCs/>
          <w:sz w:val="24"/>
        </w:rPr>
        <w:t xml:space="preserve">: </w:t>
      </w:r>
      <w:r>
        <w:rPr>
          <w:rFonts w:ascii="Times New Roman" w:hAnsi="Times New Roman" w:cs="Times New Roman"/>
          <w:sz w:val="24"/>
        </w:rPr>
        <w:t>There is an urgent need for the construction and rehabilitation of rural roads, irrigation facilities, and market structures to ease transportation, reduce post-harvest losses, and improve market access.</w:t>
      </w:r>
    </w:p>
    <w:p w14:paraId="60C68867"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t>4. Promote Adult Education and Farmer Training.</w:t>
      </w:r>
      <w:r>
        <w:rPr>
          <w:rFonts w:ascii="Times New Roman" w:eastAsia="Arial" w:hAnsi="Times New Roman" w:cs="Times New Roman"/>
          <w:b/>
          <w:bCs/>
          <w:sz w:val="24"/>
        </w:rPr>
        <w:t xml:space="preserve">: </w:t>
      </w:r>
      <w:r>
        <w:rPr>
          <w:rFonts w:ascii="Times New Roman" w:hAnsi="Times New Roman" w:cs="Times New Roman"/>
          <w:sz w:val="24"/>
        </w:rPr>
        <w:t>Literacy and adult education programs should be implemented in rural areas to build farmers’ human capital and decision-making skills, which in turn improves farm efficiency and income.</w:t>
      </w:r>
    </w:p>
    <w:p w14:paraId="3B6BD1B4"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t>5. Encourage Farm Diversification</w:t>
      </w:r>
      <w:r>
        <w:rPr>
          <w:rFonts w:ascii="Times New Roman" w:eastAsia="Arial" w:hAnsi="Times New Roman" w:cs="Times New Roman"/>
          <w:b/>
          <w:bCs/>
          <w:sz w:val="24"/>
        </w:rPr>
        <w:t xml:space="preserve">: </w:t>
      </w:r>
      <w:r>
        <w:rPr>
          <w:rFonts w:ascii="Times New Roman" w:hAnsi="Times New Roman" w:cs="Times New Roman"/>
          <w:sz w:val="24"/>
        </w:rPr>
        <w:t xml:space="preserve">Farmers should be supported to engage in other income-generating activities such as </w:t>
      </w:r>
      <w:proofErr w:type="spellStart"/>
      <w:r>
        <w:rPr>
          <w:rFonts w:ascii="Times New Roman" w:hAnsi="Times New Roman" w:cs="Times New Roman"/>
          <w:sz w:val="24"/>
        </w:rPr>
        <w:t>agro</w:t>
      </w:r>
      <w:proofErr w:type="spellEnd"/>
      <w:r>
        <w:rPr>
          <w:rFonts w:ascii="Times New Roman" w:hAnsi="Times New Roman" w:cs="Times New Roman"/>
          <w:sz w:val="24"/>
        </w:rPr>
        <w:t>-processing, livestock production, or off-farm work to reduce dependence on seasonal crop farming.</w:t>
      </w:r>
    </w:p>
    <w:p w14:paraId="3258AAA7" w14:textId="77777777" w:rsidR="00236CB7" w:rsidRDefault="00236CB7" w:rsidP="00236CB7">
      <w:pPr>
        <w:spacing w:after="200" w:line="420" w:lineRule="auto"/>
        <w:rPr>
          <w:rFonts w:ascii="Times New Roman" w:hAnsi="Times New Roman" w:cs="Times New Roman"/>
          <w:sz w:val="24"/>
        </w:rPr>
      </w:pPr>
      <w:r>
        <w:rPr>
          <w:rFonts w:ascii="Times New Roman" w:hAnsi="Times New Roman" w:cs="Times New Roman"/>
          <w:sz w:val="24"/>
        </w:rPr>
        <w:t>6. Land Policy Reform and Secure Tenure</w:t>
      </w:r>
      <w:r>
        <w:rPr>
          <w:rFonts w:ascii="Times New Roman" w:eastAsia="Arial" w:hAnsi="Times New Roman" w:cs="Times New Roman"/>
          <w:b/>
          <w:bCs/>
          <w:sz w:val="24"/>
        </w:rPr>
        <w:t xml:space="preserve">: </w:t>
      </w:r>
      <w:r>
        <w:rPr>
          <w:rFonts w:ascii="Times New Roman" w:hAnsi="Times New Roman" w:cs="Times New Roman"/>
          <w:sz w:val="24"/>
        </w:rPr>
        <w:t>Government should ensure equitable access to farmland and land use rights, especially for women and youth, to encourage long-term agricultural investment and productivity.</w:t>
      </w:r>
    </w:p>
    <w:p w14:paraId="0E978E5B" w14:textId="77777777" w:rsidR="00236CB7" w:rsidRDefault="00236CB7" w:rsidP="00236CB7">
      <w:pPr>
        <w:spacing w:after="200" w:line="420" w:lineRule="auto"/>
        <w:rPr>
          <w:rFonts w:ascii="Times New Roman" w:eastAsia="Arial" w:hAnsi="Times New Roman" w:cs="Times New Roman"/>
          <w:b/>
          <w:bCs/>
          <w:sz w:val="24"/>
        </w:rPr>
      </w:pPr>
      <w:r>
        <w:rPr>
          <w:rFonts w:ascii="Times New Roman" w:hAnsi="Times New Roman" w:cs="Times New Roman"/>
          <w:sz w:val="24"/>
        </w:rPr>
        <w:t>7. Community Participation in Development Projects</w:t>
      </w:r>
      <w:r>
        <w:rPr>
          <w:rFonts w:ascii="Times New Roman" w:eastAsia="Arial" w:hAnsi="Times New Roman" w:cs="Times New Roman"/>
          <w:b/>
          <w:bCs/>
          <w:sz w:val="24"/>
        </w:rPr>
        <w:t xml:space="preserve">: </w:t>
      </w:r>
      <w:r>
        <w:rPr>
          <w:rFonts w:ascii="Times New Roman" w:hAnsi="Times New Roman" w:cs="Times New Roman"/>
          <w:sz w:val="24"/>
        </w:rPr>
        <w:t>Local farmers should be involved in the planning and execution of rural development projects to ensure they reflect the actual needs and realities of the communities.</w:t>
      </w:r>
    </w:p>
    <w:p w14:paraId="050CCA36" w14:textId="77777777" w:rsidR="00B4768F" w:rsidRDefault="00B4768F"/>
    <w:sectPr w:rsidR="00B47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B7"/>
    <w:rsid w:val="0005698D"/>
    <w:rsid w:val="00091A9C"/>
    <w:rsid w:val="00236CB7"/>
    <w:rsid w:val="0042456A"/>
    <w:rsid w:val="00455337"/>
    <w:rsid w:val="004F4ACA"/>
    <w:rsid w:val="006D60BF"/>
    <w:rsid w:val="007C53A2"/>
    <w:rsid w:val="00B4768F"/>
    <w:rsid w:val="00D009AF"/>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C331"/>
  <w15:chartTrackingRefBased/>
  <w15:docId w15:val="{B9D76A89-AE1B-4CD9-BEC4-7F0D2A72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CB7"/>
    <w:pPr>
      <w:widowControl w:val="0"/>
      <w:spacing w:line="259" w:lineRule="auto"/>
      <w:jc w:val="both"/>
    </w:pPr>
    <w:rPr>
      <w:rFonts w:ascii="Calibri" w:eastAsia="SimSun" w:hAnsi="Calibri" w:cs="SimSun"/>
      <w:sz w:val="21"/>
      <w:lang w:eastAsia="zh-CN"/>
      <w14:ligatures w14:val="none"/>
    </w:rPr>
  </w:style>
  <w:style w:type="paragraph" w:styleId="Heading1">
    <w:name w:val="heading 1"/>
    <w:basedOn w:val="Normal"/>
    <w:next w:val="Normal"/>
    <w:link w:val="Heading1Char"/>
    <w:uiPriority w:val="9"/>
    <w:qFormat/>
    <w:rsid w:val="00236CB7"/>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36CB7"/>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36CB7"/>
    <w:pPr>
      <w:keepNext/>
      <w:keepLines/>
      <w:widowControl/>
      <w:spacing w:before="160" w:after="80" w:line="278"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36CB7"/>
    <w:pPr>
      <w:keepNext/>
      <w:keepLines/>
      <w:widowControl/>
      <w:spacing w:before="80" w:after="40" w:line="278" w:lineRule="auto"/>
      <w:jc w:val="left"/>
      <w:outlineLvl w:val="3"/>
    </w:pPr>
    <w:rPr>
      <w:rFonts w:asciiTheme="minorHAnsi" w:eastAsiaTheme="majorEastAsia" w:hAnsiTheme="minorHAnsi" w:cstheme="majorBidi"/>
      <w:i/>
      <w:iCs/>
      <w:color w:val="2F5496" w:themeColor="accent1" w:themeShade="BF"/>
      <w:sz w:val="24"/>
      <w:lang w:eastAsia="en-US"/>
      <w14:ligatures w14:val="standardContextual"/>
    </w:rPr>
  </w:style>
  <w:style w:type="paragraph" w:styleId="Heading5">
    <w:name w:val="heading 5"/>
    <w:basedOn w:val="Normal"/>
    <w:next w:val="Normal"/>
    <w:link w:val="Heading5Char"/>
    <w:uiPriority w:val="9"/>
    <w:semiHidden/>
    <w:unhideWhenUsed/>
    <w:qFormat/>
    <w:rsid w:val="00236CB7"/>
    <w:pPr>
      <w:keepNext/>
      <w:keepLines/>
      <w:widowControl/>
      <w:spacing w:before="80" w:after="40" w:line="278" w:lineRule="auto"/>
      <w:jc w:val="left"/>
      <w:outlineLvl w:val="4"/>
    </w:pPr>
    <w:rPr>
      <w:rFonts w:asciiTheme="minorHAnsi" w:eastAsiaTheme="majorEastAsia" w:hAnsiTheme="minorHAnsi" w:cstheme="majorBidi"/>
      <w:color w:val="2F5496" w:themeColor="accent1" w:themeShade="BF"/>
      <w:sz w:val="24"/>
      <w:lang w:eastAsia="en-US"/>
      <w14:ligatures w14:val="standardContextual"/>
    </w:rPr>
  </w:style>
  <w:style w:type="paragraph" w:styleId="Heading6">
    <w:name w:val="heading 6"/>
    <w:basedOn w:val="Normal"/>
    <w:next w:val="Normal"/>
    <w:link w:val="Heading6Char"/>
    <w:uiPriority w:val="9"/>
    <w:semiHidden/>
    <w:unhideWhenUsed/>
    <w:qFormat/>
    <w:rsid w:val="00236CB7"/>
    <w:pPr>
      <w:keepNext/>
      <w:keepLines/>
      <w:widowControl/>
      <w:spacing w:before="40" w:after="0" w:line="278" w:lineRule="auto"/>
      <w:jc w:val="left"/>
      <w:outlineLvl w:val="5"/>
    </w:pPr>
    <w:rPr>
      <w:rFonts w:asciiTheme="minorHAnsi" w:eastAsiaTheme="majorEastAsia" w:hAnsiTheme="minorHAnsi" w:cstheme="majorBidi"/>
      <w:i/>
      <w:iCs/>
      <w:color w:val="595959" w:themeColor="text1" w:themeTint="A6"/>
      <w:sz w:val="24"/>
      <w:lang w:eastAsia="en-US"/>
      <w14:ligatures w14:val="standardContextual"/>
    </w:rPr>
  </w:style>
  <w:style w:type="paragraph" w:styleId="Heading7">
    <w:name w:val="heading 7"/>
    <w:basedOn w:val="Normal"/>
    <w:next w:val="Normal"/>
    <w:link w:val="Heading7Char"/>
    <w:uiPriority w:val="9"/>
    <w:semiHidden/>
    <w:unhideWhenUsed/>
    <w:qFormat/>
    <w:rsid w:val="00236CB7"/>
    <w:pPr>
      <w:keepNext/>
      <w:keepLines/>
      <w:widowControl/>
      <w:spacing w:before="40" w:after="0" w:line="278" w:lineRule="auto"/>
      <w:jc w:val="left"/>
      <w:outlineLvl w:val="6"/>
    </w:pPr>
    <w:rPr>
      <w:rFonts w:asciiTheme="minorHAnsi" w:eastAsiaTheme="majorEastAsia" w:hAnsiTheme="minorHAnsi" w:cstheme="majorBidi"/>
      <w:color w:val="595959" w:themeColor="text1" w:themeTint="A6"/>
      <w:sz w:val="24"/>
      <w:lang w:eastAsia="en-US"/>
      <w14:ligatures w14:val="standardContextual"/>
    </w:rPr>
  </w:style>
  <w:style w:type="paragraph" w:styleId="Heading8">
    <w:name w:val="heading 8"/>
    <w:basedOn w:val="Normal"/>
    <w:next w:val="Normal"/>
    <w:link w:val="Heading8Char"/>
    <w:uiPriority w:val="9"/>
    <w:semiHidden/>
    <w:unhideWhenUsed/>
    <w:qFormat/>
    <w:rsid w:val="00236CB7"/>
    <w:pPr>
      <w:keepNext/>
      <w:keepLines/>
      <w:widowControl/>
      <w:spacing w:after="0" w:line="278" w:lineRule="auto"/>
      <w:jc w:val="left"/>
      <w:outlineLvl w:val="7"/>
    </w:pPr>
    <w:rPr>
      <w:rFonts w:asciiTheme="minorHAnsi" w:eastAsiaTheme="majorEastAsia" w:hAnsiTheme="minorHAnsi" w:cstheme="majorBidi"/>
      <w:i/>
      <w:iCs/>
      <w:color w:val="272727" w:themeColor="text1" w:themeTint="D8"/>
      <w:sz w:val="24"/>
      <w:lang w:eastAsia="en-US"/>
      <w14:ligatures w14:val="standardContextual"/>
    </w:rPr>
  </w:style>
  <w:style w:type="paragraph" w:styleId="Heading9">
    <w:name w:val="heading 9"/>
    <w:basedOn w:val="Normal"/>
    <w:next w:val="Normal"/>
    <w:link w:val="Heading9Char"/>
    <w:uiPriority w:val="9"/>
    <w:semiHidden/>
    <w:unhideWhenUsed/>
    <w:qFormat/>
    <w:rsid w:val="00236CB7"/>
    <w:pPr>
      <w:keepNext/>
      <w:keepLines/>
      <w:widowControl/>
      <w:spacing w:after="0" w:line="278" w:lineRule="auto"/>
      <w:jc w:val="left"/>
      <w:outlineLvl w:val="8"/>
    </w:pPr>
    <w:rPr>
      <w:rFonts w:asciiTheme="minorHAnsi" w:eastAsiaTheme="majorEastAsia" w:hAnsiTheme="minorHAnsi" w:cstheme="majorBidi"/>
      <w:color w:val="272727" w:themeColor="text1" w:themeTint="D8"/>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C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6C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6C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6C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6C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6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CB7"/>
    <w:rPr>
      <w:rFonts w:eastAsiaTheme="majorEastAsia" w:cstheme="majorBidi"/>
      <w:color w:val="272727" w:themeColor="text1" w:themeTint="D8"/>
    </w:rPr>
  </w:style>
  <w:style w:type="paragraph" w:styleId="Title">
    <w:name w:val="Title"/>
    <w:basedOn w:val="Normal"/>
    <w:next w:val="Normal"/>
    <w:link w:val="TitleChar"/>
    <w:uiPriority w:val="10"/>
    <w:qFormat/>
    <w:rsid w:val="00236CB7"/>
    <w:pPr>
      <w:widowControl/>
      <w:spacing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36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CB7"/>
    <w:pPr>
      <w:widowControl/>
      <w:numPr>
        <w:ilvl w:val="1"/>
      </w:numPr>
      <w:spacing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236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CB7"/>
    <w:pPr>
      <w:widowControl/>
      <w:spacing w:before="160" w:line="278" w:lineRule="auto"/>
      <w:jc w:val="center"/>
    </w:pPr>
    <w:rPr>
      <w:rFonts w:asciiTheme="minorHAnsi" w:eastAsiaTheme="minorHAnsi" w:hAnsiTheme="minorHAnsi" w:cstheme="minorBidi"/>
      <w:i/>
      <w:iCs/>
      <w:color w:val="404040" w:themeColor="text1" w:themeTint="BF"/>
      <w:sz w:val="24"/>
      <w:lang w:eastAsia="en-US"/>
      <w14:ligatures w14:val="standardContextual"/>
    </w:rPr>
  </w:style>
  <w:style w:type="character" w:customStyle="1" w:styleId="QuoteChar">
    <w:name w:val="Quote Char"/>
    <w:basedOn w:val="DefaultParagraphFont"/>
    <w:link w:val="Quote"/>
    <w:uiPriority w:val="29"/>
    <w:rsid w:val="00236CB7"/>
    <w:rPr>
      <w:i/>
      <w:iCs/>
      <w:color w:val="404040" w:themeColor="text1" w:themeTint="BF"/>
    </w:rPr>
  </w:style>
  <w:style w:type="paragraph" w:styleId="ListParagraph">
    <w:name w:val="List Paragraph"/>
    <w:basedOn w:val="Normal"/>
    <w:uiPriority w:val="34"/>
    <w:qFormat/>
    <w:rsid w:val="00236CB7"/>
    <w:pPr>
      <w:widowControl/>
      <w:spacing w:line="278" w:lineRule="auto"/>
      <w:ind w:left="720"/>
      <w:contextualSpacing/>
      <w:jc w:val="left"/>
    </w:pPr>
    <w:rPr>
      <w:rFonts w:asciiTheme="minorHAnsi" w:eastAsiaTheme="minorHAnsi" w:hAnsiTheme="minorHAnsi" w:cstheme="minorBidi"/>
      <w:sz w:val="24"/>
      <w:lang w:eastAsia="en-US"/>
      <w14:ligatures w14:val="standardContextual"/>
    </w:rPr>
  </w:style>
  <w:style w:type="character" w:styleId="IntenseEmphasis">
    <w:name w:val="Intense Emphasis"/>
    <w:basedOn w:val="DefaultParagraphFont"/>
    <w:uiPriority w:val="21"/>
    <w:qFormat/>
    <w:rsid w:val="00236CB7"/>
    <w:rPr>
      <w:i/>
      <w:iCs/>
      <w:color w:val="2F5496" w:themeColor="accent1" w:themeShade="BF"/>
    </w:rPr>
  </w:style>
  <w:style w:type="paragraph" w:styleId="IntenseQuote">
    <w:name w:val="Intense Quote"/>
    <w:basedOn w:val="Normal"/>
    <w:next w:val="Normal"/>
    <w:link w:val="IntenseQuoteChar"/>
    <w:uiPriority w:val="30"/>
    <w:qFormat/>
    <w:rsid w:val="00236CB7"/>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lang w:eastAsia="en-US"/>
      <w14:ligatures w14:val="standardContextual"/>
    </w:rPr>
  </w:style>
  <w:style w:type="character" w:customStyle="1" w:styleId="IntenseQuoteChar">
    <w:name w:val="Intense Quote Char"/>
    <w:basedOn w:val="DefaultParagraphFont"/>
    <w:link w:val="IntenseQuote"/>
    <w:uiPriority w:val="30"/>
    <w:rsid w:val="00236CB7"/>
    <w:rPr>
      <w:i/>
      <w:iCs/>
      <w:color w:val="2F5496" w:themeColor="accent1" w:themeShade="BF"/>
    </w:rPr>
  </w:style>
  <w:style w:type="character" w:styleId="IntenseReference">
    <w:name w:val="Intense Reference"/>
    <w:basedOn w:val="DefaultParagraphFont"/>
    <w:uiPriority w:val="32"/>
    <w:qFormat/>
    <w:rsid w:val="00236C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2025-07-10T10:02:00Z</dcterms:created>
  <dcterms:modified xsi:type="dcterms:W3CDTF">2025-07-10T10:03:00Z</dcterms:modified>
</cp:coreProperties>
</file>