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6298" w14:textId="77777777" w:rsidR="0060221F" w:rsidRDefault="0060221F" w:rsidP="0060221F">
      <w:pPr>
        <w:spacing w:line="278" w:lineRule="auto"/>
        <w:jc w:val="center"/>
        <w:rPr>
          <w:rFonts w:ascii="Times New Roman" w:eastAsia="Arial" w:hAnsi="Times New Roman" w:cs="Times New Roman"/>
          <w:b/>
          <w:bCs/>
          <w:sz w:val="24"/>
        </w:rPr>
      </w:pPr>
      <w:r>
        <w:rPr>
          <w:rFonts w:ascii="Times New Roman" w:hAnsi="Times New Roman" w:cs="Times New Roman"/>
          <w:b/>
          <w:bCs/>
          <w:sz w:val="24"/>
          <w:lang w:val="en-GB" w:eastAsia="en-US"/>
        </w:rPr>
        <w:t>CHAPTER FOUR</w:t>
      </w:r>
    </w:p>
    <w:p w14:paraId="66032746"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4.0   RESULT AND DISCUSSION </w:t>
      </w:r>
    </w:p>
    <w:p w14:paraId="2206A244"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4.1   SOCIO-ECONOMIC CHARACTERISTICS OF RESPONDENTS </w:t>
      </w:r>
    </w:p>
    <w:p w14:paraId="738BCB83"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4.1.1  Distribution</w:t>
      </w:r>
      <w:proofErr w:type="gramEnd"/>
      <w:r>
        <w:rPr>
          <w:rFonts w:ascii="Times New Roman" w:hAnsi="Times New Roman" w:cs="Times New Roman"/>
          <w:b/>
          <w:bCs/>
          <w:sz w:val="24"/>
          <w:lang w:val="en-GB" w:eastAsia="en-US"/>
        </w:rPr>
        <w:t xml:space="preserve"> of Respondents by Gender</w:t>
      </w:r>
    </w:p>
    <w:p w14:paraId="550B655D"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 xml:space="preserve">The table 4.1.1 below shows the distribution of respondents by </w:t>
      </w:r>
      <w:proofErr w:type="gramStart"/>
      <w:r>
        <w:rPr>
          <w:rFonts w:ascii="Times New Roman" w:hAnsi="Times New Roman" w:cs="Times New Roman"/>
          <w:sz w:val="24"/>
          <w:lang w:val="en-GB" w:eastAsia="en-US"/>
        </w:rPr>
        <w:t>sex .</w:t>
      </w:r>
      <w:proofErr w:type="gramEnd"/>
      <w:r>
        <w:rPr>
          <w:rFonts w:ascii="Times New Roman" w:hAnsi="Times New Roman" w:cs="Times New Roman"/>
          <w:sz w:val="24"/>
          <w:lang w:val="en-GB" w:eastAsia="en-US"/>
        </w:rPr>
        <w:t xml:space="preserve"> The table showed that 65.8% of the respondents are male, while 34.2% of the respondents are female. This indicates that the majority of the crop farming households in the study area are male.</w:t>
      </w:r>
    </w:p>
    <w:p w14:paraId="313C7588"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4.1.1  Frequency</w:t>
      </w:r>
      <w:proofErr w:type="gramEnd"/>
      <w:r>
        <w:rPr>
          <w:rFonts w:ascii="Times New Roman" w:hAnsi="Times New Roman" w:cs="Times New Roman"/>
          <w:b/>
          <w:bCs/>
          <w:sz w:val="24"/>
          <w:lang w:val="en-GB" w:eastAsia="en-US"/>
        </w:rPr>
        <w:t xml:space="preserve"> Distribution of Respondents by Gender </w:t>
      </w:r>
    </w:p>
    <w:tbl>
      <w:tblPr>
        <w:tblW w:w="4250" w:type="dxa"/>
        <w:tblCellMar>
          <w:top w:w="15" w:type="dxa"/>
          <w:left w:w="15" w:type="dxa"/>
          <w:bottom w:w="15" w:type="dxa"/>
          <w:right w:w="15" w:type="dxa"/>
        </w:tblCellMar>
        <w:tblLook w:val="04A0" w:firstRow="1" w:lastRow="0" w:firstColumn="1" w:lastColumn="0" w:noHBand="0" w:noVBand="1"/>
      </w:tblPr>
      <w:tblGrid>
        <w:gridCol w:w="1377"/>
        <w:gridCol w:w="1496"/>
        <w:gridCol w:w="1377"/>
      </w:tblGrid>
      <w:tr w:rsidR="0060221F" w14:paraId="0954762E" w14:textId="77777777" w:rsidTr="00116EB8">
        <w:trPr>
          <w:trHeight w:val="345"/>
        </w:trPr>
        <w:tc>
          <w:tcPr>
            <w:tcW w:w="1377" w:type="dxa"/>
            <w:tcBorders>
              <w:bottom w:val="single" w:sz="4" w:space="0" w:color="993300"/>
            </w:tcBorders>
            <w:tcMar>
              <w:top w:w="15" w:type="dxa"/>
              <w:left w:w="15" w:type="dxa"/>
              <w:bottom w:w="15" w:type="dxa"/>
              <w:right w:w="15" w:type="dxa"/>
            </w:tcMar>
            <w:vAlign w:val="bottom"/>
          </w:tcPr>
          <w:p w14:paraId="7775A697"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Gender</w:t>
            </w:r>
          </w:p>
        </w:tc>
        <w:tc>
          <w:tcPr>
            <w:tcW w:w="1496" w:type="dxa"/>
            <w:tcBorders>
              <w:bottom w:val="single" w:sz="4" w:space="0" w:color="993300"/>
              <w:right w:val="single" w:sz="4" w:space="0" w:color="333399"/>
            </w:tcBorders>
            <w:tcMar>
              <w:top w:w="15" w:type="dxa"/>
              <w:left w:w="15" w:type="dxa"/>
              <w:bottom w:w="15" w:type="dxa"/>
              <w:right w:w="15" w:type="dxa"/>
            </w:tcMar>
            <w:vAlign w:val="bottom"/>
          </w:tcPr>
          <w:p w14:paraId="7784D3E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377"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3DC3530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4484F313" w14:textId="77777777" w:rsidTr="00116EB8">
        <w:trPr>
          <w:trHeight w:val="345"/>
        </w:trPr>
        <w:tc>
          <w:tcPr>
            <w:tcW w:w="1377" w:type="dxa"/>
            <w:tcBorders>
              <w:top w:val="single" w:sz="4" w:space="0" w:color="993300"/>
              <w:bottom w:val="single" w:sz="4" w:space="0" w:color="333333"/>
            </w:tcBorders>
            <w:shd w:val="clear" w:color="FFFFFF" w:fill="CCCCFF"/>
            <w:tcMar>
              <w:top w:w="15" w:type="dxa"/>
              <w:left w:w="15" w:type="dxa"/>
              <w:bottom w:w="15" w:type="dxa"/>
              <w:right w:w="15" w:type="dxa"/>
            </w:tcMar>
          </w:tcPr>
          <w:p w14:paraId="08467F4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Male</w:t>
            </w:r>
          </w:p>
        </w:tc>
        <w:tc>
          <w:tcPr>
            <w:tcW w:w="1496"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138CB17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79</w:t>
            </w:r>
          </w:p>
        </w:tc>
        <w:tc>
          <w:tcPr>
            <w:tcW w:w="1377"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1780D55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65.8</w:t>
            </w:r>
          </w:p>
        </w:tc>
      </w:tr>
      <w:tr w:rsidR="0060221F" w14:paraId="08996B0B" w14:textId="77777777" w:rsidTr="00116EB8">
        <w:trPr>
          <w:trHeight w:val="345"/>
        </w:trPr>
        <w:tc>
          <w:tcPr>
            <w:tcW w:w="1377" w:type="dxa"/>
            <w:tcBorders>
              <w:top w:val="single" w:sz="4" w:space="0" w:color="333333"/>
              <w:bottom w:val="single" w:sz="4" w:space="0" w:color="333333"/>
            </w:tcBorders>
            <w:shd w:val="clear" w:color="FFFFFF" w:fill="CCCCFF"/>
            <w:tcMar>
              <w:top w:w="15" w:type="dxa"/>
              <w:left w:w="15" w:type="dxa"/>
              <w:bottom w:w="15" w:type="dxa"/>
              <w:right w:w="15" w:type="dxa"/>
            </w:tcMar>
          </w:tcPr>
          <w:p w14:paraId="3B6DE78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Female</w:t>
            </w:r>
          </w:p>
        </w:tc>
        <w:tc>
          <w:tcPr>
            <w:tcW w:w="1496"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02583F2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41</w:t>
            </w:r>
          </w:p>
        </w:tc>
        <w:tc>
          <w:tcPr>
            <w:tcW w:w="1377"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0E7A65A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34.2</w:t>
            </w:r>
          </w:p>
        </w:tc>
      </w:tr>
      <w:tr w:rsidR="0060221F" w14:paraId="2BAA618B" w14:textId="77777777" w:rsidTr="00116EB8">
        <w:trPr>
          <w:trHeight w:val="345"/>
        </w:trPr>
        <w:tc>
          <w:tcPr>
            <w:tcW w:w="1377" w:type="dxa"/>
            <w:tcBorders>
              <w:top w:val="single" w:sz="4" w:space="0" w:color="333333"/>
              <w:bottom w:val="single" w:sz="4" w:space="0" w:color="993300"/>
            </w:tcBorders>
            <w:shd w:val="clear" w:color="FFFFFF" w:fill="CCCCFF"/>
            <w:tcMar>
              <w:top w:w="15" w:type="dxa"/>
              <w:left w:w="15" w:type="dxa"/>
              <w:bottom w:w="15" w:type="dxa"/>
              <w:right w:w="15" w:type="dxa"/>
            </w:tcMar>
          </w:tcPr>
          <w:p w14:paraId="00AC4D2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496"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6D18A7E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377"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65EF62B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426CD648"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64655841" w14:textId="77777777" w:rsidR="0060221F" w:rsidRDefault="0060221F" w:rsidP="0060221F">
      <w:pPr>
        <w:spacing w:line="278" w:lineRule="auto"/>
        <w:rPr>
          <w:rFonts w:ascii="Times New Roman" w:eastAsia="Arial" w:hAnsi="Times New Roman" w:cs="Times New Roman"/>
          <w:b/>
          <w:bCs/>
          <w:sz w:val="24"/>
        </w:rPr>
      </w:pPr>
    </w:p>
    <w:p w14:paraId="1EF79620"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4.1.2   Distribution of Respondents by Marital Status </w:t>
      </w:r>
    </w:p>
    <w:p w14:paraId="1B46FB4E"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4.1.2 below shows the distribution of respondents by marital status. The table showed that 65.8% of the respondents are married, while 34.2% are unmarried. This indicates that the majority of the crop farmers in the study area are married, which may influence their farming decisions, household responsibilities, and level of poverty.</w:t>
      </w:r>
    </w:p>
    <w:p w14:paraId="0D23A339"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4.1.2  Frequency</w:t>
      </w:r>
      <w:proofErr w:type="gramEnd"/>
      <w:r>
        <w:rPr>
          <w:rFonts w:ascii="Times New Roman" w:hAnsi="Times New Roman" w:cs="Times New Roman"/>
          <w:b/>
          <w:bCs/>
          <w:sz w:val="24"/>
          <w:lang w:val="en-GB" w:eastAsia="en-US"/>
        </w:rPr>
        <w:t xml:space="preserve"> Distribution of Respondents by Marital Status </w:t>
      </w:r>
    </w:p>
    <w:tbl>
      <w:tblPr>
        <w:tblW w:w="4507" w:type="dxa"/>
        <w:tblCellMar>
          <w:top w:w="15" w:type="dxa"/>
          <w:left w:w="15" w:type="dxa"/>
          <w:bottom w:w="15" w:type="dxa"/>
          <w:right w:w="15" w:type="dxa"/>
        </w:tblCellMar>
        <w:tblLook w:val="04A0" w:firstRow="1" w:lastRow="0" w:firstColumn="1" w:lastColumn="0" w:noHBand="0" w:noVBand="1"/>
      </w:tblPr>
      <w:tblGrid>
        <w:gridCol w:w="1569"/>
        <w:gridCol w:w="1530"/>
        <w:gridCol w:w="1408"/>
      </w:tblGrid>
      <w:tr w:rsidR="0060221F" w14:paraId="18091853" w14:textId="77777777" w:rsidTr="00116EB8">
        <w:trPr>
          <w:trHeight w:val="301"/>
        </w:trPr>
        <w:tc>
          <w:tcPr>
            <w:tcW w:w="1569" w:type="dxa"/>
            <w:tcBorders>
              <w:bottom w:val="single" w:sz="4" w:space="0" w:color="993300"/>
            </w:tcBorders>
            <w:tcMar>
              <w:top w:w="15" w:type="dxa"/>
              <w:left w:w="15" w:type="dxa"/>
              <w:bottom w:w="15" w:type="dxa"/>
              <w:right w:w="15" w:type="dxa"/>
            </w:tcMar>
            <w:vAlign w:val="bottom"/>
          </w:tcPr>
          <w:p w14:paraId="2B398AEA"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Marital Status</w:t>
            </w:r>
          </w:p>
        </w:tc>
        <w:tc>
          <w:tcPr>
            <w:tcW w:w="1530" w:type="dxa"/>
            <w:tcBorders>
              <w:bottom w:val="single" w:sz="4" w:space="0" w:color="993300"/>
              <w:right w:val="single" w:sz="4" w:space="0" w:color="333399"/>
            </w:tcBorders>
            <w:tcMar>
              <w:top w:w="15" w:type="dxa"/>
              <w:left w:w="15" w:type="dxa"/>
              <w:bottom w:w="15" w:type="dxa"/>
              <w:right w:w="15" w:type="dxa"/>
            </w:tcMar>
            <w:vAlign w:val="bottom"/>
          </w:tcPr>
          <w:p w14:paraId="5992F83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408"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764A361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4DAACF5E" w14:textId="77777777" w:rsidTr="00116EB8">
        <w:trPr>
          <w:trHeight w:val="301"/>
        </w:trPr>
        <w:tc>
          <w:tcPr>
            <w:tcW w:w="1569" w:type="dxa"/>
            <w:tcBorders>
              <w:top w:val="single" w:sz="4" w:space="0" w:color="993300"/>
              <w:bottom w:val="single" w:sz="4" w:space="0" w:color="333333"/>
            </w:tcBorders>
            <w:shd w:val="clear" w:color="FFFFFF" w:fill="CCCCFF"/>
            <w:tcMar>
              <w:top w:w="15" w:type="dxa"/>
              <w:left w:w="15" w:type="dxa"/>
              <w:bottom w:w="15" w:type="dxa"/>
              <w:right w:w="15" w:type="dxa"/>
            </w:tcMar>
          </w:tcPr>
          <w:p w14:paraId="2FF6DC3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Unmarried</w:t>
            </w:r>
          </w:p>
        </w:tc>
        <w:tc>
          <w:tcPr>
            <w:tcW w:w="1530"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2C6B802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41</w:t>
            </w:r>
          </w:p>
        </w:tc>
        <w:tc>
          <w:tcPr>
            <w:tcW w:w="1408"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331F2A6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34.2</w:t>
            </w:r>
          </w:p>
        </w:tc>
      </w:tr>
      <w:tr w:rsidR="0060221F" w14:paraId="68F44812" w14:textId="77777777" w:rsidTr="00116EB8">
        <w:trPr>
          <w:trHeight w:val="301"/>
        </w:trPr>
        <w:tc>
          <w:tcPr>
            <w:tcW w:w="1569" w:type="dxa"/>
            <w:tcBorders>
              <w:top w:val="single" w:sz="4" w:space="0" w:color="333333"/>
              <w:bottom w:val="single" w:sz="4" w:space="0" w:color="333333"/>
            </w:tcBorders>
            <w:shd w:val="clear" w:color="FFFFFF" w:fill="CCCCFF"/>
            <w:tcMar>
              <w:top w:w="15" w:type="dxa"/>
              <w:left w:w="15" w:type="dxa"/>
              <w:bottom w:w="15" w:type="dxa"/>
              <w:right w:w="15" w:type="dxa"/>
            </w:tcMar>
          </w:tcPr>
          <w:p w14:paraId="2CE21F1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Married</w:t>
            </w:r>
          </w:p>
        </w:tc>
        <w:tc>
          <w:tcPr>
            <w:tcW w:w="153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79CF9C4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79</w:t>
            </w:r>
          </w:p>
        </w:tc>
        <w:tc>
          <w:tcPr>
            <w:tcW w:w="1408"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2CAC4C35"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65.8</w:t>
            </w:r>
          </w:p>
        </w:tc>
      </w:tr>
      <w:tr w:rsidR="0060221F" w14:paraId="1C3DB667" w14:textId="77777777" w:rsidTr="00116EB8">
        <w:trPr>
          <w:trHeight w:val="301"/>
        </w:trPr>
        <w:tc>
          <w:tcPr>
            <w:tcW w:w="1569" w:type="dxa"/>
            <w:tcBorders>
              <w:top w:val="single" w:sz="4" w:space="0" w:color="333333"/>
              <w:bottom w:val="single" w:sz="4" w:space="0" w:color="993300"/>
            </w:tcBorders>
            <w:shd w:val="clear" w:color="FFFFFF" w:fill="CCCCFF"/>
            <w:tcMar>
              <w:top w:w="15" w:type="dxa"/>
              <w:left w:w="15" w:type="dxa"/>
              <w:bottom w:w="15" w:type="dxa"/>
              <w:right w:w="15" w:type="dxa"/>
            </w:tcMar>
          </w:tcPr>
          <w:p w14:paraId="7E7DCAE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530"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3ADEF7F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408"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16DC4B3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068B3CDA"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26AA29D9" w14:textId="77777777" w:rsidR="0060221F" w:rsidRDefault="0060221F" w:rsidP="0060221F">
      <w:pPr>
        <w:spacing w:line="278" w:lineRule="auto"/>
        <w:rPr>
          <w:rFonts w:ascii="Times New Roman" w:eastAsia="Arial" w:hAnsi="Times New Roman" w:cs="Times New Roman"/>
          <w:b/>
          <w:bCs/>
          <w:sz w:val="24"/>
        </w:rPr>
      </w:pPr>
    </w:p>
    <w:p w14:paraId="69143B94"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4.1.3  Distribution</w:t>
      </w:r>
      <w:proofErr w:type="gramEnd"/>
      <w:r>
        <w:rPr>
          <w:rFonts w:ascii="Times New Roman" w:hAnsi="Times New Roman" w:cs="Times New Roman"/>
          <w:b/>
          <w:bCs/>
          <w:sz w:val="24"/>
          <w:lang w:val="en-GB" w:eastAsia="en-US"/>
        </w:rPr>
        <w:t xml:space="preserve"> of Respondents by Level of Education </w:t>
      </w:r>
    </w:p>
    <w:p w14:paraId="483E7D20"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 xml:space="preserve">The table 4.1.3 below shows the distribution of respondents by their level of education. The table revealed that 50.8% of the respondents have attained tertiary education, 21.7% have secondary </w:t>
      </w:r>
      <w:r>
        <w:rPr>
          <w:rFonts w:ascii="Times New Roman" w:hAnsi="Times New Roman" w:cs="Times New Roman"/>
          <w:sz w:val="24"/>
          <w:lang w:val="en-GB" w:eastAsia="en-US"/>
        </w:rPr>
        <w:lastRenderedPageBreak/>
        <w:t>education, 14.2% have primary education, while 13.3% have no formal education. This indicates that the majority of the crop farmers in the study area are educated, particularly at the tertiary level.</w:t>
      </w:r>
    </w:p>
    <w:p w14:paraId="2052FEBB"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Table 4.1.3 Frequency Distribution of Respondents by Level of Education</w:t>
      </w:r>
    </w:p>
    <w:tbl>
      <w:tblPr>
        <w:tblW w:w="5498" w:type="dxa"/>
        <w:tblCellMar>
          <w:top w:w="15" w:type="dxa"/>
          <w:left w:w="15" w:type="dxa"/>
          <w:bottom w:w="15" w:type="dxa"/>
          <w:right w:w="15" w:type="dxa"/>
        </w:tblCellMar>
        <w:tblLook w:val="04A0" w:firstRow="1" w:lastRow="0" w:firstColumn="1" w:lastColumn="0" w:noHBand="0" w:noVBand="1"/>
      </w:tblPr>
      <w:tblGrid>
        <w:gridCol w:w="2821"/>
        <w:gridCol w:w="1394"/>
        <w:gridCol w:w="1283"/>
      </w:tblGrid>
      <w:tr w:rsidR="0060221F" w14:paraId="3164535D" w14:textId="77777777" w:rsidTr="00116EB8">
        <w:trPr>
          <w:trHeight w:val="333"/>
        </w:trPr>
        <w:tc>
          <w:tcPr>
            <w:tcW w:w="2821" w:type="dxa"/>
            <w:tcBorders>
              <w:bottom w:val="single" w:sz="4" w:space="0" w:color="993300"/>
            </w:tcBorders>
            <w:tcMar>
              <w:top w:w="15" w:type="dxa"/>
              <w:left w:w="15" w:type="dxa"/>
              <w:bottom w:w="15" w:type="dxa"/>
              <w:right w:w="15" w:type="dxa"/>
            </w:tcMar>
            <w:vAlign w:val="bottom"/>
          </w:tcPr>
          <w:p w14:paraId="2B031810"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Level of Education</w:t>
            </w:r>
          </w:p>
        </w:tc>
        <w:tc>
          <w:tcPr>
            <w:tcW w:w="1394" w:type="dxa"/>
            <w:tcBorders>
              <w:bottom w:val="single" w:sz="4" w:space="0" w:color="993300"/>
              <w:right w:val="single" w:sz="4" w:space="0" w:color="333399"/>
            </w:tcBorders>
            <w:tcMar>
              <w:top w:w="15" w:type="dxa"/>
              <w:left w:w="15" w:type="dxa"/>
              <w:bottom w:w="15" w:type="dxa"/>
              <w:right w:w="15" w:type="dxa"/>
            </w:tcMar>
            <w:vAlign w:val="bottom"/>
          </w:tcPr>
          <w:p w14:paraId="30BEE645"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283"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2694B15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4AA8A397" w14:textId="77777777" w:rsidTr="00116EB8">
        <w:trPr>
          <w:trHeight w:val="333"/>
        </w:trPr>
        <w:tc>
          <w:tcPr>
            <w:tcW w:w="2821" w:type="dxa"/>
            <w:tcBorders>
              <w:top w:val="single" w:sz="4" w:space="0" w:color="993300"/>
              <w:bottom w:val="single" w:sz="4" w:space="0" w:color="333333"/>
            </w:tcBorders>
            <w:shd w:val="clear" w:color="FFFFFF" w:fill="CCCCFF"/>
            <w:tcMar>
              <w:top w:w="15" w:type="dxa"/>
              <w:left w:w="15" w:type="dxa"/>
              <w:bottom w:w="15" w:type="dxa"/>
              <w:right w:w="15" w:type="dxa"/>
            </w:tcMar>
          </w:tcPr>
          <w:p w14:paraId="70DEDAD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No Formal Education</w:t>
            </w:r>
          </w:p>
        </w:tc>
        <w:tc>
          <w:tcPr>
            <w:tcW w:w="1394"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307D816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16</w:t>
            </w:r>
          </w:p>
        </w:tc>
        <w:tc>
          <w:tcPr>
            <w:tcW w:w="1283"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59DB3C6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13.3</w:t>
            </w:r>
          </w:p>
        </w:tc>
      </w:tr>
      <w:tr w:rsidR="0060221F" w14:paraId="4E0FFCE3" w14:textId="77777777" w:rsidTr="00116EB8">
        <w:trPr>
          <w:trHeight w:val="333"/>
        </w:trPr>
        <w:tc>
          <w:tcPr>
            <w:tcW w:w="2821" w:type="dxa"/>
            <w:tcBorders>
              <w:top w:val="single" w:sz="4" w:space="0" w:color="333333"/>
              <w:bottom w:val="single" w:sz="4" w:space="0" w:color="333333"/>
            </w:tcBorders>
            <w:shd w:val="clear" w:color="FFFFFF" w:fill="CCCCFF"/>
            <w:tcMar>
              <w:top w:w="15" w:type="dxa"/>
              <w:left w:w="15" w:type="dxa"/>
              <w:bottom w:w="15" w:type="dxa"/>
              <w:right w:w="15" w:type="dxa"/>
            </w:tcMar>
          </w:tcPr>
          <w:p w14:paraId="4298BAD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Primary</w:t>
            </w:r>
          </w:p>
        </w:tc>
        <w:tc>
          <w:tcPr>
            <w:tcW w:w="13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78447B8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17</w:t>
            </w:r>
          </w:p>
        </w:tc>
        <w:tc>
          <w:tcPr>
            <w:tcW w:w="1283"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7644F24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14.2</w:t>
            </w:r>
          </w:p>
        </w:tc>
      </w:tr>
      <w:tr w:rsidR="0060221F" w14:paraId="19B23F33" w14:textId="77777777" w:rsidTr="00116EB8">
        <w:trPr>
          <w:trHeight w:val="333"/>
        </w:trPr>
        <w:tc>
          <w:tcPr>
            <w:tcW w:w="2821" w:type="dxa"/>
            <w:tcBorders>
              <w:top w:val="single" w:sz="4" w:space="0" w:color="333333"/>
              <w:bottom w:val="single" w:sz="4" w:space="0" w:color="333333"/>
            </w:tcBorders>
            <w:shd w:val="clear" w:color="FFFFFF" w:fill="CCCCFF"/>
            <w:tcMar>
              <w:top w:w="15" w:type="dxa"/>
              <w:left w:w="15" w:type="dxa"/>
              <w:bottom w:w="15" w:type="dxa"/>
              <w:right w:w="15" w:type="dxa"/>
            </w:tcMar>
          </w:tcPr>
          <w:p w14:paraId="566581F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Secondary</w:t>
            </w:r>
          </w:p>
        </w:tc>
        <w:tc>
          <w:tcPr>
            <w:tcW w:w="13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0F385B25"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26</w:t>
            </w:r>
          </w:p>
        </w:tc>
        <w:tc>
          <w:tcPr>
            <w:tcW w:w="1283"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000D4F9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21.7</w:t>
            </w:r>
          </w:p>
        </w:tc>
      </w:tr>
      <w:tr w:rsidR="0060221F" w14:paraId="0A09961D" w14:textId="77777777" w:rsidTr="00116EB8">
        <w:trPr>
          <w:trHeight w:val="333"/>
        </w:trPr>
        <w:tc>
          <w:tcPr>
            <w:tcW w:w="2821" w:type="dxa"/>
            <w:tcBorders>
              <w:top w:val="single" w:sz="4" w:space="0" w:color="333333"/>
              <w:bottom w:val="single" w:sz="4" w:space="0" w:color="333333"/>
            </w:tcBorders>
            <w:shd w:val="clear" w:color="FFFFFF" w:fill="CCCCFF"/>
            <w:tcMar>
              <w:top w:w="15" w:type="dxa"/>
              <w:left w:w="15" w:type="dxa"/>
              <w:bottom w:w="15" w:type="dxa"/>
              <w:right w:w="15" w:type="dxa"/>
            </w:tcMar>
          </w:tcPr>
          <w:p w14:paraId="662F52F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Tertiary</w:t>
            </w:r>
          </w:p>
        </w:tc>
        <w:tc>
          <w:tcPr>
            <w:tcW w:w="13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408F4B4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61</w:t>
            </w:r>
          </w:p>
        </w:tc>
        <w:tc>
          <w:tcPr>
            <w:tcW w:w="1283"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5448DB15"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50.8</w:t>
            </w:r>
          </w:p>
        </w:tc>
      </w:tr>
      <w:tr w:rsidR="0060221F" w14:paraId="1989B64F" w14:textId="77777777" w:rsidTr="00116EB8">
        <w:trPr>
          <w:trHeight w:val="333"/>
        </w:trPr>
        <w:tc>
          <w:tcPr>
            <w:tcW w:w="2821" w:type="dxa"/>
            <w:tcBorders>
              <w:top w:val="single" w:sz="4" w:space="0" w:color="333333"/>
              <w:bottom w:val="single" w:sz="4" w:space="0" w:color="993300"/>
            </w:tcBorders>
            <w:shd w:val="clear" w:color="FFFFFF" w:fill="CCCCFF"/>
            <w:tcMar>
              <w:top w:w="15" w:type="dxa"/>
              <w:left w:w="15" w:type="dxa"/>
              <w:bottom w:w="15" w:type="dxa"/>
              <w:right w:w="15" w:type="dxa"/>
            </w:tcMar>
          </w:tcPr>
          <w:p w14:paraId="2CD0961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394"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591A31F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283"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5CFAB8A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5323A28E"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192001B9" w14:textId="77777777" w:rsidR="0060221F" w:rsidRDefault="0060221F" w:rsidP="0060221F">
      <w:pPr>
        <w:spacing w:line="278" w:lineRule="auto"/>
        <w:rPr>
          <w:rFonts w:ascii="Times New Roman" w:eastAsia="Arial" w:hAnsi="Times New Roman" w:cs="Times New Roman"/>
          <w:b/>
          <w:bCs/>
          <w:sz w:val="24"/>
        </w:rPr>
      </w:pPr>
    </w:p>
    <w:p w14:paraId="7BEECB67"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4.1.4  Distribution</w:t>
      </w:r>
      <w:proofErr w:type="gramEnd"/>
      <w:r>
        <w:rPr>
          <w:rFonts w:ascii="Times New Roman" w:hAnsi="Times New Roman" w:cs="Times New Roman"/>
          <w:b/>
          <w:bCs/>
          <w:sz w:val="24"/>
          <w:lang w:val="en-GB" w:eastAsia="en-US"/>
        </w:rPr>
        <w:t xml:space="preserve"> of Respondents by Primary Occupation </w:t>
      </w:r>
    </w:p>
    <w:p w14:paraId="12FE2D46"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4.1.4 below shows the distribution of respondents by their primary occupation. The table indicated that 45.8% of the respondents are engaged primarily in farming, 15.0% are involved in non-farming activities, while 39.2% combine both farming and non-farming occupations. This implies that while a good proportion of the respondents rely solely on farming, a significant number also diversify their income sources, which may help cushion the effects of poverty among crop farming households in the study area.</w:t>
      </w:r>
    </w:p>
    <w:p w14:paraId="3C1B9DD6" w14:textId="77777777" w:rsidR="0060221F" w:rsidRDefault="0060221F" w:rsidP="0060221F">
      <w:pPr>
        <w:widowControl/>
        <w:spacing w:after="0" w:line="240" w:lineRule="auto"/>
        <w:jc w:val="left"/>
        <w:rPr>
          <w:rFonts w:ascii="Times New Roman" w:hAnsi="Times New Roman" w:cs="Times New Roman"/>
          <w:b/>
          <w:bCs/>
          <w:sz w:val="24"/>
          <w:lang w:val="en-GB" w:eastAsia="en-US"/>
        </w:rPr>
      </w:pPr>
    </w:p>
    <w:p w14:paraId="0A82F88E"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4.1.4  Frequency</w:t>
      </w:r>
      <w:proofErr w:type="gramEnd"/>
      <w:r>
        <w:rPr>
          <w:rFonts w:ascii="Times New Roman" w:hAnsi="Times New Roman" w:cs="Times New Roman"/>
          <w:b/>
          <w:bCs/>
          <w:sz w:val="24"/>
          <w:lang w:val="en-GB" w:eastAsia="en-US"/>
        </w:rPr>
        <w:t xml:space="preserve"> Distribution of Respondents by Primary Occupation </w:t>
      </w:r>
    </w:p>
    <w:tbl>
      <w:tblPr>
        <w:tblW w:w="6276" w:type="dxa"/>
        <w:tblCellMar>
          <w:top w:w="15" w:type="dxa"/>
          <w:left w:w="15" w:type="dxa"/>
          <w:bottom w:w="15" w:type="dxa"/>
          <w:right w:w="15" w:type="dxa"/>
        </w:tblCellMar>
        <w:tblLook w:val="04A0" w:firstRow="1" w:lastRow="0" w:firstColumn="1" w:lastColumn="0" w:noHBand="0" w:noVBand="1"/>
      </w:tblPr>
      <w:tblGrid>
        <w:gridCol w:w="2512"/>
        <w:gridCol w:w="1960"/>
        <w:gridCol w:w="1804"/>
      </w:tblGrid>
      <w:tr w:rsidR="0060221F" w14:paraId="1A1285FA" w14:textId="77777777" w:rsidTr="00116EB8">
        <w:trPr>
          <w:trHeight w:val="357"/>
        </w:trPr>
        <w:tc>
          <w:tcPr>
            <w:tcW w:w="2512" w:type="dxa"/>
            <w:tcBorders>
              <w:bottom w:val="single" w:sz="4" w:space="0" w:color="993300"/>
            </w:tcBorders>
            <w:tcMar>
              <w:top w:w="15" w:type="dxa"/>
              <w:left w:w="15" w:type="dxa"/>
              <w:bottom w:w="15" w:type="dxa"/>
              <w:right w:w="15" w:type="dxa"/>
            </w:tcMar>
            <w:vAlign w:val="bottom"/>
          </w:tcPr>
          <w:p w14:paraId="5D8622F2"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Primary occupation</w:t>
            </w:r>
          </w:p>
        </w:tc>
        <w:tc>
          <w:tcPr>
            <w:tcW w:w="1960" w:type="dxa"/>
            <w:tcBorders>
              <w:bottom w:val="single" w:sz="4" w:space="0" w:color="993300"/>
              <w:right w:val="single" w:sz="4" w:space="0" w:color="333399"/>
            </w:tcBorders>
            <w:tcMar>
              <w:top w:w="15" w:type="dxa"/>
              <w:left w:w="15" w:type="dxa"/>
              <w:bottom w:w="15" w:type="dxa"/>
              <w:right w:w="15" w:type="dxa"/>
            </w:tcMar>
            <w:vAlign w:val="bottom"/>
          </w:tcPr>
          <w:p w14:paraId="7DF7831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804"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1B6C054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2D6DB8C9" w14:textId="77777777" w:rsidTr="00116EB8">
        <w:trPr>
          <w:trHeight w:val="357"/>
        </w:trPr>
        <w:tc>
          <w:tcPr>
            <w:tcW w:w="2512" w:type="dxa"/>
            <w:tcBorders>
              <w:top w:val="single" w:sz="4" w:space="0" w:color="993300"/>
              <w:bottom w:val="single" w:sz="4" w:space="0" w:color="333333"/>
            </w:tcBorders>
            <w:shd w:val="clear" w:color="FFFFFF" w:fill="CCCCFF"/>
            <w:tcMar>
              <w:top w:w="15" w:type="dxa"/>
              <w:left w:w="15" w:type="dxa"/>
              <w:bottom w:w="15" w:type="dxa"/>
              <w:right w:w="15" w:type="dxa"/>
            </w:tcMar>
          </w:tcPr>
          <w:p w14:paraId="53AA88D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Farming</w:t>
            </w:r>
          </w:p>
        </w:tc>
        <w:tc>
          <w:tcPr>
            <w:tcW w:w="1960"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50512CD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55</w:t>
            </w:r>
          </w:p>
        </w:tc>
        <w:tc>
          <w:tcPr>
            <w:tcW w:w="1804"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553355C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45.8</w:t>
            </w:r>
          </w:p>
        </w:tc>
      </w:tr>
      <w:tr w:rsidR="0060221F" w14:paraId="370E01B9" w14:textId="77777777" w:rsidTr="00116EB8">
        <w:trPr>
          <w:trHeight w:val="357"/>
        </w:trPr>
        <w:tc>
          <w:tcPr>
            <w:tcW w:w="2512" w:type="dxa"/>
            <w:tcBorders>
              <w:top w:val="single" w:sz="4" w:space="0" w:color="333333"/>
              <w:bottom w:val="single" w:sz="4" w:space="0" w:color="333333"/>
            </w:tcBorders>
            <w:shd w:val="clear" w:color="FFFFFF" w:fill="CCCCFF"/>
            <w:tcMar>
              <w:top w:w="15" w:type="dxa"/>
              <w:left w:w="15" w:type="dxa"/>
              <w:bottom w:w="15" w:type="dxa"/>
              <w:right w:w="15" w:type="dxa"/>
            </w:tcMar>
          </w:tcPr>
          <w:p w14:paraId="6556D18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Non-Farming</w:t>
            </w:r>
          </w:p>
        </w:tc>
        <w:tc>
          <w:tcPr>
            <w:tcW w:w="196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4EB1386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18</w:t>
            </w:r>
          </w:p>
        </w:tc>
        <w:tc>
          <w:tcPr>
            <w:tcW w:w="1804"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7FCEAE9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15.0</w:t>
            </w:r>
          </w:p>
        </w:tc>
      </w:tr>
      <w:tr w:rsidR="0060221F" w14:paraId="455C97F7" w14:textId="77777777" w:rsidTr="00116EB8">
        <w:trPr>
          <w:trHeight w:val="357"/>
        </w:trPr>
        <w:tc>
          <w:tcPr>
            <w:tcW w:w="2512" w:type="dxa"/>
            <w:tcBorders>
              <w:top w:val="single" w:sz="4" w:space="0" w:color="333333"/>
              <w:bottom w:val="single" w:sz="4" w:space="0" w:color="333333"/>
            </w:tcBorders>
            <w:shd w:val="clear" w:color="FFFFFF" w:fill="CCCCFF"/>
            <w:tcMar>
              <w:top w:w="15" w:type="dxa"/>
              <w:left w:w="15" w:type="dxa"/>
              <w:bottom w:w="15" w:type="dxa"/>
              <w:right w:w="15" w:type="dxa"/>
            </w:tcMar>
          </w:tcPr>
          <w:p w14:paraId="2F64E8B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Both</w:t>
            </w:r>
          </w:p>
        </w:tc>
        <w:tc>
          <w:tcPr>
            <w:tcW w:w="196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4D401AB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47</w:t>
            </w:r>
          </w:p>
        </w:tc>
        <w:tc>
          <w:tcPr>
            <w:tcW w:w="1804"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2F4D590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39.2</w:t>
            </w:r>
          </w:p>
        </w:tc>
      </w:tr>
      <w:tr w:rsidR="0060221F" w14:paraId="194B5FEE" w14:textId="77777777" w:rsidTr="00116EB8">
        <w:trPr>
          <w:trHeight w:val="357"/>
        </w:trPr>
        <w:tc>
          <w:tcPr>
            <w:tcW w:w="2512" w:type="dxa"/>
            <w:tcBorders>
              <w:top w:val="single" w:sz="4" w:space="0" w:color="333333"/>
              <w:bottom w:val="single" w:sz="4" w:space="0" w:color="993300"/>
            </w:tcBorders>
            <w:shd w:val="clear" w:color="FFFFFF" w:fill="CCCCFF"/>
            <w:tcMar>
              <w:top w:w="15" w:type="dxa"/>
              <w:left w:w="15" w:type="dxa"/>
              <w:bottom w:w="15" w:type="dxa"/>
              <w:right w:w="15" w:type="dxa"/>
            </w:tcMar>
          </w:tcPr>
          <w:p w14:paraId="0C3EAA5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960"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5B19634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804"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7802AA4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7BABE3EE"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0C5423B1" w14:textId="77777777" w:rsidR="0060221F" w:rsidRDefault="0060221F" w:rsidP="0060221F">
      <w:pPr>
        <w:spacing w:line="278" w:lineRule="auto"/>
        <w:rPr>
          <w:rFonts w:ascii="Times New Roman" w:eastAsia="Arial" w:hAnsi="Times New Roman" w:cs="Times New Roman"/>
          <w:b/>
          <w:bCs/>
          <w:sz w:val="24"/>
        </w:rPr>
      </w:pPr>
    </w:p>
    <w:p w14:paraId="12E9E517"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4.1.5  Distribution</w:t>
      </w:r>
      <w:proofErr w:type="gramEnd"/>
      <w:r>
        <w:rPr>
          <w:rFonts w:ascii="Times New Roman" w:hAnsi="Times New Roman" w:cs="Times New Roman"/>
          <w:b/>
          <w:bCs/>
          <w:sz w:val="24"/>
          <w:lang w:val="en-GB" w:eastAsia="en-US"/>
        </w:rPr>
        <w:t xml:space="preserve"> of Respondents by Crop Type </w:t>
      </w:r>
    </w:p>
    <w:p w14:paraId="32066824"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 xml:space="preserve">Table 4.1.5 below shows the distribution of respondents based on the major type of crop they </w:t>
      </w:r>
      <w:r>
        <w:rPr>
          <w:rFonts w:ascii="Times New Roman" w:hAnsi="Times New Roman" w:cs="Times New Roman"/>
          <w:sz w:val="24"/>
          <w:lang w:val="en-GB" w:eastAsia="en-US"/>
        </w:rPr>
        <w:lastRenderedPageBreak/>
        <w:t>cultivate. The table revealed that 45.0% of the respondents grow root and tuber crops, 20.8% cultivate legumes, another 20.8% grow vegetables, while 13.3% are engaged in the cultivation of cereal crops. This indicates that root and tuber crops are the most commonly cultivated crops among farmers in the study area, possibly due to their adaptability to the local soil and climate conditions, and their role as staple food sources.</w:t>
      </w:r>
    </w:p>
    <w:p w14:paraId="3AD5FD2D" w14:textId="77777777" w:rsidR="0060221F" w:rsidRDefault="0060221F" w:rsidP="0060221F">
      <w:pPr>
        <w:widowControl/>
        <w:spacing w:after="0" w:line="240" w:lineRule="auto"/>
        <w:jc w:val="left"/>
        <w:rPr>
          <w:rFonts w:ascii="Times New Roman" w:eastAsia="Arial" w:hAnsi="Times New Roman" w:cs="Times New Roman"/>
          <w:b/>
          <w:bCs/>
          <w:sz w:val="24"/>
        </w:rPr>
      </w:pPr>
      <w:r>
        <w:rPr>
          <w:rFonts w:ascii="Times New Roman" w:hAnsi="Times New Roman" w:cs="Times New Roman"/>
          <w:b/>
          <w:bCs/>
          <w:sz w:val="24"/>
          <w:lang w:val="en-GB" w:eastAsia="en-US"/>
        </w:rPr>
        <w:t xml:space="preserve">Table 4.1.5 Frequency Distribution of Respondents by Crop Type </w:t>
      </w:r>
    </w:p>
    <w:tbl>
      <w:tblPr>
        <w:tblW w:w="5729" w:type="dxa"/>
        <w:tblCellMar>
          <w:top w:w="15" w:type="dxa"/>
          <w:left w:w="15" w:type="dxa"/>
          <w:bottom w:w="15" w:type="dxa"/>
          <w:right w:w="15" w:type="dxa"/>
        </w:tblCellMar>
        <w:tblLook w:val="04A0" w:firstRow="1" w:lastRow="0" w:firstColumn="1" w:lastColumn="0" w:noHBand="0" w:noVBand="1"/>
      </w:tblPr>
      <w:tblGrid>
        <w:gridCol w:w="2476"/>
        <w:gridCol w:w="1694"/>
        <w:gridCol w:w="1559"/>
      </w:tblGrid>
      <w:tr w:rsidR="0060221F" w14:paraId="430B2396" w14:textId="77777777" w:rsidTr="00116EB8">
        <w:trPr>
          <w:trHeight w:val="311"/>
        </w:trPr>
        <w:tc>
          <w:tcPr>
            <w:tcW w:w="2476" w:type="dxa"/>
            <w:tcBorders>
              <w:bottom w:val="single" w:sz="4" w:space="0" w:color="993300"/>
            </w:tcBorders>
            <w:tcMar>
              <w:top w:w="15" w:type="dxa"/>
              <w:left w:w="15" w:type="dxa"/>
              <w:bottom w:w="15" w:type="dxa"/>
              <w:right w:w="15" w:type="dxa"/>
            </w:tcMar>
            <w:vAlign w:val="bottom"/>
          </w:tcPr>
          <w:p w14:paraId="3E5E87D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Crop Type</w:t>
            </w:r>
          </w:p>
        </w:tc>
        <w:tc>
          <w:tcPr>
            <w:tcW w:w="1694" w:type="dxa"/>
            <w:tcBorders>
              <w:bottom w:val="single" w:sz="4" w:space="0" w:color="993300"/>
              <w:right w:val="single" w:sz="4" w:space="0" w:color="333399"/>
            </w:tcBorders>
            <w:tcMar>
              <w:top w:w="15" w:type="dxa"/>
              <w:left w:w="15" w:type="dxa"/>
              <w:bottom w:w="15" w:type="dxa"/>
              <w:right w:w="15" w:type="dxa"/>
            </w:tcMar>
            <w:vAlign w:val="bottom"/>
          </w:tcPr>
          <w:p w14:paraId="4B8EB49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559"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3CB33BD5"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0201B481" w14:textId="77777777" w:rsidTr="00116EB8">
        <w:trPr>
          <w:trHeight w:val="311"/>
        </w:trPr>
        <w:tc>
          <w:tcPr>
            <w:tcW w:w="2476" w:type="dxa"/>
            <w:tcBorders>
              <w:top w:val="single" w:sz="4" w:space="0" w:color="993300"/>
              <w:bottom w:val="single" w:sz="4" w:space="0" w:color="333333"/>
            </w:tcBorders>
            <w:shd w:val="clear" w:color="FFFFFF" w:fill="CCCCFF"/>
            <w:tcMar>
              <w:top w:w="15" w:type="dxa"/>
              <w:left w:w="15" w:type="dxa"/>
              <w:bottom w:w="15" w:type="dxa"/>
              <w:right w:w="15" w:type="dxa"/>
            </w:tcMar>
          </w:tcPr>
          <w:p w14:paraId="1D60F6B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Cereal</w:t>
            </w:r>
          </w:p>
        </w:tc>
        <w:tc>
          <w:tcPr>
            <w:tcW w:w="1694"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2BE6111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16</w:t>
            </w:r>
          </w:p>
        </w:tc>
        <w:tc>
          <w:tcPr>
            <w:tcW w:w="1559"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342B73A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13.3</w:t>
            </w:r>
          </w:p>
        </w:tc>
      </w:tr>
      <w:tr w:rsidR="0060221F" w14:paraId="5E810CD2" w14:textId="77777777" w:rsidTr="00116EB8">
        <w:trPr>
          <w:trHeight w:val="311"/>
        </w:trPr>
        <w:tc>
          <w:tcPr>
            <w:tcW w:w="2476" w:type="dxa"/>
            <w:tcBorders>
              <w:top w:val="single" w:sz="4" w:space="0" w:color="333333"/>
              <w:bottom w:val="single" w:sz="4" w:space="0" w:color="333333"/>
            </w:tcBorders>
            <w:shd w:val="clear" w:color="FFFFFF" w:fill="CCCCFF"/>
            <w:tcMar>
              <w:top w:w="15" w:type="dxa"/>
              <w:left w:w="15" w:type="dxa"/>
              <w:bottom w:w="15" w:type="dxa"/>
              <w:right w:w="15" w:type="dxa"/>
            </w:tcMar>
          </w:tcPr>
          <w:p w14:paraId="1676679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Legumes</w:t>
            </w:r>
          </w:p>
        </w:tc>
        <w:tc>
          <w:tcPr>
            <w:tcW w:w="16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5771FF6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25</w:t>
            </w:r>
          </w:p>
        </w:tc>
        <w:tc>
          <w:tcPr>
            <w:tcW w:w="1559"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4B60E01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20.8</w:t>
            </w:r>
          </w:p>
        </w:tc>
      </w:tr>
      <w:tr w:rsidR="0060221F" w14:paraId="315C97BE" w14:textId="77777777" w:rsidTr="00116EB8">
        <w:trPr>
          <w:trHeight w:val="311"/>
        </w:trPr>
        <w:tc>
          <w:tcPr>
            <w:tcW w:w="2476" w:type="dxa"/>
            <w:tcBorders>
              <w:top w:val="single" w:sz="4" w:space="0" w:color="333333"/>
              <w:bottom w:val="single" w:sz="4" w:space="0" w:color="333333"/>
            </w:tcBorders>
            <w:shd w:val="clear" w:color="FFFFFF" w:fill="CCCCFF"/>
            <w:tcMar>
              <w:top w:w="15" w:type="dxa"/>
              <w:left w:w="15" w:type="dxa"/>
              <w:bottom w:w="15" w:type="dxa"/>
              <w:right w:w="15" w:type="dxa"/>
            </w:tcMar>
          </w:tcPr>
          <w:p w14:paraId="17D5BEE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Root and Tuber</w:t>
            </w:r>
          </w:p>
        </w:tc>
        <w:tc>
          <w:tcPr>
            <w:tcW w:w="16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7E09DCB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54</w:t>
            </w:r>
          </w:p>
        </w:tc>
        <w:tc>
          <w:tcPr>
            <w:tcW w:w="1559"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5B64494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45.0</w:t>
            </w:r>
          </w:p>
        </w:tc>
      </w:tr>
      <w:tr w:rsidR="0060221F" w14:paraId="4D0BCB42" w14:textId="77777777" w:rsidTr="00116EB8">
        <w:trPr>
          <w:trHeight w:val="311"/>
        </w:trPr>
        <w:tc>
          <w:tcPr>
            <w:tcW w:w="2476" w:type="dxa"/>
            <w:tcBorders>
              <w:top w:val="single" w:sz="4" w:space="0" w:color="333333"/>
              <w:bottom w:val="single" w:sz="4" w:space="0" w:color="333333"/>
            </w:tcBorders>
            <w:shd w:val="clear" w:color="FFFFFF" w:fill="CCCCFF"/>
            <w:tcMar>
              <w:top w:w="15" w:type="dxa"/>
              <w:left w:w="15" w:type="dxa"/>
              <w:bottom w:w="15" w:type="dxa"/>
              <w:right w:w="15" w:type="dxa"/>
            </w:tcMar>
          </w:tcPr>
          <w:p w14:paraId="4836112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Vegetables</w:t>
            </w:r>
          </w:p>
        </w:tc>
        <w:tc>
          <w:tcPr>
            <w:tcW w:w="1694"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5D3D5A7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25</w:t>
            </w:r>
          </w:p>
        </w:tc>
        <w:tc>
          <w:tcPr>
            <w:tcW w:w="1559"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15C54C4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20.8</w:t>
            </w:r>
          </w:p>
        </w:tc>
      </w:tr>
      <w:tr w:rsidR="0060221F" w14:paraId="05956E24" w14:textId="77777777" w:rsidTr="00116EB8">
        <w:trPr>
          <w:trHeight w:val="311"/>
        </w:trPr>
        <w:tc>
          <w:tcPr>
            <w:tcW w:w="2476" w:type="dxa"/>
            <w:tcBorders>
              <w:top w:val="single" w:sz="4" w:space="0" w:color="333333"/>
              <w:bottom w:val="single" w:sz="4" w:space="0" w:color="993300"/>
            </w:tcBorders>
            <w:shd w:val="clear" w:color="FFFFFF" w:fill="CCCCFF"/>
            <w:tcMar>
              <w:top w:w="15" w:type="dxa"/>
              <w:left w:w="15" w:type="dxa"/>
              <w:bottom w:w="15" w:type="dxa"/>
              <w:right w:w="15" w:type="dxa"/>
            </w:tcMar>
          </w:tcPr>
          <w:p w14:paraId="588174C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694"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796A9D6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559"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0A2697A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50AF0796"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65C2DB48" w14:textId="77777777" w:rsidR="0060221F" w:rsidRDefault="0060221F" w:rsidP="0060221F">
      <w:pPr>
        <w:spacing w:line="278" w:lineRule="auto"/>
        <w:rPr>
          <w:rFonts w:ascii="Times New Roman" w:hAnsi="Times New Roman" w:cs="Times New Roman"/>
          <w:b/>
          <w:bCs/>
          <w:sz w:val="24"/>
          <w:lang w:val="en-GB" w:eastAsia="en-US"/>
        </w:rPr>
      </w:pPr>
    </w:p>
    <w:p w14:paraId="7F635888"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4.1.6  Distribution</w:t>
      </w:r>
      <w:proofErr w:type="gramEnd"/>
      <w:r>
        <w:rPr>
          <w:rFonts w:ascii="Times New Roman" w:hAnsi="Times New Roman" w:cs="Times New Roman"/>
          <w:b/>
          <w:bCs/>
          <w:sz w:val="24"/>
          <w:lang w:val="en-GB" w:eastAsia="en-US"/>
        </w:rPr>
        <w:t xml:space="preserve"> of Respondents by Farming method </w:t>
      </w:r>
    </w:p>
    <w:p w14:paraId="21485185"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4.1.6 below shows the distribution of respondents based on the farming methods they practice. The table indicated that 49.2% of the respondents use both traditional and modern farming methods, 25.8% practice traditional farming only, while 25.0% use modern farming methods exclusively. This suggests that a large proportion of crop farmers in the study area adopt a mixed approach, possibly to balance cost, risk, and productivity, and may reflect a gradual transition from traditional to modern agricultural practices.</w:t>
      </w:r>
    </w:p>
    <w:p w14:paraId="6E6C1562"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4.1.6  Frequency</w:t>
      </w:r>
      <w:proofErr w:type="gramEnd"/>
      <w:r>
        <w:rPr>
          <w:rFonts w:ascii="Times New Roman" w:hAnsi="Times New Roman" w:cs="Times New Roman"/>
          <w:b/>
          <w:bCs/>
          <w:sz w:val="24"/>
          <w:lang w:val="en-GB" w:eastAsia="en-US"/>
        </w:rPr>
        <w:t xml:space="preserve"> Distribution of Respondents by Farming method </w:t>
      </w:r>
    </w:p>
    <w:tbl>
      <w:tblPr>
        <w:tblW w:w="5610" w:type="dxa"/>
        <w:tblCellMar>
          <w:top w:w="15" w:type="dxa"/>
          <w:left w:w="15" w:type="dxa"/>
          <w:bottom w:w="15" w:type="dxa"/>
          <w:right w:w="15" w:type="dxa"/>
        </w:tblCellMar>
        <w:tblLook w:val="04A0" w:firstRow="1" w:lastRow="0" w:firstColumn="1" w:lastColumn="0" w:noHBand="0" w:noVBand="1"/>
      </w:tblPr>
      <w:tblGrid>
        <w:gridCol w:w="1975"/>
        <w:gridCol w:w="1893"/>
        <w:gridCol w:w="1742"/>
      </w:tblGrid>
      <w:tr w:rsidR="0060221F" w14:paraId="2B36EBAF" w14:textId="77777777" w:rsidTr="00116EB8">
        <w:trPr>
          <w:trHeight w:val="339"/>
        </w:trPr>
        <w:tc>
          <w:tcPr>
            <w:tcW w:w="1975" w:type="dxa"/>
            <w:tcBorders>
              <w:bottom w:val="single" w:sz="4" w:space="0" w:color="993300"/>
            </w:tcBorders>
            <w:tcMar>
              <w:top w:w="15" w:type="dxa"/>
              <w:left w:w="15" w:type="dxa"/>
              <w:bottom w:w="15" w:type="dxa"/>
              <w:right w:w="15" w:type="dxa"/>
            </w:tcMar>
            <w:vAlign w:val="bottom"/>
          </w:tcPr>
          <w:p w14:paraId="437D480A"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Farming Method</w:t>
            </w:r>
          </w:p>
        </w:tc>
        <w:tc>
          <w:tcPr>
            <w:tcW w:w="1893" w:type="dxa"/>
            <w:tcBorders>
              <w:bottom w:val="single" w:sz="4" w:space="0" w:color="993300"/>
              <w:right w:val="single" w:sz="4" w:space="0" w:color="333399"/>
            </w:tcBorders>
            <w:tcMar>
              <w:top w:w="15" w:type="dxa"/>
              <w:left w:w="15" w:type="dxa"/>
              <w:bottom w:w="15" w:type="dxa"/>
              <w:right w:w="15" w:type="dxa"/>
            </w:tcMar>
            <w:vAlign w:val="bottom"/>
          </w:tcPr>
          <w:p w14:paraId="38416FC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742"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416A6F2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1C29B87C" w14:textId="77777777" w:rsidTr="00116EB8">
        <w:trPr>
          <w:trHeight w:val="339"/>
        </w:trPr>
        <w:tc>
          <w:tcPr>
            <w:tcW w:w="1975" w:type="dxa"/>
            <w:tcBorders>
              <w:top w:val="single" w:sz="4" w:space="0" w:color="993300"/>
              <w:bottom w:val="single" w:sz="4" w:space="0" w:color="333333"/>
            </w:tcBorders>
            <w:shd w:val="clear" w:color="FFFFFF" w:fill="CCCCFF"/>
            <w:tcMar>
              <w:top w:w="15" w:type="dxa"/>
              <w:left w:w="15" w:type="dxa"/>
              <w:bottom w:w="15" w:type="dxa"/>
              <w:right w:w="15" w:type="dxa"/>
            </w:tcMar>
          </w:tcPr>
          <w:p w14:paraId="74FC5B1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Traditional</w:t>
            </w:r>
          </w:p>
        </w:tc>
        <w:tc>
          <w:tcPr>
            <w:tcW w:w="1893"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1040266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31</w:t>
            </w:r>
          </w:p>
        </w:tc>
        <w:tc>
          <w:tcPr>
            <w:tcW w:w="1742"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080E002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25.8</w:t>
            </w:r>
          </w:p>
        </w:tc>
      </w:tr>
      <w:tr w:rsidR="0060221F" w14:paraId="214F75ED" w14:textId="77777777" w:rsidTr="00116EB8">
        <w:trPr>
          <w:trHeight w:val="339"/>
        </w:trPr>
        <w:tc>
          <w:tcPr>
            <w:tcW w:w="1975" w:type="dxa"/>
            <w:tcBorders>
              <w:top w:val="single" w:sz="4" w:space="0" w:color="333333"/>
              <w:bottom w:val="single" w:sz="4" w:space="0" w:color="333333"/>
            </w:tcBorders>
            <w:shd w:val="clear" w:color="FFFFFF" w:fill="CCCCFF"/>
            <w:tcMar>
              <w:top w:w="15" w:type="dxa"/>
              <w:left w:w="15" w:type="dxa"/>
              <w:bottom w:w="15" w:type="dxa"/>
              <w:right w:w="15" w:type="dxa"/>
            </w:tcMar>
          </w:tcPr>
          <w:p w14:paraId="0797236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Modern</w:t>
            </w:r>
          </w:p>
        </w:tc>
        <w:tc>
          <w:tcPr>
            <w:tcW w:w="1893"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4C34C17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30</w:t>
            </w:r>
          </w:p>
        </w:tc>
        <w:tc>
          <w:tcPr>
            <w:tcW w:w="174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1EEDBBE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25.0</w:t>
            </w:r>
          </w:p>
        </w:tc>
      </w:tr>
      <w:tr w:rsidR="0060221F" w14:paraId="79B2E8F0" w14:textId="77777777" w:rsidTr="00116EB8">
        <w:trPr>
          <w:trHeight w:val="339"/>
        </w:trPr>
        <w:tc>
          <w:tcPr>
            <w:tcW w:w="1975" w:type="dxa"/>
            <w:tcBorders>
              <w:top w:val="single" w:sz="4" w:space="0" w:color="333333"/>
              <w:bottom w:val="single" w:sz="4" w:space="0" w:color="333333"/>
            </w:tcBorders>
            <w:shd w:val="clear" w:color="FFFFFF" w:fill="CCCCFF"/>
            <w:tcMar>
              <w:top w:w="15" w:type="dxa"/>
              <w:left w:w="15" w:type="dxa"/>
              <w:bottom w:w="15" w:type="dxa"/>
              <w:right w:w="15" w:type="dxa"/>
            </w:tcMar>
          </w:tcPr>
          <w:p w14:paraId="006BBE1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Both</w:t>
            </w:r>
          </w:p>
        </w:tc>
        <w:tc>
          <w:tcPr>
            <w:tcW w:w="1893"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4069678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59</w:t>
            </w:r>
          </w:p>
        </w:tc>
        <w:tc>
          <w:tcPr>
            <w:tcW w:w="174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26B49B3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49.2</w:t>
            </w:r>
          </w:p>
        </w:tc>
      </w:tr>
      <w:tr w:rsidR="0060221F" w14:paraId="7A713629" w14:textId="77777777" w:rsidTr="00116EB8">
        <w:trPr>
          <w:trHeight w:val="339"/>
        </w:trPr>
        <w:tc>
          <w:tcPr>
            <w:tcW w:w="1975" w:type="dxa"/>
            <w:tcBorders>
              <w:top w:val="single" w:sz="4" w:space="0" w:color="333333"/>
              <w:bottom w:val="single" w:sz="4" w:space="0" w:color="993300"/>
            </w:tcBorders>
            <w:shd w:val="clear" w:color="FFFFFF" w:fill="CCCCFF"/>
            <w:tcMar>
              <w:top w:w="15" w:type="dxa"/>
              <w:left w:w="15" w:type="dxa"/>
              <w:bottom w:w="15" w:type="dxa"/>
              <w:right w:w="15" w:type="dxa"/>
            </w:tcMar>
          </w:tcPr>
          <w:p w14:paraId="5F9F313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893"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7930699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742"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514FB8C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6437AABE"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469E31EF"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4.1.7  Distribution</w:t>
      </w:r>
      <w:proofErr w:type="gramEnd"/>
      <w:r>
        <w:rPr>
          <w:rFonts w:ascii="Times New Roman" w:hAnsi="Times New Roman" w:cs="Times New Roman"/>
          <w:b/>
          <w:bCs/>
          <w:sz w:val="24"/>
          <w:lang w:val="en-GB" w:eastAsia="en-US"/>
        </w:rPr>
        <w:t xml:space="preserve"> of Respondents by Access to Farm Inputs</w:t>
      </w:r>
    </w:p>
    <w:p w14:paraId="3DEE81C7"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 xml:space="preserve">The table 4.7 below shows the distribution of respondents based on their access to farm inputs. </w:t>
      </w:r>
      <w:r>
        <w:rPr>
          <w:rFonts w:ascii="Times New Roman" w:hAnsi="Times New Roman" w:cs="Times New Roman"/>
          <w:sz w:val="24"/>
          <w:lang w:val="en-GB" w:eastAsia="en-US"/>
        </w:rPr>
        <w:lastRenderedPageBreak/>
        <w:t>The table revealed that 66.7% of the respondents have access to farm inputs, while 33.3% do not. This indicates that the majority of the crop farmers in the study area have access to essential agricultural inputs, which is crucial for improving productivity and reducing poverty.</w:t>
      </w:r>
    </w:p>
    <w:p w14:paraId="01F594FA" w14:textId="77777777" w:rsidR="0060221F" w:rsidRDefault="0060221F" w:rsidP="0060221F">
      <w:pPr>
        <w:widowControl/>
        <w:spacing w:after="0" w:line="240" w:lineRule="auto"/>
        <w:jc w:val="left"/>
        <w:rPr>
          <w:rFonts w:ascii="Times New Roman" w:hAnsi="Times New Roman" w:cs="Times New Roman"/>
          <w:b/>
          <w:bCs/>
          <w:sz w:val="24"/>
          <w:lang w:val="en-GB" w:eastAsia="en-US"/>
        </w:rPr>
      </w:pPr>
    </w:p>
    <w:p w14:paraId="4560DA97"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4.1.7  Frequency</w:t>
      </w:r>
      <w:proofErr w:type="gramEnd"/>
      <w:r>
        <w:rPr>
          <w:rFonts w:ascii="Times New Roman" w:hAnsi="Times New Roman" w:cs="Times New Roman"/>
          <w:b/>
          <w:bCs/>
          <w:sz w:val="24"/>
          <w:lang w:val="en-GB" w:eastAsia="en-US"/>
        </w:rPr>
        <w:t xml:space="preserve"> Distribution of Respondents by Access to Farm Inputs </w:t>
      </w:r>
    </w:p>
    <w:tbl>
      <w:tblPr>
        <w:tblW w:w="6334" w:type="dxa"/>
        <w:tblCellMar>
          <w:top w:w="15" w:type="dxa"/>
          <w:left w:w="15" w:type="dxa"/>
          <w:bottom w:w="15" w:type="dxa"/>
          <w:right w:w="15" w:type="dxa"/>
        </w:tblCellMar>
        <w:tblLook w:val="04A0" w:firstRow="1" w:lastRow="0" w:firstColumn="1" w:lastColumn="0" w:noHBand="0" w:noVBand="1"/>
      </w:tblPr>
      <w:tblGrid>
        <w:gridCol w:w="2052"/>
        <w:gridCol w:w="2230"/>
        <w:gridCol w:w="2052"/>
      </w:tblGrid>
      <w:tr w:rsidR="0060221F" w14:paraId="430B2922" w14:textId="77777777" w:rsidTr="00116EB8">
        <w:trPr>
          <w:trHeight w:val="660"/>
        </w:trPr>
        <w:tc>
          <w:tcPr>
            <w:tcW w:w="2052" w:type="dxa"/>
            <w:tcBorders>
              <w:bottom w:val="single" w:sz="4" w:space="0" w:color="993300"/>
            </w:tcBorders>
            <w:tcMar>
              <w:top w:w="15" w:type="dxa"/>
              <w:left w:w="15" w:type="dxa"/>
              <w:bottom w:w="15" w:type="dxa"/>
              <w:right w:w="15" w:type="dxa"/>
            </w:tcMar>
            <w:vAlign w:val="bottom"/>
          </w:tcPr>
          <w:p w14:paraId="2FAEAD4C"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Access to Farm Inputs</w:t>
            </w:r>
          </w:p>
        </w:tc>
        <w:tc>
          <w:tcPr>
            <w:tcW w:w="2230" w:type="dxa"/>
            <w:tcBorders>
              <w:bottom w:val="single" w:sz="4" w:space="0" w:color="993300"/>
              <w:right w:val="single" w:sz="4" w:space="0" w:color="333399"/>
            </w:tcBorders>
            <w:tcMar>
              <w:top w:w="15" w:type="dxa"/>
              <w:left w:w="15" w:type="dxa"/>
              <w:bottom w:w="15" w:type="dxa"/>
              <w:right w:w="15" w:type="dxa"/>
            </w:tcMar>
            <w:vAlign w:val="bottom"/>
          </w:tcPr>
          <w:p w14:paraId="5B3B104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2052"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03ED560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77EF1CCF" w14:textId="77777777" w:rsidTr="00116EB8">
        <w:trPr>
          <w:trHeight w:val="660"/>
        </w:trPr>
        <w:tc>
          <w:tcPr>
            <w:tcW w:w="2052" w:type="dxa"/>
            <w:tcBorders>
              <w:top w:val="single" w:sz="4" w:space="0" w:color="993300"/>
              <w:bottom w:val="single" w:sz="4" w:space="0" w:color="333333"/>
            </w:tcBorders>
            <w:shd w:val="clear" w:color="FFFFFF" w:fill="CCCCFF"/>
            <w:tcMar>
              <w:top w:w="15" w:type="dxa"/>
              <w:left w:w="15" w:type="dxa"/>
              <w:bottom w:w="15" w:type="dxa"/>
              <w:right w:w="15" w:type="dxa"/>
            </w:tcMar>
          </w:tcPr>
          <w:p w14:paraId="1E35D33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No</w:t>
            </w:r>
          </w:p>
        </w:tc>
        <w:tc>
          <w:tcPr>
            <w:tcW w:w="2230"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11F4EB5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40</w:t>
            </w:r>
          </w:p>
        </w:tc>
        <w:tc>
          <w:tcPr>
            <w:tcW w:w="2052"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7BF4C32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33.3</w:t>
            </w:r>
          </w:p>
        </w:tc>
      </w:tr>
      <w:tr w:rsidR="0060221F" w14:paraId="4A96E098" w14:textId="77777777" w:rsidTr="00116EB8">
        <w:trPr>
          <w:trHeight w:val="660"/>
        </w:trPr>
        <w:tc>
          <w:tcPr>
            <w:tcW w:w="2052" w:type="dxa"/>
            <w:tcBorders>
              <w:top w:val="single" w:sz="4" w:space="0" w:color="333333"/>
              <w:bottom w:val="single" w:sz="4" w:space="0" w:color="333333"/>
            </w:tcBorders>
            <w:shd w:val="clear" w:color="FFFFFF" w:fill="CCCCFF"/>
            <w:tcMar>
              <w:top w:w="15" w:type="dxa"/>
              <w:left w:w="15" w:type="dxa"/>
              <w:bottom w:w="15" w:type="dxa"/>
              <w:right w:w="15" w:type="dxa"/>
            </w:tcMar>
          </w:tcPr>
          <w:p w14:paraId="2B311E3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Yes</w:t>
            </w:r>
          </w:p>
        </w:tc>
        <w:tc>
          <w:tcPr>
            <w:tcW w:w="2230"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16612F4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80</w:t>
            </w:r>
          </w:p>
        </w:tc>
        <w:tc>
          <w:tcPr>
            <w:tcW w:w="205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295F5D9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66.7</w:t>
            </w:r>
          </w:p>
        </w:tc>
      </w:tr>
      <w:tr w:rsidR="0060221F" w14:paraId="311FD7B2" w14:textId="77777777" w:rsidTr="00116EB8">
        <w:trPr>
          <w:trHeight w:val="660"/>
        </w:trPr>
        <w:tc>
          <w:tcPr>
            <w:tcW w:w="2052" w:type="dxa"/>
            <w:tcBorders>
              <w:top w:val="single" w:sz="4" w:space="0" w:color="333333"/>
              <w:bottom w:val="single" w:sz="4" w:space="0" w:color="993300"/>
            </w:tcBorders>
            <w:shd w:val="clear" w:color="FFFFFF" w:fill="CCCCFF"/>
            <w:tcMar>
              <w:top w:w="15" w:type="dxa"/>
              <w:left w:w="15" w:type="dxa"/>
              <w:bottom w:w="15" w:type="dxa"/>
              <w:right w:w="15" w:type="dxa"/>
            </w:tcMar>
          </w:tcPr>
          <w:p w14:paraId="1933068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2230"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558E44A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2052"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4DEDA6A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2DA29EE2"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52B60810" w14:textId="77777777" w:rsidR="0060221F" w:rsidRDefault="0060221F" w:rsidP="0060221F">
      <w:pPr>
        <w:spacing w:line="278" w:lineRule="auto"/>
        <w:rPr>
          <w:rFonts w:ascii="Times New Roman" w:eastAsia="Arial" w:hAnsi="Times New Roman" w:cs="Times New Roman"/>
          <w:b/>
          <w:bCs/>
          <w:sz w:val="24"/>
        </w:rPr>
      </w:pPr>
    </w:p>
    <w:p w14:paraId="2C601DFD"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4.1.8  Distribution</w:t>
      </w:r>
      <w:proofErr w:type="gramEnd"/>
      <w:r>
        <w:rPr>
          <w:rFonts w:ascii="Times New Roman" w:hAnsi="Times New Roman" w:cs="Times New Roman"/>
          <w:b/>
          <w:bCs/>
          <w:sz w:val="24"/>
          <w:lang w:val="en-GB" w:eastAsia="en-US"/>
        </w:rPr>
        <w:t xml:space="preserve"> of Respondents by Access to Market </w:t>
      </w:r>
    </w:p>
    <w:p w14:paraId="7E6B3405" w14:textId="77777777" w:rsidR="0060221F" w:rsidRPr="00B54887"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4.8 below shows the distribution of respondents based on their access to market. The table revealed that 80.8% of the respondents have access to market, while 19.2% do not. This indicates that the majority of crop farmers in the study area have access to markets for selling their produce, which is essential for income generation and economic sustainability.</w:t>
      </w:r>
    </w:p>
    <w:p w14:paraId="71B79E19"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4.1.8   Frequency Distribution of Respondents by Access to Market </w:t>
      </w:r>
    </w:p>
    <w:tbl>
      <w:tblPr>
        <w:tblW w:w="6566" w:type="dxa"/>
        <w:tblCellMar>
          <w:top w:w="15" w:type="dxa"/>
          <w:left w:w="15" w:type="dxa"/>
          <w:bottom w:w="15" w:type="dxa"/>
          <w:right w:w="15" w:type="dxa"/>
        </w:tblCellMar>
        <w:tblLook w:val="04A0" w:firstRow="1" w:lastRow="0" w:firstColumn="1" w:lastColumn="0" w:noHBand="0" w:noVBand="1"/>
      </w:tblPr>
      <w:tblGrid>
        <w:gridCol w:w="2127"/>
        <w:gridCol w:w="2312"/>
        <w:gridCol w:w="2127"/>
      </w:tblGrid>
      <w:tr w:rsidR="0060221F" w14:paraId="38032D85" w14:textId="77777777" w:rsidTr="00116EB8">
        <w:trPr>
          <w:trHeight w:val="360"/>
        </w:trPr>
        <w:tc>
          <w:tcPr>
            <w:tcW w:w="2127" w:type="dxa"/>
            <w:tcBorders>
              <w:bottom w:val="single" w:sz="4" w:space="0" w:color="993300"/>
            </w:tcBorders>
            <w:tcMar>
              <w:top w:w="15" w:type="dxa"/>
              <w:left w:w="15" w:type="dxa"/>
              <w:bottom w:w="15" w:type="dxa"/>
              <w:right w:w="15" w:type="dxa"/>
            </w:tcMar>
            <w:vAlign w:val="bottom"/>
          </w:tcPr>
          <w:p w14:paraId="2C390FB5"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Access to Market</w:t>
            </w:r>
          </w:p>
        </w:tc>
        <w:tc>
          <w:tcPr>
            <w:tcW w:w="2312" w:type="dxa"/>
            <w:tcBorders>
              <w:bottom w:val="single" w:sz="4" w:space="0" w:color="993300"/>
              <w:right w:val="single" w:sz="4" w:space="0" w:color="333399"/>
            </w:tcBorders>
            <w:tcMar>
              <w:top w:w="15" w:type="dxa"/>
              <w:left w:w="15" w:type="dxa"/>
              <w:bottom w:w="15" w:type="dxa"/>
              <w:right w:w="15" w:type="dxa"/>
            </w:tcMar>
            <w:vAlign w:val="bottom"/>
          </w:tcPr>
          <w:p w14:paraId="241C588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2127"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6E7C778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7F6049E5" w14:textId="77777777" w:rsidTr="00116EB8">
        <w:trPr>
          <w:trHeight w:val="360"/>
        </w:trPr>
        <w:tc>
          <w:tcPr>
            <w:tcW w:w="2127" w:type="dxa"/>
            <w:tcBorders>
              <w:top w:val="single" w:sz="4" w:space="0" w:color="993300"/>
              <w:bottom w:val="single" w:sz="4" w:space="0" w:color="333333"/>
            </w:tcBorders>
            <w:shd w:val="clear" w:color="FFFFFF" w:fill="CCCCFF"/>
            <w:tcMar>
              <w:top w:w="15" w:type="dxa"/>
              <w:left w:w="15" w:type="dxa"/>
              <w:bottom w:w="15" w:type="dxa"/>
              <w:right w:w="15" w:type="dxa"/>
            </w:tcMar>
          </w:tcPr>
          <w:p w14:paraId="6CF6244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No</w:t>
            </w:r>
          </w:p>
        </w:tc>
        <w:tc>
          <w:tcPr>
            <w:tcW w:w="2312"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39DB87C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23</w:t>
            </w:r>
          </w:p>
        </w:tc>
        <w:tc>
          <w:tcPr>
            <w:tcW w:w="2127"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35F47CB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19.2</w:t>
            </w:r>
          </w:p>
        </w:tc>
      </w:tr>
      <w:tr w:rsidR="0060221F" w14:paraId="79350658" w14:textId="77777777" w:rsidTr="00116EB8">
        <w:trPr>
          <w:trHeight w:val="360"/>
        </w:trPr>
        <w:tc>
          <w:tcPr>
            <w:tcW w:w="2127" w:type="dxa"/>
            <w:tcBorders>
              <w:top w:val="single" w:sz="4" w:space="0" w:color="333333"/>
              <w:bottom w:val="single" w:sz="4" w:space="0" w:color="333333"/>
            </w:tcBorders>
            <w:shd w:val="clear" w:color="FFFFFF" w:fill="CCCCFF"/>
            <w:tcMar>
              <w:top w:w="15" w:type="dxa"/>
              <w:left w:w="15" w:type="dxa"/>
              <w:bottom w:w="15" w:type="dxa"/>
              <w:right w:w="15" w:type="dxa"/>
            </w:tcMar>
          </w:tcPr>
          <w:p w14:paraId="2BFFCDD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Yes</w:t>
            </w:r>
          </w:p>
        </w:tc>
        <w:tc>
          <w:tcPr>
            <w:tcW w:w="2312"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0F89012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97</w:t>
            </w:r>
          </w:p>
        </w:tc>
        <w:tc>
          <w:tcPr>
            <w:tcW w:w="2127"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15FF2B8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80.8</w:t>
            </w:r>
          </w:p>
        </w:tc>
      </w:tr>
      <w:tr w:rsidR="0060221F" w14:paraId="333C9866" w14:textId="77777777" w:rsidTr="00116EB8">
        <w:trPr>
          <w:trHeight w:val="360"/>
        </w:trPr>
        <w:tc>
          <w:tcPr>
            <w:tcW w:w="2127" w:type="dxa"/>
            <w:tcBorders>
              <w:top w:val="single" w:sz="4" w:space="0" w:color="333333"/>
              <w:bottom w:val="single" w:sz="4" w:space="0" w:color="993300"/>
            </w:tcBorders>
            <w:shd w:val="clear" w:color="FFFFFF" w:fill="CCCCFF"/>
            <w:tcMar>
              <w:top w:w="15" w:type="dxa"/>
              <w:left w:w="15" w:type="dxa"/>
              <w:bottom w:w="15" w:type="dxa"/>
              <w:right w:w="15" w:type="dxa"/>
            </w:tcMar>
          </w:tcPr>
          <w:p w14:paraId="0241624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2312"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2164A8B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2127"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2DA8792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36AF429E"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7C9B7EC3" w14:textId="77777777" w:rsidR="0060221F" w:rsidRDefault="0060221F" w:rsidP="0060221F">
      <w:pPr>
        <w:spacing w:line="278" w:lineRule="auto"/>
        <w:rPr>
          <w:rFonts w:ascii="Times New Roman" w:eastAsia="Arial" w:hAnsi="Times New Roman" w:cs="Times New Roman"/>
          <w:b/>
          <w:bCs/>
          <w:sz w:val="24"/>
        </w:rPr>
      </w:pPr>
    </w:p>
    <w:p w14:paraId="745AF719"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4.1.9  Distribution</w:t>
      </w:r>
      <w:proofErr w:type="gramEnd"/>
      <w:r>
        <w:rPr>
          <w:rFonts w:ascii="Times New Roman" w:hAnsi="Times New Roman" w:cs="Times New Roman"/>
          <w:b/>
          <w:bCs/>
          <w:sz w:val="24"/>
          <w:lang w:val="en-GB" w:eastAsia="en-US"/>
        </w:rPr>
        <w:t xml:space="preserve"> of Respondents by Access to Basic Amenities </w:t>
      </w:r>
    </w:p>
    <w:p w14:paraId="60C66873"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 xml:space="preserve">The table 4.1.9 below shows the distribution of respondents based on their access to basic amenities. The table revealed that 74.2% of the respondents have access to basic amenities, while 25.8% do not. This indicates that the majority of crop farmers in the study area enjoy access to essential services such as water, electricity, healthcare, and roads, which can contribute positively </w:t>
      </w:r>
      <w:r>
        <w:rPr>
          <w:rFonts w:ascii="Times New Roman" w:hAnsi="Times New Roman" w:cs="Times New Roman"/>
          <w:sz w:val="24"/>
          <w:lang w:val="en-GB" w:eastAsia="en-US"/>
        </w:rPr>
        <w:lastRenderedPageBreak/>
        <w:t>to their overall well-being and productivity.</w:t>
      </w:r>
    </w:p>
    <w:p w14:paraId="36A1F30C"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4.1.9  Frequency</w:t>
      </w:r>
      <w:proofErr w:type="gramEnd"/>
      <w:r>
        <w:rPr>
          <w:rFonts w:ascii="Times New Roman" w:hAnsi="Times New Roman" w:cs="Times New Roman"/>
          <w:b/>
          <w:bCs/>
          <w:sz w:val="24"/>
          <w:lang w:val="en-GB" w:eastAsia="en-US"/>
        </w:rPr>
        <w:t xml:space="preserve"> Distribution of Respondents by Access to Basic Amenities </w:t>
      </w:r>
    </w:p>
    <w:tbl>
      <w:tblPr>
        <w:tblW w:w="6478" w:type="dxa"/>
        <w:tblCellMar>
          <w:top w:w="15" w:type="dxa"/>
          <w:left w:w="15" w:type="dxa"/>
          <w:bottom w:w="15" w:type="dxa"/>
          <w:right w:w="15" w:type="dxa"/>
        </w:tblCellMar>
        <w:tblLook w:val="04A0" w:firstRow="1" w:lastRow="0" w:firstColumn="1" w:lastColumn="0" w:noHBand="0" w:noVBand="1"/>
      </w:tblPr>
      <w:tblGrid>
        <w:gridCol w:w="2238"/>
        <w:gridCol w:w="2208"/>
        <w:gridCol w:w="2032"/>
      </w:tblGrid>
      <w:tr w:rsidR="0060221F" w14:paraId="15184A19" w14:textId="77777777" w:rsidTr="00116EB8">
        <w:trPr>
          <w:trHeight w:val="349"/>
        </w:trPr>
        <w:tc>
          <w:tcPr>
            <w:tcW w:w="2238" w:type="dxa"/>
            <w:tcBorders>
              <w:bottom w:val="single" w:sz="4" w:space="0" w:color="993300"/>
            </w:tcBorders>
            <w:tcMar>
              <w:top w:w="15" w:type="dxa"/>
              <w:left w:w="15" w:type="dxa"/>
              <w:bottom w:w="15" w:type="dxa"/>
              <w:right w:w="15" w:type="dxa"/>
            </w:tcMar>
            <w:vAlign w:val="bottom"/>
          </w:tcPr>
          <w:p w14:paraId="7DF5E314"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Access to Basic Amenities</w:t>
            </w:r>
          </w:p>
        </w:tc>
        <w:tc>
          <w:tcPr>
            <w:tcW w:w="2208" w:type="dxa"/>
            <w:tcBorders>
              <w:bottom w:val="single" w:sz="4" w:space="0" w:color="993300"/>
              <w:right w:val="single" w:sz="4" w:space="0" w:color="333399"/>
            </w:tcBorders>
            <w:tcMar>
              <w:top w:w="15" w:type="dxa"/>
              <w:left w:w="15" w:type="dxa"/>
              <w:bottom w:w="15" w:type="dxa"/>
              <w:right w:w="15" w:type="dxa"/>
            </w:tcMar>
            <w:vAlign w:val="bottom"/>
          </w:tcPr>
          <w:p w14:paraId="5D1580A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2032"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1CF599C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0AF171E1" w14:textId="77777777" w:rsidTr="00116EB8">
        <w:trPr>
          <w:trHeight w:val="349"/>
        </w:trPr>
        <w:tc>
          <w:tcPr>
            <w:tcW w:w="2238" w:type="dxa"/>
            <w:tcBorders>
              <w:top w:val="single" w:sz="4" w:space="0" w:color="993300"/>
              <w:bottom w:val="single" w:sz="4" w:space="0" w:color="333333"/>
            </w:tcBorders>
            <w:shd w:val="clear" w:color="FFFFFF" w:fill="CCCCFF"/>
            <w:tcMar>
              <w:top w:w="15" w:type="dxa"/>
              <w:left w:w="15" w:type="dxa"/>
              <w:bottom w:w="15" w:type="dxa"/>
              <w:right w:w="15" w:type="dxa"/>
            </w:tcMar>
          </w:tcPr>
          <w:p w14:paraId="5FDF516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No</w:t>
            </w:r>
          </w:p>
        </w:tc>
        <w:tc>
          <w:tcPr>
            <w:tcW w:w="2208"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1543090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31</w:t>
            </w:r>
          </w:p>
        </w:tc>
        <w:tc>
          <w:tcPr>
            <w:tcW w:w="2032"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47BF24B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25.8</w:t>
            </w:r>
          </w:p>
        </w:tc>
      </w:tr>
      <w:tr w:rsidR="0060221F" w14:paraId="0047DF5F" w14:textId="77777777" w:rsidTr="00116EB8">
        <w:trPr>
          <w:trHeight w:val="349"/>
        </w:trPr>
        <w:tc>
          <w:tcPr>
            <w:tcW w:w="2238" w:type="dxa"/>
            <w:tcBorders>
              <w:top w:val="single" w:sz="4" w:space="0" w:color="333333"/>
              <w:bottom w:val="single" w:sz="4" w:space="0" w:color="333333"/>
            </w:tcBorders>
            <w:shd w:val="clear" w:color="FFFFFF" w:fill="CCCCFF"/>
            <w:tcMar>
              <w:top w:w="15" w:type="dxa"/>
              <w:left w:w="15" w:type="dxa"/>
              <w:bottom w:w="15" w:type="dxa"/>
              <w:right w:w="15" w:type="dxa"/>
            </w:tcMar>
          </w:tcPr>
          <w:p w14:paraId="6BAA8AF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Yes</w:t>
            </w:r>
          </w:p>
        </w:tc>
        <w:tc>
          <w:tcPr>
            <w:tcW w:w="2208"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08A1475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89</w:t>
            </w:r>
          </w:p>
        </w:tc>
        <w:tc>
          <w:tcPr>
            <w:tcW w:w="2032"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2E39F3BA"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74.2</w:t>
            </w:r>
          </w:p>
        </w:tc>
      </w:tr>
      <w:tr w:rsidR="0060221F" w14:paraId="03FBC8DE" w14:textId="77777777" w:rsidTr="00116EB8">
        <w:trPr>
          <w:trHeight w:val="349"/>
        </w:trPr>
        <w:tc>
          <w:tcPr>
            <w:tcW w:w="2238" w:type="dxa"/>
            <w:tcBorders>
              <w:top w:val="single" w:sz="4" w:space="0" w:color="333333"/>
              <w:bottom w:val="single" w:sz="4" w:space="0" w:color="993300"/>
            </w:tcBorders>
            <w:shd w:val="clear" w:color="FFFFFF" w:fill="CCCCFF"/>
            <w:tcMar>
              <w:top w:w="15" w:type="dxa"/>
              <w:left w:w="15" w:type="dxa"/>
              <w:bottom w:w="15" w:type="dxa"/>
              <w:right w:w="15" w:type="dxa"/>
            </w:tcMar>
          </w:tcPr>
          <w:p w14:paraId="6050E6D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2208"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1AB4FA8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2032"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2BFC2A9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6D559B7A"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083A8552"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4.1.10  Distribution</w:t>
      </w:r>
      <w:proofErr w:type="gramEnd"/>
      <w:r>
        <w:rPr>
          <w:rFonts w:ascii="Times New Roman" w:hAnsi="Times New Roman" w:cs="Times New Roman"/>
          <w:b/>
          <w:bCs/>
          <w:sz w:val="24"/>
          <w:lang w:val="en-GB" w:eastAsia="en-US"/>
        </w:rPr>
        <w:t xml:space="preserve"> of Respondents by Food Security Status </w:t>
      </w:r>
    </w:p>
    <w:p w14:paraId="481940C7"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4.1.10 below shows the distribution of respondents based on their food security status. The table revealed that 77.5% of the respondents are food secure, while 22.5% are food insecure. This indicates that the majority of crop farming households in the study area have adequate access to food, which may be attributed to their involvement in food production.</w:t>
      </w:r>
    </w:p>
    <w:p w14:paraId="0BD6EFA8"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 xml:space="preserve">Table </w:t>
      </w:r>
      <w:proofErr w:type="gramStart"/>
      <w:r>
        <w:rPr>
          <w:rFonts w:ascii="Times New Roman" w:hAnsi="Times New Roman" w:cs="Times New Roman"/>
          <w:b/>
          <w:bCs/>
          <w:sz w:val="24"/>
          <w:lang w:val="en-GB" w:eastAsia="en-US"/>
        </w:rPr>
        <w:t>4.1.10  Frequency</w:t>
      </w:r>
      <w:proofErr w:type="gramEnd"/>
      <w:r>
        <w:rPr>
          <w:rFonts w:ascii="Times New Roman" w:hAnsi="Times New Roman" w:cs="Times New Roman"/>
          <w:b/>
          <w:bCs/>
          <w:sz w:val="24"/>
          <w:lang w:val="en-GB" w:eastAsia="en-US"/>
        </w:rPr>
        <w:t xml:space="preserve"> Distribution of Respondents by Food Security Status </w:t>
      </w:r>
    </w:p>
    <w:tbl>
      <w:tblPr>
        <w:tblW w:w="6188" w:type="dxa"/>
        <w:tblCellMar>
          <w:top w:w="15" w:type="dxa"/>
          <w:left w:w="15" w:type="dxa"/>
          <w:bottom w:w="15" w:type="dxa"/>
          <w:right w:w="15" w:type="dxa"/>
        </w:tblCellMar>
        <w:tblLook w:val="04A0" w:firstRow="1" w:lastRow="0" w:firstColumn="1" w:lastColumn="0" w:noHBand="0" w:noVBand="1"/>
      </w:tblPr>
      <w:tblGrid>
        <w:gridCol w:w="2543"/>
        <w:gridCol w:w="1898"/>
        <w:gridCol w:w="1747"/>
      </w:tblGrid>
      <w:tr w:rsidR="0060221F" w14:paraId="40944ECC" w14:textId="77777777" w:rsidTr="00116EB8">
        <w:trPr>
          <w:trHeight w:val="314"/>
        </w:trPr>
        <w:tc>
          <w:tcPr>
            <w:tcW w:w="2543" w:type="dxa"/>
            <w:tcBorders>
              <w:bottom w:val="single" w:sz="4" w:space="0" w:color="993300"/>
            </w:tcBorders>
            <w:tcMar>
              <w:top w:w="15" w:type="dxa"/>
              <w:left w:w="15" w:type="dxa"/>
              <w:bottom w:w="15" w:type="dxa"/>
              <w:right w:w="15" w:type="dxa"/>
            </w:tcMar>
            <w:vAlign w:val="bottom"/>
          </w:tcPr>
          <w:p w14:paraId="4FB4BFF2"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Food Security Status</w:t>
            </w:r>
          </w:p>
        </w:tc>
        <w:tc>
          <w:tcPr>
            <w:tcW w:w="1898" w:type="dxa"/>
            <w:tcBorders>
              <w:bottom w:val="single" w:sz="4" w:space="0" w:color="993300"/>
              <w:right w:val="single" w:sz="4" w:space="0" w:color="333399"/>
            </w:tcBorders>
            <w:tcMar>
              <w:top w:w="15" w:type="dxa"/>
              <w:left w:w="15" w:type="dxa"/>
              <w:bottom w:w="15" w:type="dxa"/>
              <w:right w:w="15" w:type="dxa"/>
            </w:tcMar>
            <w:vAlign w:val="bottom"/>
          </w:tcPr>
          <w:p w14:paraId="64347E6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747"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4CE321C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6652264E" w14:textId="77777777" w:rsidTr="00116EB8">
        <w:trPr>
          <w:trHeight w:val="314"/>
        </w:trPr>
        <w:tc>
          <w:tcPr>
            <w:tcW w:w="2543" w:type="dxa"/>
            <w:tcBorders>
              <w:top w:val="single" w:sz="4" w:space="0" w:color="993300"/>
              <w:bottom w:val="single" w:sz="4" w:space="0" w:color="333333"/>
            </w:tcBorders>
            <w:shd w:val="clear" w:color="FFFFFF" w:fill="CCCCFF"/>
            <w:tcMar>
              <w:top w:w="15" w:type="dxa"/>
              <w:left w:w="15" w:type="dxa"/>
              <w:bottom w:w="15" w:type="dxa"/>
              <w:right w:w="15" w:type="dxa"/>
            </w:tcMar>
          </w:tcPr>
          <w:p w14:paraId="149FD11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Food Secure</w:t>
            </w:r>
          </w:p>
        </w:tc>
        <w:tc>
          <w:tcPr>
            <w:tcW w:w="1898"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5224FED3"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93</w:t>
            </w:r>
          </w:p>
        </w:tc>
        <w:tc>
          <w:tcPr>
            <w:tcW w:w="1747"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7050C994"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77.5</w:t>
            </w:r>
          </w:p>
        </w:tc>
      </w:tr>
      <w:tr w:rsidR="0060221F" w14:paraId="7D61E606" w14:textId="77777777" w:rsidTr="00116EB8">
        <w:trPr>
          <w:trHeight w:val="314"/>
        </w:trPr>
        <w:tc>
          <w:tcPr>
            <w:tcW w:w="2543" w:type="dxa"/>
            <w:tcBorders>
              <w:top w:val="single" w:sz="4" w:space="0" w:color="333333"/>
              <w:bottom w:val="single" w:sz="4" w:space="0" w:color="333333"/>
            </w:tcBorders>
            <w:shd w:val="clear" w:color="FFFFFF" w:fill="CCCCFF"/>
            <w:tcMar>
              <w:top w:w="15" w:type="dxa"/>
              <w:left w:w="15" w:type="dxa"/>
              <w:bottom w:w="15" w:type="dxa"/>
              <w:right w:w="15" w:type="dxa"/>
            </w:tcMar>
          </w:tcPr>
          <w:p w14:paraId="78945BC5"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Food Insecure</w:t>
            </w:r>
          </w:p>
        </w:tc>
        <w:tc>
          <w:tcPr>
            <w:tcW w:w="1898"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6E9181C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27</w:t>
            </w:r>
          </w:p>
        </w:tc>
        <w:tc>
          <w:tcPr>
            <w:tcW w:w="1747"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5F2DDC1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22.5</w:t>
            </w:r>
          </w:p>
        </w:tc>
      </w:tr>
      <w:tr w:rsidR="0060221F" w14:paraId="57BBE95E" w14:textId="77777777" w:rsidTr="00116EB8">
        <w:trPr>
          <w:trHeight w:val="314"/>
        </w:trPr>
        <w:tc>
          <w:tcPr>
            <w:tcW w:w="2543" w:type="dxa"/>
            <w:tcBorders>
              <w:top w:val="single" w:sz="4" w:space="0" w:color="333333"/>
              <w:bottom w:val="single" w:sz="4" w:space="0" w:color="993300"/>
            </w:tcBorders>
            <w:shd w:val="clear" w:color="FFFFFF" w:fill="CCCCFF"/>
            <w:tcMar>
              <w:top w:w="15" w:type="dxa"/>
              <w:left w:w="15" w:type="dxa"/>
              <w:bottom w:w="15" w:type="dxa"/>
              <w:right w:w="15" w:type="dxa"/>
            </w:tcMar>
          </w:tcPr>
          <w:p w14:paraId="2FC27BC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898"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5314389F"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747"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49CCFAB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5EF4AAA4"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6B433A34" w14:textId="77777777" w:rsidR="0060221F" w:rsidRDefault="0060221F" w:rsidP="0060221F">
      <w:pPr>
        <w:spacing w:line="278" w:lineRule="auto"/>
        <w:rPr>
          <w:rFonts w:ascii="Times New Roman" w:eastAsia="Arial" w:hAnsi="Times New Roman" w:cs="Times New Roman"/>
          <w:b/>
          <w:bCs/>
          <w:sz w:val="24"/>
        </w:rPr>
      </w:pPr>
    </w:p>
    <w:p w14:paraId="0D1CDAEC"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t>4.1.11  Distribution</w:t>
      </w:r>
      <w:proofErr w:type="gramEnd"/>
      <w:r>
        <w:rPr>
          <w:rFonts w:ascii="Times New Roman" w:hAnsi="Times New Roman" w:cs="Times New Roman"/>
          <w:b/>
          <w:bCs/>
          <w:sz w:val="24"/>
          <w:lang w:val="en-GB" w:eastAsia="en-US"/>
        </w:rPr>
        <w:t xml:space="preserve"> of Respondents by Experience Shocks </w:t>
      </w:r>
    </w:p>
    <w:p w14:paraId="2707574B"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4.1.11 below shows the distribution of respondents based on whether they have experienced any form of shock (such as crop failure, market loss, illness, or natural disasters). The table reveals that 71.7% of the respondents have experienced shocks, while 28.3% have not. This indicates that a significant majority of crop farmers in the study area have faced shocks that may negatively impact their livelihoods and contribute to poverty.</w:t>
      </w:r>
    </w:p>
    <w:p w14:paraId="5FAC9DA1" w14:textId="77777777" w:rsidR="0060221F" w:rsidRDefault="0060221F" w:rsidP="0060221F">
      <w:pPr>
        <w:widowControl/>
        <w:spacing w:after="0" w:line="240" w:lineRule="auto"/>
        <w:jc w:val="left"/>
        <w:rPr>
          <w:rFonts w:ascii="Times New Roman" w:hAnsi="Times New Roman" w:cs="Times New Roman"/>
          <w:b/>
          <w:bCs/>
          <w:sz w:val="24"/>
          <w:lang w:val="en-GB" w:eastAsia="en-US"/>
        </w:rPr>
      </w:pPr>
      <w:r>
        <w:rPr>
          <w:rFonts w:ascii="Times New Roman" w:hAnsi="Times New Roman" w:cs="Times New Roman"/>
          <w:b/>
          <w:bCs/>
          <w:sz w:val="24"/>
          <w:lang w:val="en-GB" w:eastAsia="en-US"/>
        </w:rPr>
        <w:br w:type="page"/>
      </w:r>
    </w:p>
    <w:p w14:paraId="7C280AF7"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lastRenderedPageBreak/>
        <w:t xml:space="preserve">Table </w:t>
      </w:r>
      <w:proofErr w:type="gramStart"/>
      <w:r>
        <w:rPr>
          <w:rFonts w:ascii="Times New Roman" w:hAnsi="Times New Roman" w:cs="Times New Roman"/>
          <w:b/>
          <w:bCs/>
          <w:sz w:val="24"/>
          <w:lang w:val="en-GB" w:eastAsia="en-US"/>
        </w:rPr>
        <w:t>4.1.11  Frequency</w:t>
      </w:r>
      <w:proofErr w:type="gramEnd"/>
      <w:r>
        <w:rPr>
          <w:rFonts w:ascii="Times New Roman" w:hAnsi="Times New Roman" w:cs="Times New Roman"/>
          <w:b/>
          <w:bCs/>
          <w:sz w:val="24"/>
          <w:lang w:val="en-GB" w:eastAsia="en-US"/>
        </w:rPr>
        <w:t xml:space="preserve"> Distribution of Respondents by Experience Shocks </w:t>
      </w:r>
    </w:p>
    <w:tbl>
      <w:tblPr>
        <w:tblW w:w="5668" w:type="dxa"/>
        <w:tblCellMar>
          <w:top w:w="15" w:type="dxa"/>
          <w:left w:w="15" w:type="dxa"/>
          <w:bottom w:w="15" w:type="dxa"/>
          <w:right w:w="15" w:type="dxa"/>
        </w:tblCellMar>
        <w:tblLook w:val="04A0" w:firstRow="1" w:lastRow="0" w:firstColumn="1" w:lastColumn="0" w:noHBand="0" w:noVBand="1"/>
      </w:tblPr>
      <w:tblGrid>
        <w:gridCol w:w="2098"/>
        <w:gridCol w:w="1859"/>
        <w:gridCol w:w="1711"/>
      </w:tblGrid>
      <w:tr w:rsidR="0060221F" w14:paraId="2EEBA211" w14:textId="77777777" w:rsidTr="00116EB8">
        <w:trPr>
          <w:trHeight w:val="318"/>
        </w:trPr>
        <w:tc>
          <w:tcPr>
            <w:tcW w:w="2098" w:type="dxa"/>
            <w:tcBorders>
              <w:bottom w:val="single" w:sz="4" w:space="0" w:color="993300"/>
            </w:tcBorders>
            <w:tcMar>
              <w:top w:w="15" w:type="dxa"/>
              <w:left w:w="15" w:type="dxa"/>
              <w:bottom w:w="15" w:type="dxa"/>
              <w:right w:w="15" w:type="dxa"/>
            </w:tcMar>
            <w:vAlign w:val="bottom"/>
          </w:tcPr>
          <w:p w14:paraId="2739B200"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Experience Shock</w:t>
            </w:r>
          </w:p>
        </w:tc>
        <w:tc>
          <w:tcPr>
            <w:tcW w:w="1859" w:type="dxa"/>
            <w:tcBorders>
              <w:bottom w:val="single" w:sz="4" w:space="0" w:color="993300"/>
              <w:right w:val="single" w:sz="4" w:space="0" w:color="333399"/>
            </w:tcBorders>
            <w:tcMar>
              <w:top w:w="15" w:type="dxa"/>
              <w:left w:w="15" w:type="dxa"/>
              <w:bottom w:w="15" w:type="dxa"/>
              <w:right w:w="15" w:type="dxa"/>
            </w:tcMar>
            <w:vAlign w:val="bottom"/>
          </w:tcPr>
          <w:p w14:paraId="6B6E5EA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Frequency</w:t>
            </w:r>
          </w:p>
        </w:tc>
        <w:tc>
          <w:tcPr>
            <w:tcW w:w="1711" w:type="dxa"/>
            <w:tcBorders>
              <w:left w:val="single" w:sz="4" w:space="0" w:color="333399"/>
              <w:bottom w:val="single" w:sz="4" w:space="0" w:color="993300"/>
              <w:right w:val="single" w:sz="4" w:space="0" w:color="333399"/>
            </w:tcBorders>
            <w:tcMar>
              <w:top w:w="15" w:type="dxa"/>
              <w:left w:w="15" w:type="dxa"/>
              <w:bottom w:w="15" w:type="dxa"/>
              <w:right w:w="15" w:type="dxa"/>
            </w:tcMar>
            <w:vAlign w:val="bottom"/>
          </w:tcPr>
          <w:p w14:paraId="0432E0E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Percent</w:t>
            </w:r>
          </w:p>
        </w:tc>
      </w:tr>
      <w:tr w:rsidR="0060221F" w14:paraId="5C7CFA5E" w14:textId="77777777" w:rsidTr="00116EB8">
        <w:trPr>
          <w:trHeight w:val="318"/>
        </w:trPr>
        <w:tc>
          <w:tcPr>
            <w:tcW w:w="2098" w:type="dxa"/>
            <w:tcBorders>
              <w:top w:val="single" w:sz="4" w:space="0" w:color="993300"/>
              <w:bottom w:val="single" w:sz="4" w:space="0" w:color="333333"/>
            </w:tcBorders>
            <w:shd w:val="clear" w:color="FFFFFF" w:fill="CCCCFF"/>
            <w:tcMar>
              <w:top w:w="15" w:type="dxa"/>
              <w:left w:w="15" w:type="dxa"/>
              <w:bottom w:w="15" w:type="dxa"/>
              <w:right w:w="15" w:type="dxa"/>
            </w:tcMar>
          </w:tcPr>
          <w:p w14:paraId="20B521F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No</w:t>
            </w:r>
          </w:p>
        </w:tc>
        <w:tc>
          <w:tcPr>
            <w:tcW w:w="1859" w:type="dxa"/>
            <w:tcBorders>
              <w:top w:val="single" w:sz="4" w:space="0" w:color="993300"/>
              <w:bottom w:val="single" w:sz="4" w:space="0" w:color="333333"/>
              <w:right w:val="single" w:sz="4" w:space="0" w:color="333399"/>
            </w:tcBorders>
            <w:shd w:val="clear" w:color="FFFFFF" w:fill="FFFFFF"/>
            <w:tcMar>
              <w:top w:w="15" w:type="dxa"/>
              <w:left w:w="15" w:type="dxa"/>
              <w:bottom w:w="15" w:type="dxa"/>
              <w:right w:w="15" w:type="dxa"/>
            </w:tcMar>
          </w:tcPr>
          <w:p w14:paraId="5FE4FEF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34</w:t>
            </w:r>
          </w:p>
        </w:tc>
        <w:tc>
          <w:tcPr>
            <w:tcW w:w="1711" w:type="dxa"/>
            <w:tcBorders>
              <w:top w:val="single" w:sz="4" w:space="0" w:color="993300"/>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6F16E5D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28.3</w:t>
            </w:r>
          </w:p>
        </w:tc>
      </w:tr>
      <w:tr w:rsidR="0060221F" w14:paraId="0D4E1BC7" w14:textId="77777777" w:rsidTr="00116EB8">
        <w:trPr>
          <w:trHeight w:val="318"/>
        </w:trPr>
        <w:tc>
          <w:tcPr>
            <w:tcW w:w="2098" w:type="dxa"/>
            <w:tcBorders>
              <w:top w:val="single" w:sz="4" w:space="0" w:color="333333"/>
              <w:bottom w:val="single" w:sz="4" w:space="0" w:color="333333"/>
            </w:tcBorders>
            <w:shd w:val="clear" w:color="FFFFFF" w:fill="CCCCFF"/>
            <w:tcMar>
              <w:top w:w="15" w:type="dxa"/>
              <w:left w:w="15" w:type="dxa"/>
              <w:bottom w:w="15" w:type="dxa"/>
              <w:right w:w="15" w:type="dxa"/>
            </w:tcMar>
          </w:tcPr>
          <w:p w14:paraId="419DD31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Yes</w:t>
            </w:r>
          </w:p>
        </w:tc>
        <w:tc>
          <w:tcPr>
            <w:tcW w:w="1859" w:type="dxa"/>
            <w:tcBorders>
              <w:top w:val="single" w:sz="4" w:space="0" w:color="333333"/>
              <w:bottom w:val="single" w:sz="4" w:space="0" w:color="333333"/>
              <w:right w:val="single" w:sz="4" w:space="0" w:color="333399"/>
            </w:tcBorders>
            <w:shd w:val="clear" w:color="FFFFFF" w:fill="FFFFFF"/>
            <w:tcMar>
              <w:top w:w="15" w:type="dxa"/>
              <w:left w:w="15" w:type="dxa"/>
              <w:bottom w:w="15" w:type="dxa"/>
              <w:right w:w="15" w:type="dxa"/>
            </w:tcMar>
          </w:tcPr>
          <w:p w14:paraId="5EB73B1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86</w:t>
            </w:r>
          </w:p>
        </w:tc>
        <w:tc>
          <w:tcPr>
            <w:tcW w:w="1711" w:type="dxa"/>
            <w:tcBorders>
              <w:top w:val="single" w:sz="4" w:space="0" w:color="333333"/>
              <w:left w:val="single" w:sz="4" w:space="0" w:color="333399"/>
              <w:bottom w:val="single" w:sz="4" w:space="0" w:color="333333"/>
              <w:right w:val="single" w:sz="4" w:space="0" w:color="333399"/>
            </w:tcBorders>
            <w:shd w:val="clear" w:color="FFFFFF" w:fill="FFFFFF"/>
            <w:tcMar>
              <w:top w:w="15" w:type="dxa"/>
              <w:left w:w="15" w:type="dxa"/>
              <w:bottom w:w="15" w:type="dxa"/>
              <w:right w:w="15" w:type="dxa"/>
            </w:tcMar>
          </w:tcPr>
          <w:p w14:paraId="3662F49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71.7</w:t>
            </w:r>
          </w:p>
        </w:tc>
      </w:tr>
      <w:tr w:rsidR="0060221F" w14:paraId="48342CA1" w14:textId="77777777" w:rsidTr="00116EB8">
        <w:trPr>
          <w:trHeight w:val="318"/>
        </w:trPr>
        <w:tc>
          <w:tcPr>
            <w:tcW w:w="2098" w:type="dxa"/>
            <w:tcBorders>
              <w:top w:val="single" w:sz="4" w:space="0" w:color="333333"/>
              <w:bottom w:val="single" w:sz="4" w:space="0" w:color="993300"/>
            </w:tcBorders>
            <w:shd w:val="clear" w:color="FFFFFF" w:fill="CCCCFF"/>
            <w:tcMar>
              <w:top w:w="15" w:type="dxa"/>
              <w:left w:w="15" w:type="dxa"/>
              <w:bottom w:w="15" w:type="dxa"/>
              <w:right w:w="15" w:type="dxa"/>
            </w:tcMar>
          </w:tcPr>
          <w:p w14:paraId="088C496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66"/>
                <w:sz w:val="24"/>
                <w:lang w:val="en-GB" w:eastAsia="en-US"/>
              </w:rPr>
              <w:t>Total</w:t>
            </w:r>
          </w:p>
        </w:tc>
        <w:tc>
          <w:tcPr>
            <w:tcW w:w="1859" w:type="dxa"/>
            <w:tcBorders>
              <w:top w:val="single" w:sz="4" w:space="0" w:color="333333"/>
              <w:bottom w:val="single" w:sz="4" w:space="0" w:color="993300"/>
              <w:right w:val="single" w:sz="4" w:space="0" w:color="333399"/>
            </w:tcBorders>
            <w:shd w:val="clear" w:color="FFFFFF" w:fill="FFFFFF"/>
            <w:tcMar>
              <w:top w:w="15" w:type="dxa"/>
              <w:left w:w="15" w:type="dxa"/>
              <w:bottom w:w="15" w:type="dxa"/>
              <w:right w:w="15" w:type="dxa"/>
            </w:tcMar>
          </w:tcPr>
          <w:p w14:paraId="08E7EEE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120</w:t>
            </w:r>
          </w:p>
        </w:tc>
        <w:tc>
          <w:tcPr>
            <w:tcW w:w="1711" w:type="dxa"/>
            <w:tcBorders>
              <w:top w:val="single" w:sz="4" w:space="0" w:color="333333"/>
              <w:left w:val="single" w:sz="4" w:space="0" w:color="333399"/>
              <w:bottom w:val="single" w:sz="4" w:space="0" w:color="993300"/>
              <w:right w:val="single" w:sz="4" w:space="0" w:color="333399"/>
            </w:tcBorders>
            <w:shd w:val="clear" w:color="FFFFFF" w:fill="FFFFFF"/>
            <w:tcMar>
              <w:top w:w="15" w:type="dxa"/>
              <w:left w:w="15" w:type="dxa"/>
              <w:bottom w:w="15" w:type="dxa"/>
              <w:right w:w="15" w:type="dxa"/>
            </w:tcMar>
          </w:tcPr>
          <w:p w14:paraId="44C4AD2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000000"/>
                <w:sz w:val="24"/>
                <w:lang w:val="en-GB" w:eastAsia="en-US"/>
              </w:rPr>
              <w:t>100.0</w:t>
            </w:r>
          </w:p>
        </w:tc>
      </w:tr>
    </w:tbl>
    <w:p w14:paraId="14A0E672"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7BB5619A" w14:textId="77777777" w:rsidR="0060221F" w:rsidRDefault="0060221F" w:rsidP="0060221F">
      <w:pPr>
        <w:spacing w:line="278" w:lineRule="auto"/>
        <w:rPr>
          <w:rFonts w:ascii="Times New Roman" w:eastAsia="Arial" w:hAnsi="Times New Roman" w:cs="Times New Roman"/>
          <w:b/>
          <w:bCs/>
          <w:sz w:val="24"/>
        </w:rPr>
      </w:pPr>
    </w:p>
    <w:p w14:paraId="786E4801"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4.2 POVERTY STATUS OF HOUSEHOLD</w:t>
      </w:r>
    </w:p>
    <w:p w14:paraId="39CD4054"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Table 4.2 below shows the distribution of respondents based on their household poverty status. The table reveals that 60.8% of the respondents fall into the middle-class household category, 20.0% are in the low-class household, while 19.2% are classified as high-class household. This indicates that the majority of crop farming households in the study area are within the middle-income group, suggesting a moderate level of economic stability. However, the presence of a significant proportion in the low-income group highlights that poverty remains an issue for some households and may require targeted intervention.</w:t>
      </w:r>
    </w:p>
    <w:p w14:paraId="1229BAFF"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Table 4.2</w:t>
      </w:r>
    </w:p>
    <w:tbl>
      <w:tblPr>
        <w:tblW w:w="6361" w:type="dxa"/>
        <w:tblCellMar>
          <w:top w:w="15" w:type="dxa"/>
          <w:left w:w="15" w:type="dxa"/>
          <w:bottom w:w="15" w:type="dxa"/>
          <w:right w:w="15" w:type="dxa"/>
        </w:tblCellMar>
        <w:tblLook w:val="04A0" w:firstRow="1" w:lastRow="0" w:firstColumn="1" w:lastColumn="0" w:noHBand="0" w:noVBand="1"/>
      </w:tblPr>
      <w:tblGrid>
        <w:gridCol w:w="3439"/>
        <w:gridCol w:w="1492"/>
        <w:gridCol w:w="1430"/>
      </w:tblGrid>
      <w:tr w:rsidR="0060221F" w14:paraId="28695C64" w14:textId="77777777" w:rsidTr="00116EB8">
        <w:trPr>
          <w:trHeight w:val="320"/>
        </w:trPr>
        <w:tc>
          <w:tcPr>
            <w:tcW w:w="3439" w:type="dxa"/>
            <w:tcBorders>
              <w:bottom w:val="single" w:sz="4" w:space="0" w:color="993366"/>
            </w:tcBorders>
            <w:tcMar>
              <w:top w:w="15" w:type="dxa"/>
              <w:left w:w="15" w:type="dxa"/>
              <w:bottom w:w="15" w:type="dxa"/>
              <w:right w:w="15" w:type="dxa"/>
            </w:tcMar>
            <w:vAlign w:val="bottom"/>
          </w:tcPr>
          <w:p w14:paraId="65F7925D"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kern w:val="0"/>
                <w:sz w:val="24"/>
                <w:lang w:val="en-GB" w:eastAsia="en-US"/>
              </w:rPr>
              <w:t>Poverty Status</w:t>
            </w:r>
          </w:p>
        </w:tc>
        <w:tc>
          <w:tcPr>
            <w:tcW w:w="1492" w:type="dxa"/>
            <w:tcBorders>
              <w:bottom w:val="single" w:sz="4" w:space="0" w:color="993366"/>
              <w:right w:val="single" w:sz="4" w:space="0" w:color="333333"/>
            </w:tcBorders>
            <w:tcMar>
              <w:top w:w="15" w:type="dxa"/>
              <w:left w:w="15" w:type="dxa"/>
              <w:bottom w:w="15" w:type="dxa"/>
              <w:right w:w="15" w:type="dxa"/>
            </w:tcMar>
            <w:vAlign w:val="bottom"/>
          </w:tcPr>
          <w:p w14:paraId="65B6EFC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333399"/>
                <w:sz w:val="24"/>
                <w:lang w:val="en-GB" w:eastAsia="en-US"/>
              </w:rPr>
              <w:t>Frequency</w:t>
            </w:r>
          </w:p>
        </w:tc>
        <w:tc>
          <w:tcPr>
            <w:tcW w:w="1430" w:type="dxa"/>
            <w:tcBorders>
              <w:left w:val="single" w:sz="4" w:space="0" w:color="333333"/>
              <w:bottom w:val="single" w:sz="4" w:space="0" w:color="993366"/>
              <w:right w:val="single" w:sz="4" w:space="0" w:color="333333"/>
            </w:tcBorders>
            <w:tcMar>
              <w:top w:w="15" w:type="dxa"/>
              <w:left w:w="15" w:type="dxa"/>
              <w:bottom w:w="15" w:type="dxa"/>
              <w:right w:w="15" w:type="dxa"/>
            </w:tcMar>
            <w:vAlign w:val="bottom"/>
          </w:tcPr>
          <w:p w14:paraId="361A422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333399"/>
                <w:sz w:val="24"/>
                <w:lang w:val="en-GB" w:eastAsia="en-US"/>
              </w:rPr>
              <w:t>Percent</w:t>
            </w:r>
          </w:p>
        </w:tc>
      </w:tr>
      <w:tr w:rsidR="0060221F" w14:paraId="5F3CCCD1" w14:textId="77777777" w:rsidTr="00116EB8">
        <w:trPr>
          <w:trHeight w:val="320"/>
        </w:trPr>
        <w:tc>
          <w:tcPr>
            <w:tcW w:w="3439" w:type="dxa"/>
            <w:tcBorders>
              <w:top w:val="single" w:sz="4" w:space="0" w:color="993366"/>
              <w:bottom w:val="single" w:sz="4" w:space="0" w:color="C0C0C0"/>
            </w:tcBorders>
            <w:shd w:val="clear" w:color="FFFFFF" w:fill="CCCCFF"/>
            <w:tcMar>
              <w:top w:w="15" w:type="dxa"/>
              <w:left w:w="15" w:type="dxa"/>
              <w:bottom w:w="15" w:type="dxa"/>
              <w:right w:w="15" w:type="dxa"/>
            </w:tcMar>
          </w:tcPr>
          <w:p w14:paraId="6D0A29F6"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333399"/>
                <w:sz w:val="24"/>
                <w:lang w:val="en-GB" w:eastAsia="en-US"/>
              </w:rPr>
              <w:t>Low Class Household</w:t>
            </w:r>
          </w:p>
        </w:tc>
        <w:tc>
          <w:tcPr>
            <w:tcW w:w="1492" w:type="dxa"/>
            <w:tcBorders>
              <w:top w:val="single" w:sz="4" w:space="0" w:color="993366"/>
              <w:bottom w:val="single" w:sz="4" w:space="0" w:color="C0C0C0"/>
              <w:right w:val="single" w:sz="4" w:space="0" w:color="333333"/>
            </w:tcBorders>
            <w:shd w:val="clear" w:color="FFFFFF" w:fill="FFFFFF"/>
            <w:tcMar>
              <w:top w:w="15" w:type="dxa"/>
              <w:left w:w="15" w:type="dxa"/>
              <w:bottom w:w="15" w:type="dxa"/>
              <w:right w:w="15" w:type="dxa"/>
            </w:tcMar>
          </w:tcPr>
          <w:p w14:paraId="39F8C711"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24</w:t>
            </w:r>
          </w:p>
        </w:tc>
        <w:tc>
          <w:tcPr>
            <w:tcW w:w="1430" w:type="dxa"/>
            <w:tcBorders>
              <w:top w:val="single" w:sz="4" w:space="0" w:color="993366"/>
              <w:left w:val="single" w:sz="4" w:space="0" w:color="333333"/>
              <w:bottom w:val="single" w:sz="4" w:space="0" w:color="C0C0C0"/>
              <w:right w:val="single" w:sz="4" w:space="0" w:color="333333"/>
            </w:tcBorders>
            <w:shd w:val="clear" w:color="FFFFFF" w:fill="FFFFFF"/>
            <w:tcMar>
              <w:top w:w="15" w:type="dxa"/>
              <w:left w:w="15" w:type="dxa"/>
              <w:bottom w:w="15" w:type="dxa"/>
              <w:right w:w="15" w:type="dxa"/>
            </w:tcMar>
          </w:tcPr>
          <w:p w14:paraId="17F9A507"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20.0</w:t>
            </w:r>
          </w:p>
        </w:tc>
      </w:tr>
      <w:tr w:rsidR="0060221F" w14:paraId="0251F4AE" w14:textId="77777777" w:rsidTr="00116EB8">
        <w:trPr>
          <w:trHeight w:val="320"/>
        </w:trPr>
        <w:tc>
          <w:tcPr>
            <w:tcW w:w="3439" w:type="dxa"/>
            <w:tcBorders>
              <w:top w:val="single" w:sz="4" w:space="0" w:color="C0C0C0"/>
              <w:bottom w:val="single" w:sz="4" w:space="0" w:color="C0C0C0"/>
            </w:tcBorders>
            <w:shd w:val="clear" w:color="FFFFFF" w:fill="CCCCFF"/>
            <w:tcMar>
              <w:top w:w="15" w:type="dxa"/>
              <w:left w:w="15" w:type="dxa"/>
              <w:bottom w:w="15" w:type="dxa"/>
              <w:right w:w="15" w:type="dxa"/>
            </w:tcMar>
          </w:tcPr>
          <w:p w14:paraId="3A8A4E82"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333399"/>
                <w:sz w:val="24"/>
                <w:lang w:val="en-GB" w:eastAsia="en-US"/>
              </w:rPr>
              <w:t>High Class Household</w:t>
            </w:r>
          </w:p>
        </w:tc>
        <w:tc>
          <w:tcPr>
            <w:tcW w:w="1492" w:type="dxa"/>
            <w:tcBorders>
              <w:top w:val="single" w:sz="4" w:space="0" w:color="C0C0C0"/>
              <w:bottom w:val="single" w:sz="4" w:space="0" w:color="C0C0C0"/>
              <w:right w:val="single" w:sz="4" w:space="0" w:color="333333"/>
            </w:tcBorders>
            <w:shd w:val="clear" w:color="FFFFFF" w:fill="FFFFFF"/>
            <w:tcMar>
              <w:top w:w="15" w:type="dxa"/>
              <w:left w:w="15" w:type="dxa"/>
              <w:bottom w:w="15" w:type="dxa"/>
              <w:right w:w="15" w:type="dxa"/>
            </w:tcMar>
          </w:tcPr>
          <w:p w14:paraId="66F2B03C"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23</w:t>
            </w:r>
          </w:p>
        </w:tc>
        <w:tc>
          <w:tcPr>
            <w:tcW w:w="1430" w:type="dxa"/>
            <w:tcBorders>
              <w:top w:val="single" w:sz="4" w:space="0" w:color="C0C0C0"/>
              <w:left w:val="single" w:sz="4" w:space="0" w:color="333333"/>
              <w:bottom w:val="single" w:sz="4" w:space="0" w:color="C0C0C0"/>
              <w:right w:val="single" w:sz="4" w:space="0" w:color="333333"/>
            </w:tcBorders>
            <w:shd w:val="clear" w:color="FFFFFF" w:fill="FFFFFF"/>
            <w:tcMar>
              <w:top w:w="15" w:type="dxa"/>
              <w:left w:w="15" w:type="dxa"/>
              <w:bottom w:w="15" w:type="dxa"/>
              <w:right w:w="15" w:type="dxa"/>
            </w:tcMar>
          </w:tcPr>
          <w:p w14:paraId="075FD3EE"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19.2</w:t>
            </w:r>
          </w:p>
        </w:tc>
      </w:tr>
      <w:tr w:rsidR="0060221F" w14:paraId="0062CFDD" w14:textId="77777777" w:rsidTr="00116EB8">
        <w:trPr>
          <w:trHeight w:val="320"/>
        </w:trPr>
        <w:tc>
          <w:tcPr>
            <w:tcW w:w="3439" w:type="dxa"/>
            <w:tcBorders>
              <w:top w:val="single" w:sz="4" w:space="0" w:color="C0C0C0"/>
              <w:bottom w:val="single" w:sz="4" w:space="0" w:color="C0C0C0"/>
            </w:tcBorders>
            <w:shd w:val="clear" w:color="FFFFFF" w:fill="CCCCFF"/>
            <w:tcMar>
              <w:top w:w="15" w:type="dxa"/>
              <w:left w:w="15" w:type="dxa"/>
              <w:bottom w:w="15" w:type="dxa"/>
              <w:right w:w="15" w:type="dxa"/>
            </w:tcMar>
          </w:tcPr>
          <w:p w14:paraId="1D2478ED"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333399"/>
                <w:sz w:val="24"/>
                <w:lang w:val="en-GB" w:eastAsia="en-US"/>
              </w:rPr>
              <w:t>Middle Class Household</w:t>
            </w:r>
          </w:p>
        </w:tc>
        <w:tc>
          <w:tcPr>
            <w:tcW w:w="1492" w:type="dxa"/>
            <w:tcBorders>
              <w:top w:val="single" w:sz="4" w:space="0" w:color="C0C0C0"/>
              <w:bottom w:val="single" w:sz="4" w:space="0" w:color="C0C0C0"/>
              <w:right w:val="single" w:sz="4" w:space="0" w:color="333333"/>
            </w:tcBorders>
            <w:shd w:val="clear" w:color="FFFFFF" w:fill="FFFFFF"/>
            <w:tcMar>
              <w:top w:w="15" w:type="dxa"/>
              <w:left w:w="15" w:type="dxa"/>
              <w:bottom w:w="15" w:type="dxa"/>
              <w:right w:w="15" w:type="dxa"/>
            </w:tcMar>
          </w:tcPr>
          <w:p w14:paraId="1B3FDB0B"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73</w:t>
            </w:r>
          </w:p>
        </w:tc>
        <w:tc>
          <w:tcPr>
            <w:tcW w:w="1430" w:type="dxa"/>
            <w:tcBorders>
              <w:top w:val="single" w:sz="4" w:space="0" w:color="C0C0C0"/>
              <w:left w:val="single" w:sz="4" w:space="0" w:color="333333"/>
              <w:bottom w:val="single" w:sz="4" w:space="0" w:color="C0C0C0"/>
              <w:right w:val="single" w:sz="4" w:space="0" w:color="333333"/>
            </w:tcBorders>
            <w:shd w:val="clear" w:color="FFFFFF" w:fill="FFFFFF"/>
            <w:tcMar>
              <w:top w:w="15" w:type="dxa"/>
              <w:left w:w="15" w:type="dxa"/>
              <w:bottom w:w="15" w:type="dxa"/>
              <w:right w:w="15" w:type="dxa"/>
            </w:tcMar>
          </w:tcPr>
          <w:p w14:paraId="7BC2EF4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60.8</w:t>
            </w:r>
          </w:p>
        </w:tc>
      </w:tr>
      <w:tr w:rsidR="0060221F" w14:paraId="109208F6" w14:textId="77777777" w:rsidTr="00116EB8">
        <w:trPr>
          <w:trHeight w:val="320"/>
        </w:trPr>
        <w:tc>
          <w:tcPr>
            <w:tcW w:w="3439" w:type="dxa"/>
            <w:tcBorders>
              <w:top w:val="single" w:sz="4" w:space="0" w:color="C0C0C0"/>
              <w:bottom w:val="single" w:sz="4" w:space="0" w:color="993366"/>
            </w:tcBorders>
            <w:shd w:val="clear" w:color="FFFFFF" w:fill="CCCCFF"/>
            <w:tcMar>
              <w:top w:w="15" w:type="dxa"/>
              <w:left w:w="15" w:type="dxa"/>
              <w:bottom w:w="15" w:type="dxa"/>
              <w:right w:w="15" w:type="dxa"/>
            </w:tcMar>
          </w:tcPr>
          <w:p w14:paraId="69CD0D00"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333399"/>
                <w:sz w:val="24"/>
                <w:lang w:val="en-GB" w:eastAsia="en-US"/>
              </w:rPr>
              <w:t>Total</w:t>
            </w:r>
          </w:p>
        </w:tc>
        <w:tc>
          <w:tcPr>
            <w:tcW w:w="1492" w:type="dxa"/>
            <w:tcBorders>
              <w:top w:val="single" w:sz="4" w:space="0" w:color="C0C0C0"/>
              <w:bottom w:val="single" w:sz="4" w:space="0" w:color="993366"/>
              <w:right w:val="single" w:sz="4" w:space="0" w:color="333333"/>
            </w:tcBorders>
            <w:shd w:val="clear" w:color="FFFFFF" w:fill="FFFFFF"/>
            <w:tcMar>
              <w:top w:w="15" w:type="dxa"/>
              <w:left w:w="15" w:type="dxa"/>
              <w:bottom w:w="15" w:type="dxa"/>
              <w:right w:w="15" w:type="dxa"/>
            </w:tcMar>
          </w:tcPr>
          <w:p w14:paraId="7A78B049"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120</w:t>
            </w:r>
          </w:p>
        </w:tc>
        <w:tc>
          <w:tcPr>
            <w:tcW w:w="1430" w:type="dxa"/>
            <w:tcBorders>
              <w:top w:val="single" w:sz="4" w:space="0" w:color="C0C0C0"/>
              <w:left w:val="single" w:sz="4" w:space="0" w:color="333333"/>
              <w:bottom w:val="single" w:sz="4" w:space="0" w:color="993366"/>
              <w:right w:val="single" w:sz="4" w:space="0" w:color="333333"/>
            </w:tcBorders>
            <w:shd w:val="clear" w:color="FFFFFF" w:fill="FFFFFF"/>
            <w:tcMar>
              <w:top w:w="15" w:type="dxa"/>
              <w:left w:w="15" w:type="dxa"/>
              <w:bottom w:w="15" w:type="dxa"/>
              <w:right w:w="15" w:type="dxa"/>
            </w:tcMar>
          </w:tcPr>
          <w:p w14:paraId="030FCF58" w14:textId="77777777" w:rsidR="0060221F" w:rsidRDefault="0060221F" w:rsidP="00116EB8">
            <w:pPr>
              <w:spacing w:line="278" w:lineRule="auto"/>
              <w:rPr>
                <w:rFonts w:ascii="Times New Roman" w:eastAsia="Arial" w:hAnsi="Times New Roman" w:cs="Times New Roman"/>
                <w:b/>
                <w:bCs/>
                <w:sz w:val="24"/>
              </w:rPr>
            </w:pPr>
            <w:r>
              <w:rPr>
                <w:rFonts w:ascii="Times New Roman" w:eastAsia="Times New Roman" w:hAnsi="Times New Roman" w:cs="Times New Roman"/>
                <w:color w:val="993300"/>
                <w:sz w:val="24"/>
                <w:lang w:val="en-GB" w:eastAsia="en-US"/>
              </w:rPr>
              <w:t>100.0</w:t>
            </w:r>
          </w:p>
        </w:tc>
      </w:tr>
    </w:tbl>
    <w:p w14:paraId="4D6E7C5E" w14:textId="77777777" w:rsidR="0060221F" w:rsidRDefault="0060221F" w:rsidP="0060221F">
      <w:pPr>
        <w:spacing w:after="0" w:line="360" w:lineRule="auto"/>
        <w:rPr>
          <w:rFonts w:ascii="Times New Roman" w:eastAsia="Arial" w:hAnsi="Times New Roman" w:cs="Times New Roman"/>
          <w:b/>
          <w:bCs/>
          <w:sz w:val="24"/>
        </w:rPr>
      </w:pPr>
      <w:r>
        <w:rPr>
          <w:rFonts w:ascii="Times New Roman" w:eastAsia="Arial" w:hAnsi="Times New Roman" w:cs="Times New Roman"/>
          <w:sz w:val="24"/>
        </w:rPr>
        <w:t>Source: Researcher’s field survey, 2025</w:t>
      </w:r>
    </w:p>
    <w:p w14:paraId="22A5F911" w14:textId="77777777" w:rsidR="0060221F" w:rsidRDefault="0060221F" w:rsidP="0060221F">
      <w:pPr>
        <w:widowControl/>
        <w:spacing w:after="0" w:line="240" w:lineRule="auto"/>
        <w:jc w:val="left"/>
        <w:rPr>
          <w:rFonts w:ascii="Times New Roman" w:hAnsi="Times New Roman" w:cs="Times New Roman"/>
          <w:b/>
          <w:bCs/>
          <w:sz w:val="24"/>
          <w:lang w:val="en-GB" w:eastAsia="en-US"/>
        </w:rPr>
      </w:pPr>
      <w:r>
        <w:rPr>
          <w:rFonts w:ascii="Times New Roman" w:hAnsi="Times New Roman" w:cs="Times New Roman"/>
          <w:b/>
          <w:bCs/>
          <w:sz w:val="24"/>
          <w:lang w:val="en-GB" w:eastAsia="en-US"/>
        </w:rPr>
        <w:br w:type="page"/>
      </w:r>
    </w:p>
    <w:p w14:paraId="5450CFA0" w14:textId="77777777" w:rsidR="0060221F" w:rsidRDefault="0060221F" w:rsidP="0060221F">
      <w:pPr>
        <w:spacing w:line="278" w:lineRule="auto"/>
        <w:rPr>
          <w:rFonts w:ascii="Times New Roman" w:eastAsia="Arial" w:hAnsi="Times New Roman" w:cs="Times New Roman"/>
          <w:b/>
          <w:bCs/>
          <w:sz w:val="24"/>
        </w:rPr>
      </w:pPr>
      <w:proofErr w:type="gramStart"/>
      <w:r>
        <w:rPr>
          <w:rFonts w:ascii="Times New Roman" w:hAnsi="Times New Roman" w:cs="Times New Roman"/>
          <w:b/>
          <w:bCs/>
          <w:sz w:val="24"/>
          <w:lang w:val="en-GB" w:eastAsia="en-US"/>
        </w:rPr>
        <w:lastRenderedPageBreak/>
        <w:t>4.3  FACTORS</w:t>
      </w:r>
      <w:proofErr w:type="gramEnd"/>
      <w:r>
        <w:rPr>
          <w:rFonts w:ascii="Times New Roman" w:hAnsi="Times New Roman" w:cs="Times New Roman"/>
          <w:b/>
          <w:bCs/>
          <w:sz w:val="24"/>
          <w:lang w:val="en-GB" w:eastAsia="en-US"/>
        </w:rPr>
        <w:t xml:space="preserve"> INFLUENCING THE POVERTY STATUS OF RESPONDENTS </w:t>
      </w:r>
    </w:p>
    <w:p w14:paraId="3B3A0DC8"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The table 4.3 below shows the distribution of respondents based on the severity of various factors influencing their poverty status. The results are categorized into not severe, moderately severe, and severe, with corresponding mean scores used to rank their intensity. Limited Access to Finance was reported as a severe factor by 51.7% of respondents, with a mean score of 1.44, indicating it is the most significant factor influencing poverty among crop farmers in the study area. This highlights that many farmers struggle to access credit or loans for agricultural investment. Limited Land Area was considered moderately severe by 53.3% and severe by 34.2%, with a mean score of 1.22, suggesting that land availability remains a constraint to expanding production. Seasonal Rainfall Fluctuation had 40% reporting it as severe and a mean of 1.23, showing that climate variability is a major challenge affecting farming outcomes and income. Lack of Tenure System (mean = 1.14) and Theft of Farm Products (mean = 1.18) also contribute to poverty. These issues affect farmers’ security over their land and produce, making them vulnerable. Poor Knowledge of Modern Techniques was reported as severe by 35%, with a mean of 1.17, suggesting that low awareness and adoption of improved farming methods further limit productivity and income.</w:t>
      </w:r>
    </w:p>
    <w:p w14:paraId="3D2F97A2"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Overall, the table indicates that limited access to finance, land constraints, and climatic variability are the most severe factors contributing to poverty among crop farming households in the study area.</w:t>
      </w:r>
    </w:p>
    <w:p w14:paraId="65D903DB" w14:textId="77777777" w:rsidR="0060221F" w:rsidRDefault="0060221F" w:rsidP="0060221F">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Table 4.3</w:t>
      </w:r>
    </w:p>
    <w:tbl>
      <w:tblPr>
        <w:tblW w:w="8635" w:type="dxa"/>
        <w:tblLook w:val="04A0" w:firstRow="1" w:lastRow="0" w:firstColumn="1" w:lastColumn="0" w:noHBand="0" w:noVBand="1"/>
      </w:tblPr>
      <w:tblGrid>
        <w:gridCol w:w="1881"/>
        <w:gridCol w:w="1881"/>
        <w:gridCol w:w="1881"/>
        <w:gridCol w:w="1881"/>
        <w:gridCol w:w="1111"/>
      </w:tblGrid>
      <w:tr w:rsidR="0060221F" w14:paraId="214E3D5E" w14:textId="77777777" w:rsidTr="00116EB8">
        <w:trPr>
          <w:trHeight w:val="1200"/>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5D8E0"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Factor Influencing Poverty status</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DEDEE"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Not Severe</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D9428"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Moderately Severe</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9B46C"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Severe</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B70A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Mean</w:t>
            </w:r>
          </w:p>
        </w:tc>
      </w:tr>
      <w:tr w:rsidR="0060221F" w14:paraId="495974BD" w14:textId="77777777" w:rsidTr="00116EB8">
        <w:trPr>
          <w:trHeight w:val="596"/>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128B"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53EB4"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Frequency (%)</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361ED"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Frequency (%)</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06F1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Frequency (%)</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2684" w14:textId="77777777" w:rsidR="0060221F" w:rsidRDefault="0060221F" w:rsidP="00116EB8">
            <w:pPr>
              <w:spacing w:line="278" w:lineRule="auto"/>
              <w:rPr>
                <w:rFonts w:ascii="Times New Roman" w:eastAsia="Arial" w:hAnsi="Times New Roman" w:cs="Times New Roman"/>
                <w:b/>
                <w:bCs/>
                <w:sz w:val="24"/>
              </w:rPr>
            </w:pPr>
          </w:p>
        </w:tc>
      </w:tr>
      <w:tr w:rsidR="0060221F" w14:paraId="5CE6CE6D" w14:textId="77777777" w:rsidTr="00116EB8">
        <w:trPr>
          <w:trHeight w:val="898"/>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47E3"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Limited Access to Finance</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27F0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9 (7.5)</w:t>
            </w:r>
          </w:p>
          <w:p w14:paraId="2640AFF3" w14:textId="77777777" w:rsidR="0060221F" w:rsidRDefault="0060221F" w:rsidP="00116EB8">
            <w:pPr>
              <w:spacing w:line="278" w:lineRule="auto"/>
              <w:rPr>
                <w:rFonts w:ascii="Times New Roman" w:eastAsia="Arial" w:hAnsi="Times New Roman" w:cs="Times New Roman"/>
                <w:b/>
                <w:bCs/>
                <w:sz w:val="24"/>
              </w:rPr>
            </w:pPr>
          </w:p>
          <w:p w14:paraId="1AAAC6C9"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C7C4"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49 (40.8)</w:t>
            </w:r>
          </w:p>
          <w:p w14:paraId="14346D44"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092FC"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62 (51.7)</w:t>
            </w:r>
          </w:p>
          <w:p w14:paraId="402399C0" w14:textId="77777777" w:rsidR="0060221F" w:rsidRDefault="0060221F" w:rsidP="00116EB8">
            <w:pPr>
              <w:spacing w:line="278" w:lineRule="auto"/>
              <w:rPr>
                <w:rFonts w:ascii="Times New Roman" w:eastAsia="Arial" w:hAnsi="Times New Roman" w:cs="Times New Roman"/>
                <w:b/>
                <w:bCs/>
                <w:sz w:val="24"/>
              </w:rPr>
            </w:pPr>
          </w:p>
          <w:p w14:paraId="30CE2A2D" w14:textId="77777777" w:rsidR="0060221F" w:rsidRDefault="0060221F" w:rsidP="00116EB8">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C880"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1.44</w:t>
            </w:r>
          </w:p>
          <w:p w14:paraId="33FCD3A2" w14:textId="77777777" w:rsidR="0060221F" w:rsidRDefault="0060221F" w:rsidP="00116EB8">
            <w:pPr>
              <w:spacing w:line="278" w:lineRule="auto"/>
              <w:rPr>
                <w:rFonts w:ascii="Times New Roman" w:eastAsia="Arial" w:hAnsi="Times New Roman" w:cs="Times New Roman"/>
                <w:b/>
                <w:bCs/>
                <w:sz w:val="24"/>
              </w:rPr>
            </w:pPr>
          </w:p>
          <w:p w14:paraId="054FAE85" w14:textId="77777777" w:rsidR="0060221F" w:rsidRDefault="0060221F" w:rsidP="00116EB8">
            <w:pPr>
              <w:spacing w:line="278" w:lineRule="auto"/>
              <w:rPr>
                <w:rFonts w:ascii="Times New Roman" w:eastAsia="Arial" w:hAnsi="Times New Roman" w:cs="Times New Roman"/>
                <w:b/>
                <w:bCs/>
                <w:sz w:val="24"/>
              </w:rPr>
            </w:pPr>
          </w:p>
        </w:tc>
      </w:tr>
      <w:tr w:rsidR="0060221F" w14:paraId="699C6385" w14:textId="77777777" w:rsidTr="00116EB8">
        <w:trPr>
          <w:trHeight w:val="604"/>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0896"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Limited Land Area</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825ED"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15 (12.5)</w:t>
            </w:r>
          </w:p>
          <w:p w14:paraId="4353E138"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3FF4F"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64 (53.3)</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24A2"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41 (34.2)</w:t>
            </w:r>
          </w:p>
          <w:p w14:paraId="150837C4" w14:textId="77777777" w:rsidR="0060221F" w:rsidRDefault="0060221F" w:rsidP="00116EB8">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016A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1.22</w:t>
            </w:r>
          </w:p>
          <w:p w14:paraId="56828E5D" w14:textId="77777777" w:rsidR="0060221F" w:rsidRDefault="0060221F" w:rsidP="00116EB8">
            <w:pPr>
              <w:spacing w:line="278" w:lineRule="auto"/>
              <w:rPr>
                <w:rFonts w:ascii="Times New Roman" w:eastAsia="Arial" w:hAnsi="Times New Roman" w:cs="Times New Roman"/>
                <w:b/>
                <w:bCs/>
                <w:sz w:val="24"/>
              </w:rPr>
            </w:pPr>
          </w:p>
        </w:tc>
      </w:tr>
      <w:tr w:rsidR="0060221F" w14:paraId="39FC57A7" w14:textId="77777777" w:rsidTr="00116EB8">
        <w:trPr>
          <w:trHeight w:val="898"/>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2C813"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Lack of tenure System</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243D1"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27 (22.5)</w:t>
            </w:r>
          </w:p>
          <w:p w14:paraId="0D506446"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37F82"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49 (40.8)</w:t>
            </w:r>
          </w:p>
          <w:p w14:paraId="4CDF9344"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166E7"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44 (36.7)</w:t>
            </w:r>
          </w:p>
          <w:p w14:paraId="74758588" w14:textId="77777777" w:rsidR="0060221F" w:rsidRDefault="0060221F" w:rsidP="00116EB8">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09589"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1.14</w:t>
            </w:r>
          </w:p>
          <w:p w14:paraId="54C58E99" w14:textId="77777777" w:rsidR="0060221F" w:rsidRDefault="0060221F" w:rsidP="00116EB8">
            <w:pPr>
              <w:spacing w:line="278" w:lineRule="auto"/>
              <w:rPr>
                <w:rFonts w:ascii="Times New Roman" w:eastAsia="Arial" w:hAnsi="Times New Roman" w:cs="Times New Roman"/>
                <w:b/>
                <w:bCs/>
                <w:sz w:val="24"/>
              </w:rPr>
            </w:pPr>
          </w:p>
        </w:tc>
      </w:tr>
      <w:tr w:rsidR="0060221F" w14:paraId="01C7C48E" w14:textId="77777777" w:rsidTr="00116EB8">
        <w:trPr>
          <w:trHeight w:val="898"/>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B73DE"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Theft of Farm Product</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8C917"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26 (21.7)</w:t>
            </w:r>
          </w:p>
          <w:p w14:paraId="33274F19"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4076"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47 (39.2)</w:t>
            </w:r>
          </w:p>
          <w:p w14:paraId="053FA232"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1BE5"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47 (39.2)</w:t>
            </w:r>
          </w:p>
          <w:p w14:paraId="6AC1282F" w14:textId="77777777" w:rsidR="0060221F" w:rsidRDefault="0060221F" w:rsidP="00116EB8">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86FE"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1.18</w:t>
            </w:r>
          </w:p>
          <w:p w14:paraId="2D5A71AD" w14:textId="77777777" w:rsidR="0060221F" w:rsidRDefault="0060221F" w:rsidP="00116EB8">
            <w:pPr>
              <w:spacing w:line="278" w:lineRule="auto"/>
              <w:rPr>
                <w:rFonts w:ascii="Times New Roman" w:eastAsia="Arial" w:hAnsi="Times New Roman" w:cs="Times New Roman"/>
                <w:b/>
                <w:bCs/>
                <w:sz w:val="24"/>
              </w:rPr>
            </w:pPr>
          </w:p>
        </w:tc>
      </w:tr>
      <w:tr w:rsidR="0060221F" w14:paraId="61E9F294" w14:textId="77777777" w:rsidTr="00116EB8">
        <w:trPr>
          <w:trHeight w:val="604"/>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C32B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lastRenderedPageBreak/>
              <w:t>Poor knowledge of Modern techniques</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2427"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22 (18.3)</w:t>
            </w:r>
          </w:p>
          <w:p w14:paraId="1C4EAC16"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C7926"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56 (46.7)</w:t>
            </w:r>
          </w:p>
          <w:p w14:paraId="72306046"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437B"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42 (35)</w:t>
            </w:r>
          </w:p>
          <w:p w14:paraId="6A2BAECE" w14:textId="77777777" w:rsidR="0060221F" w:rsidRDefault="0060221F" w:rsidP="00116EB8">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0EF9"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1.17</w:t>
            </w:r>
          </w:p>
          <w:p w14:paraId="69F11CC7" w14:textId="77777777" w:rsidR="0060221F" w:rsidRDefault="0060221F" w:rsidP="00116EB8">
            <w:pPr>
              <w:spacing w:line="278" w:lineRule="auto"/>
              <w:rPr>
                <w:rFonts w:ascii="Times New Roman" w:eastAsia="Arial" w:hAnsi="Times New Roman" w:cs="Times New Roman"/>
                <w:b/>
                <w:bCs/>
                <w:sz w:val="24"/>
              </w:rPr>
            </w:pPr>
          </w:p>
        </w:tc>
      </w:tr>
      <w:tr w:rsidR="0060221F" w14:paraId="2DB2F1F4" w14:textId="77777777" w:rsidTr="00116EB8">
        <w:trPr>
          <w:trHeight w:val="906"/>
        </w:trPr>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C145F"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b/>
                <w:bCs/>
                <w:sz w:val="24"/>
                <w:lang w:val="en-GB" w:eastAsia="en-US"/>
              </w:rPr>
              <w:t>Seasonal Rainfall Fluctuation</w:t>
            </w: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5CF9"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21 (17.5)</w:t>
            </w:r>
          </w:p>
          <w:p w14:paraId="38D99BD7"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C69B7"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51 (42.5)</w:t>
            </w:r>
          </w:p>
          <w:p w14:paraId="1BB04675" w14:textId="77777777" w:rsidR="0060221F" w:rsidRDefault="0060221F" w:rsidP="00116EB8">
            <w:pPr>
              <w:spacing w:line="278" w:lineRule="auto"/>
              <w:rPr>
                <w:rFonts w:ascii="Times New Roman" w:eastAsia="Arial" w:hAnsi="Times New Roman" w:cs="Times New Roman"/>
                <w:b/>
                <w:bCs/>
                <w:sz w:val="24"/>
              </w:rPr>
            </w:pPr>
          </w:p>
        </w:tc>
        <w:tc>
          <w:tcPr>
            <w:tcW w:w="1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BBA17"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48 (40)</w:t>
            </w:r>
          </w:p>
          <w:p w14:paraId="0F6ED80E" w14:textId="77777777" w:rsidR="0060221F" w:rsidRDefault="0060221F" w:rsidP="00116EB8">
            <w:pPr>
              <w:spacing w:line="278" w:lineRule="auto"/>
              <w:rPr>
                <w:rFonts w:ascii="Times New Roman" w:eastAsia="Arial" w:hAnsi="Times New Roman" w:cs="Times New Roman"/>
                <w:b/>
                <w:bCs/>
                <w:sz w:val="24"/>
              </w:rPr>
            </w:pP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34071" w14:textId="77777777" w:rsidR="0060221F" w:rsidRDefault="0060221F" w:rsidP="00116EB8">
            <w:pPr>
              <w:spacing w:line="278" w:lineRule="auto"/>
              <w:rPr>
                <w:rFonts w:ascii="Times New Roman" w:eastAsia="Arial" w:hAnsi="Times New Roman" w:cs="Times New Roman"/>
                <w:b/>
                <w:bCs/>
                <w:sz w:val="24"/>
              </w:rPr>
            </w:pPr>
            <w:r>
              <w:rPr>
                <w:rFonts w:ascii="Times New Roman" w:hAnsi="Times New Roman" w:cs="Times New Roman"/>
                <w:sz w:val="24"/>
                <w:lang w:val="en-GB" w:eastAsia="en-US"/>
              </w:rPr>
              <w:t>1.23</w:t>
            </w:r>
          </w:p>
          <w:p w14:paraId="3CAC0119" w14:textId="77777777" w:rsidR="0060221F" w:rsidRDefault="0060221F" w:rsidP="00116EB8">
            <w:pPr>
              <w:spacing w:line="278" w:lineRule="auto"/>
              <w:rPr>
                <w:rFonts w:ascii="Times New Roman" w:eastAsia="Arial" w:hAnsi="Times New Roman" w:cs="Times New Roman"/>
                <w:b/>
                <w:bCs/>
                <w:sz w:val="24"/>
              </w:rPr>
            </w:pPr>
          </w:p>
        </w:tc>
      </w:tr>
    </w:tbl>
    <w:p w14:paraId="44F8D743" w14:textId="77777777" w:rsidR="0060221F" w:rsidRDefault="0060221F" w:rsidP="0060221F">
      <w:pPr>
        <w:spacing w:after="0" w:line="360" w:lineRule="auto"/>
        <w:rPr>
          <w:rFonts w:ascii="Times New Roman" w:eastAsia="Arial" w:hAnsi="Times New Roman" w:cs="Times New Roman"/>
          <w:b/>
          <w:bCs/>
          <w:sz w:val="24"/>
        </w:rPr>
      </w:pPr>
    </w:p>
    <w:p w14:paraId="1966F2F8" w14:textId="77777777" w:rsidR="0060221F" w:rsidRDefault="0060221F" w:rsidP="0060221F">
      <w:pPr>
        <w:spacing w:after="0" w:line="360" w:lineRule="auto"/>
        <w:rPr>
          <w:rFonts w:ascii="Times New Roman" w:eastAsia="Arial" w:hAnsi="Times New Roman" w:cs="Times New Roman"/>
          <w:sz w:val="24"/>
        </w:rPr>
      </w:pPr>
      <w:r>
        <w:rPr>
          <w:rFonts w:ascii="Times New Roman" w:eastAsia="Arial" w:hAnsi="Times New Roman" w:cs="Times New Roman"/>
          <w:sz w:val="24"/>
        </w:rPr>
        <w:t>Source: Researcher’s field survey, 2025</w:t>
      </w:r>
    </w:p>
    <w:p w14:paraId="261CA26C"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1F"/>
    <w:rsid w:val="0005698D"/>
    <w:rsid w:val="00091A9C"/>
    <w:rsid w:val="0042456A"/>
    <w:rsid w:val="00455337"/>
    <w:rsid w:val="004F4ACA"/>
    <w:rsid w:val="0060221F"/>
    <w:rsid w:val="006D60BF"/>
    <w:rsid w:val="007C53A2"/>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E352"/>
  <w15:chartTrackingRefBased/>
  <w15:docId w15:val="{FEBD0207-AF01-4213-8287-330F1FAE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21F"/>
    <w:pPr>
      <w:widowControl w:val="0"/>
      <w:spacing w:line="259" w:lineRule="auto"/>
      <w:jc w:val="both"/>
    </w:pPr>
    <w:rPr>
      <w:rFonts w:ascii="Calibri" w:eastAsia="SimSun" w:hAnsi="Calibri" w:cs="SimSun"/>
      <w:sz w:val="21"/>
      <w:lang w:eastAsia="zh-CN"/>
      <w14:ligatures w14:val="none"/>
    </w:rPr>
  </w:style>
  <w:style w:type="paragraph" w:styleId="Heading1">
    <w:name w:val="heading 1"/>
    <w:basedOn w:val="Normal"/>
    <w:next w:val="Normal"/>
    <w:link w:val="Heading1Char"/>
    <w:uiPriority w:val="9"/>
    <w:qFormat/>
    <w:rsid w:val="0060221F"/>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221F"/>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221F"/>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221F"/>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60221F"/>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60221F"/>
    <w:pPr>
      <w:keepNext/>
      <w:keepLines/>
      <w:widowControl/>
      <w:spacing w:before="40" w:after="0" w:line="278" w:lineRule="auto"/>
      <w:jc w:val="left"/>
      <w:outlineLvl w:val="5"/>
    </w:pPr>
    <w:rPr>
      <w:rFonts w:asciiTheme="minorHAnsi" w:eastAsiaTheme="majorEastAsia" w:hAnsiTheme="minorHAnsi"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60221F"/>
    <w:pPr>
      <w:keepNext/>
      <w:keepLines/>
      <w:widowControl/>
      <w:spacing w:before="40" w:after="0" w:line="278" w:lineRule="auto"/>
      <w:jc w:val="left"/>
      <w:outlineLvl w:val="6"/>
    </w:pPr>
    <w:rPr>
      <w:rFonts w:asciiTheme="minorHAnsi" w:eastAsiaTheme="majorEastAsia" w:hAnsiTheme="minorHAnsi"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60221F"/>
    <w:pPr>
      <w:keepNext/>
      <w:keepLines/>
      <w:widowControl/>
      <w:spacing w:after="0" w:line="278" w:lineRule="auto"/>
      <w:jc w:val="left"/>
      <w:outlineLvl w:val="7"/>
    </w:pPr>
    <w:rPr>
      <w:rFonts w:asciiTheme="minorHAnsi" w:eastAsiaTheme="majorEastAsia" w:hAnsiTheme="minorHAnsi"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60221F"/>
    <w:pPr>
      <w:keepNext/>
      <w:keepLines/>
      <w:widowControl/>
      <w:spacing w:after="0" w:line="278" w:lineRule="auto"/>
      <w:jc w:val="left"/>
      <w:outlineLvl w:val="8"/>
    </w:pPr>
    <w:rPr>
      <w:rFonts w:asciiTheme="minorHAnsi" w:eastAsiaTheme="majorEastAsia" w:hAnsiTheme="minorHAnsi"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21F"/>
    <w:rPr>
      <w:rFonts w:eastAsiaTheme="majorEastAsia" w:cstheme="majorBidi"/>
      <w:color w:val="272727" w:themeColor="text1" w:themeTint="D8"/>
    </w:rPr>
  </w:style>
  <w:style w:type="paragraph" w:styleId="Title">
    <w:name w:val="Title"/>
    <w:basedOn w:val="Normal"/>
    <w:next w:val="Normal"/>
    <w:link w:val="TitleChar"/>
    <w:uiPriority w:val="10"/>
    <w:qFormat/>
    <w:rsid w:val="0060221F"/>
    <w:pPr>
      <w:widowControl/>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2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21F"/>
    <w:pPr>
      <w:widowControl/>
      <w:numPr>
        <w:ilvl w:val="1"/>
      </w:numPr>
      <w:spacing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02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21F"/>
    <w:pPr>
      <w:widowControl/>
      <w:spacing w:before="160" w:line="278" w:lineRule="auto"/>
      <w:jc w:val="center"/>
    </w:pPr>
    <w:rPr>
      <w:rFonts w:asciiTheme="minorHAnsi" w:eastAsiaTheme="minorHAnsi" w:hAnsiTheme="minorHAnsi" w:cstheme="minorBid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60221F"/>
    <w:rPr>
      <w:i/>
      <w:iCs/>
      <w:color w:val="404040" w:themeColor="text1" w:themeTint="BF"/>
    </w:rPr>
  </w:style>
  <w:style w:type="paragraph" w:styleId="ListParagraph">
    <w:name w:val="List Paragraph"/>
    <w:basedOn w:val="Normal"/>
    <w:uiPriority w:val="34"/>
    <w:qFormat/>
    <w:rsid w:val="0060221F"/>
    <w:pPr>
      <w:widowControl/>
      <w:spacing w:line="278" w:lineRule="auto"/>
      <w:ind w:left="720"/>
      <w:contextualSpacing/>
      <w:jc w:val="left"/>
    </w:pPr>
    <w:rPr>
      <w:rFonts w:asciiTheme="minorHAnsi" w:eastAsiaTheme="minorHAnsi" w:hAnsiTheme="minorHAnsi" w:cstheme="minorBidi"/>
      <w:sz w:val="24"/>
      <w:lang w:eastAsia="en-US"/>
      <w14:ligatures w14:val="standardContextual"/>
    </w:rPr>
  </w:style>
  <w:style w:type="character" w:styleId="IntenseEmphasis">
    <w:name w:val="Intense Emphasis"/>
    <w:basedOn w:val="DefaultParagraphFont"/>
    <w:uiPriority w:val="21"/>
    <w:qFormat/>
    <w:rsid w:val="0060221F"/>
    <w:rPr>
      <w:i/>
      <w:iCs/>
      <w:color w:val="2F5496" w:themeColor="accent1" w:themeShade="BF"/>
    </w:rPr>
  </w:style>
  <w:style w:type="paragraph" w:styleId="IntenseQuote">
    <w:name w:val="Intense Quote"/>
    <w:basedOn w:val="Normal"/>
    <w:next w:val="Normal"/>
    <w:link w:val="IntenseQuoteChar"/>
    <w:uiPriority w:val="30"/>
    <w:qFormat/>
    <w:rsid w:val="0060221F"/>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60221F"/>
    <w:rPr>
      <w:i/>
      <w:iCs/>
      <w:color w:val="2F5496" w:themeColor="accent1" w:themeShade="BF"/>
    </w:rPr>
  </w:style>
  <w:style w:type="character" w:styleId="IntenseReference">
    <w:name w:val="Intense Reference"/>
    <w:basedOn w:val="DefaultParagraphFont"/>
    <w:uiPriority w:val="32"/>
    <w:qFormat/>
    <w:rsid w:val="00602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2025-07-10T10:02:00Z</dcterms:created>
  <dcterms:modified xsi:type="dcterms:W3CDTF">2025-07-10T10:02:00Z</dcterms:modified>
</cp:coreProperties>
</file>