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7" w:rsidRPr="00331A60" w:rsidRDefault="00A76FE7" w:rsidP="00A76FE7">
      <w:pPr>
        <w:spacing w:before="240" w:after="240" w:line="276" w:lineRule="auto"/>
        <w:jc w:val="center"/>
        <w:rPr>
          <w:rFonts w:ascii="Times New Roman" w:hAnsi="Times New Roman" w:cs="Times New Roman"/>
          <w:b/>
        </w:rPr>
      </w:pPr>
      <w:r w:rsidRPr="00331A60">
        <w:rPr>
          <w:rFonts w:ascii="Times New Roman" w:hAnsi="Times New Roman" w:cs="Times New Roman"/>
          <w:b/>
        </w:rPr>
        <w:t>CHAPTER FOUR</w:t>
      </w:r>
    </w:p>
    <w:p w:rsidR="00A76FE7" w:rsidRPr="00331A60" w:rsidRDefault="00A76FE7" w:rsidP="00A76FE7">
      <w:pPr>
        <w:spacing w:before="240" w:after="240" w:line="276" w:lineRule="auto"/>
        <w:jc w:val="center"/>
        <w:rPr>
          <w:rFonts w:ascii="Times New Roman" w:hAnsi="Times New Roman" w:cs="Times New Roman"/>
          <w:b/>
        </w:rPr>
      </w:pPr>
      <w:r w:rsidRPr="00331A60">
        <w:rPr>
          <w:rFonts w:ascii="Times New Roman" w:hAnsi="Times New Roman" w:cs="Times New Roman"/>
          <w:b/>
        </w:rPr>
        <w:t>ANALYSIS AND DISCUSSION</w:t>
      </w:r>
    </w:p>
    <w:p w:rsidR="00A76FE7" w:rsidRPr="00B7611F" w:rsidRDefault="00A76FE7" w:rsidP="00A76FE7">
      <w:pPr>
        <w:pStyle w:val="ListParagraph"/>
        <w:numPr>
          <w:ilvl w:val="0"/>
          <w:numId w:val="1"/>
        </w:numPr>
        <w:spacing w:before="240" w:after="240" w:line="276" w:lineRule="auto"/>
        <w:jc w:val="both"/>
        <w:rPr>
          <w:rFonts w:ascii="Times New Roman" w:hAnsi="Times New Roman" w:cs="Times New Roman"/>
          <w:b/>
        </w:rPr>
      </w:pPr>
      <w:r w:rsidRPr="00B7611F">
        <w:rPr>
          <w:rFonts w:ascii="Times New Roman" w:hAnsi="Times New Roman" w:cs="Times New Roman"/>
          <w:b/>
        </w:rPr>
        <w:t>INTRODUCTION</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For the purpose of this, only type of the data was used, this is the description method of data analysis. Data collected was analyzed using table, simple average and graphed interpretation was based on </w:t>
      </w:r>
      <w:proofErr w:type="gramStart"/>
      <w:r w:rsidRPr="001F51F0">
        <w:rPr>
          <w:rFonts w:ascii="Times New Roman" w:hAnsi="Times New Roman" w:cs="Times New Roman"/>
        </w:rPr>
        <w:t>the derives</w:t>
      </w:r>
      <w:proofErr w:type="gramEnd"/>
      <w:r w:rsidRPr="001F51F0">
        <w:rPr>
          <w:rFonts w:ascii="Times New Roman" w:hAnsi="Times New Roman" w:cs="Times New Roman"/>
        </w:rPr>
        <w:t>.</w:t>
      </w:r>
    </w:p>
    <w:p w:rsidR="00A76FE7" w:rsidRPr="00B7611F" w:rsidRDefault="00A76FE7" w:rsidP="00A76FE7">
      <w:pPr>
        <w:pStyle w:val="ListParagraph"/>
        <w:numPr>
          <w:ilvl w:val="0"/>
          <w:numId w:val="1"/>
        </w:numPr>
        <w:spacing w:before="240" w:after="240" w:line="276" w:lineRule="auto"/>
        <w:jc w:val="both"/>
        <w:rPr>
          <w:rFonts w:ascii="Times New Roman" w:hAnsi="Times New Roman" w:cs="Times New Roman"/>
          <w:b/>
        </w:rPr>
      </w:pPr>
      <w:r w:rsidRPr="00B7611F">
        <w:rPr>
          <w:rFonts w:ascii="Times New Roman" w:hAnsi="Times New Roman" w:cs="Times New Roman"/>
          <w:b/>
        </w:rPr>
        <w:t>RESPONDENT CHARACTERISTIC AND CLASSIFICATION</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The questions are derived from the research question arranged in logical sequences of important to the research topic. Table prepared to analysis the responses to the responses of respondent to the topic on band bases in the responses table of discussion were drawn and intenerated.</w:t>
      </w:r>
    </w:p>
    <w:p w:rsidR="00A76FE7" w:rsidRPr="00B7611F" w:rsidRDefault="00A76FE7" w:rsidP="00A76FE7">
      <w:pPr>
        <w:spacing w:before="240" w:after="240" w:line="276" w:lineRule="auto"/>
        <w:jc w:val="both"/>
        <w:rPr>
          <w:rFonts w:ascii="Times New Roman" w:hAnsi="Times New Roman" w:cs="Times New Roman"/>
          <w:b/>
        </w:rPr>
      </w:pPr>
      <w:r w:rsidRPr="00B7611F">
        <w:rPr>
          <w:rFonts w:ascii="Times New Roman" w:hAnsi="Times New Roman" w:cs="Times New Roman"/>
          <w:b/>
        </w:rPr>
        <w:t>TABLE 4.1</w:t>
      </w:r>
    </w:p>
    <w:p w:rsidR="00A76FE7" w:rsidRPr="00B7611F" w:rsidRDefault="00A76FE7" w:rsidP="00A76FE7">
      <w:pPr>
        <w:spacing w:before="240" w:after="240" w:line="276" w:lineRule="auto"/>
        <w:jc w:val="both"/>
        <w:rPr>
          <w:rFonts w:ascii="Times New Roman" w:hAnsi="Times New Roman" w:cs="Times New Roman"/>
          <w:b/>
        </w:rPr>
      </w:pPr>
      <w:r w:rsidRPr="00B7611F">
        <w:rPr>
          <w:rFonts w:ascii="Times New Roman" w:hAnsi="Times New Roman" w:cs="Times New Roman"/>
          <w:b/>
        </w:rPr>
        <w:t>RESPONSE OF THE TYPE OF ACCOUNTING IN OPERATION IN YOUR</w:t>
      </w:r>
      <w:r>
        <w:rPr>
          <w:rFonts w:ascii="Times New Roman" w:hAnsi="Times New Roman" w:cs="Times New Roman"/>
          <w:b/>
        </w:rPr>
        <w:t xml:space="preserve"> </w:t>
      </w:r>
      <w:r w:rsidRPr="00B7611F">
        <w:rPr>
          <w:rFonts w:ascii="Times New Roman" w:hAnsi="Times New Roman" w:cs="Times New Roman"/>
          <w:b/>
        </w:rPr>
        <w:t>COMPANY (QUESTION 9)</w:t>
      </w:r>
    </w:p>
    <w:tbl>
      <w:tblPr>
        <w:tblStyle w:val="TableGrid"/>
        <w:tblW w:w="0" w:type="auto"/>
        <w:tblLook w:val="04A0"/>
      </w:tblPr>
      <w:tblGrid>
        <w:gridCol w:w="3218"/>
        <w:gridCol w:w="3166"/>
        <w:gridCol w:w="3192"/>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The type of accounting system in operation in your company</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Centralized accounting</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6</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75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Decentralized accounting</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Inter-group accounting</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None of the above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E. Other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The </w:t>
      </w:r>
      <w:proofErr w:type="gramStart"/>
      <w:r w:rsidRPr="001F51F0">
        <w:rPr>
          <w:rFonts w:ascii="Times New Roman" w:hAnsi="Times New Roman" w:cs="Times New Roman"/>
        </w:rPr>
        <w:t>table share</w:t>
      </w:r>
      <w:proofErr w:type="gramEnd"/>
      <w:r w:rsidRPr="001F51F0">
        <w:rPr>
          <w:rFonts w:ascii="Times New Roman" w:hAnsi="Times New Roman" w:cs="Times New Roman"/>
        </w:rPr>
        <w:t xml:space="preserve"> the response to the type of accounting system in operation in the company.</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It is observed that 6 (75%) of the 8 respondents choose the centralized accounting system while 1 (12.5%) believed that inter-group accounting is the system in operation in the company.</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 it is therefore believe that centralized accounting system is in operation in the company.</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TABLE 4.2</w:t>
      </w:r>
    </w:p>
    <w:p w:rsidR="00A76FE7"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RESPONSE TO THE COST AT WHICH THE OVERSEES PARENT COMPANY DISCHARGES INVESTORS TO THE REGIONAL BRANCHES OUTSIDE THEIR</w:t>
      </w:r>
      <w:r>
        <w:rPr>
          <w:rFonts w:ascii="Times New Roman" w:hAnsi="Times New Roman" w:cs="Times New Roman"/>
          <w:b/>
        </w:rPr>
        <w:t xml:space="preserve"> </w:t>
      </w:r>
      <w:r w:rsidRPr="0045377B">
        <w:rPr>
          <w:rFonts w:ascii="Times New Roman" w:hAnsi="Times New Roman" w:cs="Times New Roman"/>
          <w:b/>
        </w:rPr>
        <w:t>LOCALITY</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 xml:space="preserve"> (QUESTION 10)</w:t>
      </w:r>
    </w:p>
    <w:tbl>
      <w:tblPr>
        <w:tblStyle w:val="TableGrid"/>
        <w:tblW w:w="0" w:type="auto"/>
        <w:tblLook w:val="04A0"/>
      </w:tblPr>
      <w:tblGrid>
        <w:gridCol w:w="3201"/>
        <w:gridCol w:w="3175"/>
        <w:gridCol w:w="3200"/>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The cost of which oversees parent company discharge inventories to the regional branch outside their locality</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p w:rsidR="00A76FE7" w:rsidRPr="001F51F0" w:rsidRDefault="00A76FE7" w:rsidP="000924B4">
            <w:pPr>
              <w:spacing w:before="240" w:after="240" w:line="276" w:lineRule="auto"/>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At Cost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28.5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At Cost Plus Make Up _ Perverse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3</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43</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At</w:t>
            </w:r>
            <w:r>
              <w:rPr>
                <w:rFonts w:ascii="Times New Roman" w:hAnsi="Times New Roman" w:cs="Times New Roman"/>
              </w:rPr>
              <w:t xml:space="preserve"> </w:t>
            </w:r>
            <w:r w:rsidRPr="001F51F0">
              <w:rPr>
                <w:rFonts w:ascii="Times New Roman" w:hAnsi="Times New Roman" w:cs="Times New Roman"/>
              </w:rPr>
              <w:t>cost plus margin</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28.5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At the selling price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 xml:space="preserve">E. </w:t>
            </w:r>
            <w:proofErr w:type="spellStart"/>
            <w:r w:rsidRPr="001F51F0">
              <w:rPr>
                <w:rFonts w:ascii="Times New Roman" w:hAnsi="Times New Roman" w:cs="Times New Roman"/>
              </w:rPr>
              <w:t>Non</w:t>
            </w:r>
            <w:proofErr w:type="spellEnd"/>
            <w:r w:rsidRPr="001F51F0">
              <w:rPr>
                <w:rFonts w:ascii="Times New Roman" w:hAnsi="Times New Roman" w:cs="Times New Roman"/>
              </w:rPr>
              <w:t xml:space="preserve"> of the above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F. Other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70</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lastRenderedPageBreak/>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From the above table it is observed that 2(28.5%) of the respondent were of the opinion that inventories discharge by oversee parent company to regional branch outside their locality of cost 3(43%) believed that inventories were discharge of cost plus make up percentage while 2(28.5%) believed that they are at selling price.</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It is believed that the inventories are discharge of cost plus make up percentage this is because of the fact that this option enjoys are proper support than other.</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TABLE 4.3</w:t>
      </w:r>
    </w:p>
    <w:p w:rsidR="00A76FE7" w:rsidRPr="0045377B" w:rsidRDefault="00A76FE7" w:rsidP="00A76FE7">
      <w:pPr>
        <w:spacing w:before="240" w:after="240" w:line="276" w:lineRule="auto"/>
        <w:jc w:val="both"/>
        <w:rPr>
          <w:rFonts w:ascii="Times New Roman" w:hAnsi="Times New Roman" w:cs="Times New Roman"/>
          <w:b/>
        </w:rPr>
      </w:pPr>
      <w:proofErr w:type="gramStart"/>
      <w:r w:rsidRPr="0045377B">
        <w:rPr>
          <w:rFonts w:ascii="Times New Roman" w:hAnsi="Times New Roman" w:cs="Times New Roman"/>
          <w:b/>
        </w:rPr>
        <w:t>RESPONSE TO THE CLASSIFICATION OF THE EFFECTIVENESS OF ACCOUNTING SYSTEM OF MULTINATIONAL COMPANIES IN NIGERIA.</w:t>
      </w:r>
      <w:proofErr w:type="gramEnd"/>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(QUESTION 11)</w:t>
      </w:r>
    </w:p>
    <w:tbl>
      <w:tblPr>
        <w:tblStyle w:val="TableGrid"/>
        <w:tblW w:w="0" w:type="auto"/>
        <w:tblLook w:val="04A0"/>
      </w:tblPr>
      <w:tblGrid>
        <w:gridCol w:w="3218"/>
        <w:gridCol w:w="3166"/>
        <w:gridCol w:w="3192"/>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Classification of the effectiveness of accounting system of multinational companies in Nigeria</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Very satisfactory</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4</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50</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Satisfactory</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3</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37.5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Not very satisfactory</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Not satisfactory</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E. Indifferent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Table 4.3 indicate that 4 (50%) of the respondent believe that the level of effectiveness of accounting system of multinational companies is very satisfactory 3 (37.5%) believe that the </w:t>
      </w:r>
      <w:r w:rsidRPr="001F51F0">
        <w:rPr>
          <w:rFonts w:ascii="Times New Roman" w:hAnsi="Times New Roman" w:cs="Times New Roman"/>
        </w:rPr>
        <w:lastRenderedPageBreak/>
        <w:t>level of effectiveness is satisfactory while 1 (12.5%) indifferent.</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it is believed that the effectiveness of the accounting system is very satisfactory to</w:t>
      </w:r>
    </w:p>
    <w:p w:rsidR="00A76FE7" w:rsidRPr="001F51F0" w:rsidRDefault="00A76FE7" w:rsidP="00A76FE7">
      <w:pPr>
        <w:spacing w:before="240" w:after="240" w:line="276" w:lineRule="auto"/>
        <w:jc w:val="both"/>
        <w:rPr>
          <w:rFonts w:ascii="Times New Roman" w:hAnsi="Times New Roman" w:cs="Times New Roman"/>
        </w:rPr>
      </w:pPr>
      <w:proofErr w:type="gramStart"/>
      <w:r w:rsidRPr="001F51F0">
        <w:rPr>
          <w:rFonts w:ascii="Times New Roman" w:hAnsi="Times New Roman" w:cs="Times New Roman"/>
        </w:rPr>
        <w:t>most</w:t>
      </w:r>
      <w:proofErr w:type="gramEnd"/>
      <w:r w:rsidRPr="001F51F0">
        <w:rPr>
          <w:rFonts w:ascii="Times New Roman" w:hAnsi="Times New Roman" w:cs="Times New Roman"/>
        </w:rPr>
        <w:t xml:space="preserve"> of the despondence.</w:t>
      </w:r>
    </w:p>
    <w:p w:rsidR="00A76FE7" w:rsidRPr="0045377B" w:rsidRDefault="00A76FE7" w:rsidP="00A76FE7">
      <w:pPr>
        <w:pStyle w:val="ListParagraph"/>
        <w:numPr>
          <w:ilvl w:val="0"/>
          <w:numId w:val="1"/>
        </w:numPr>
        <w:spacing w:before="240" w:after="240" w:line="276" w:lineRule="auto"/>
        <w:jc w:val="both"/>
        <w:rPr>
          <w:rFonts w:ascii="Times New Roman" w:hAnsi="Times New Roman" w:cs="Times New Roman"/>
          <w:b/>
        </w:rPr>
      </w:pPr>
      <w:r w:rsidRPr="0045377B">
        <w:rPr>
          <w:rFonts w:ascii="Times New Roman" w:hAnsi="Times New Roman" w:cs="Times New Roman"/>
          <w:b/>
        </w:rPr>
        <w:t>PRESENTATION AND ANALYSIS OF DATA</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TABLE 4.4</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RESPONSES TO THE TYPES OF COMPONENT OF ACCOUNT IN OPERATION IN A MULTINATIONAL ENTERPRISE (QUESTION 12)</w:t>
      </w:r>
    </w:p>
    <w:tbl>
      <w:tblPr>
        <w:tblStyle w:val="TableGrid"/>
        <w:tblW w:w="0" w:type="auto"/>
        <w:tblLook w:val="04A0"/>
      </w:tblPr>
      <w:tblGrid>
        <w:gridCol w:w="3225"/>
        <w:gridCol w:w="3163"/>
        <w:gridCol w:w="3188"/>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The type of components of account in operation in multinational enterprises</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p w:rsidR="00A76FE7" w:rsidRPr="001F51F0" w:rsidRDefault="00A76FE7" w:rsidP="000924B4">
            <w:pPr>
              <w:spacing w:before="240" w:after="240" w:line="276" w:lineRule="auto"/>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Branch account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Manufacturing account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Company account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Consolidation account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E. All of the above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4</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50</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F. Other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Table 4.4 indicates that 2 (25%) of the respondent believe that branch accounting is used to prepare the account of most of the multinational company 2 (25%) believe that consolidated accounting is used which 4 (50%) of the respondent believe that in preparing the account of multinational company, all the option (i.e. stated) are used of different stage before a complete </w:t>
      </w:r>
      <w:r w:rsidRPr="001F51F0">
        <w:rPr>
          <w:rFonts w:ascii="Times New Roman" w:hAnsi="Times New Roman" w:cs="Times New Roman"/>
        </w:rPr>
        <w:lastRenderedPageBreak/>
        <w:t>financial statement its derived.</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it is therefore, believed that a multinational company can only prepare a complete financial statement offer preparing branch account, company account, manufacturer account and consolidation financial statement.</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TABLE 4.5</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RESPONSE TO THE PRINCIPLE LEDGER ACCOUNT USED IN PREPARING MULTINATIONAL ACCOUNTS (QUESTION 13)</w:t>
      </w:r>
    </w:p>
    <w:tbl>
      <w:tblPr>
        <w:tblStyle w:val="TableGrid"/>
        <w:tblW w:w="0" w:type="auto"/>
        <w:tblLook w:val="04A0"/>
      </w:tblPr>
      <w:tblGrid>
        <w:gridCol w:w="3215"/>
        <w:gridCol w:w="3168"/>
        <w:gridCol w:w="3193"/>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The principal ledger account used to preparing multinational account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p w:rsidR="00A76FE7" w:rsidRPr="001F51F0" w:rsidRDefault="00A76FE7" w:rsidP="000924B4">
            <w:pPr>
              <w:spacing w:before="240" w:after="240" w:line="276" w:lineRule="auto"/>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Purchase ledger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Sales ledger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Cash ledger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General ledger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E. All of the above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6</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75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F. Other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From the table 4.5, it has shown 2 (25%) of the respondent choose other general ledger while 6 (75%) believe that the purchase ledger sales, general ledger and cash book from the principal ledger account used in preparing the account of multinational companies.</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it is therefore believed that options A to D are the main ledger account of multinational.</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lastRenderedPageBreak/>
        <w:t>TABLE 4.6</w:t>
      </w:r>
    </w:p>
    <w:p w:rsidR="00A76FE7" w:rsidRPr="0045377B" w:rsidRDefault="00A76FE7" w:rsidP="00A76FE7">
      <w:pPr>
        <w:spacing w:before="240" w:after="240" w:line="276" w:lineRule="auto"/>
        <w:jc w:val="both"/>
        <w:rPr>
          <w:rFonts w:ascii="Times New Roman" w:hAnsi="Times New Roman" w:cs="Times New Roman"/>
          <w:b/>
        </w:rPr>
      </w:pPr>
      <w:proofErr w:type="gramStart"/>
      <w:r w:rsidRPr="0045377B">
        <w:rPr>
          <w:rFonts w:ascii="Times New Roman" w:hAnsi="Times New Roman" w:cs="Times New Roman"/>
          <w:b/>
        </w:rPr>
        <w:t>RESPONSES TO THE VARIOUS SOURCE DOCUMENTS BEING USED IN YOUR ACCOUNT DEPARTMENT.</w:t>
      </w:r>
      <w:proofErr w:type="gramEnd"/>
      <w:r w:rsidRPr="0045377B">
        <w:rPr>
          <w:rFonts w:ascii="Times New Roman" w:hAnsi="Times New Roman" w:cs="Times New Roman"/>
          <w:b/>
        </w:rPr>
        <w:t xml:space="preserve"> (QUESTION 14)</w:t>
      </w:r>
    </w:p>
    <w:tbl>
      <w:tblPr>
        <w:tblStyle w:val="TableGrid"/>
        <w:tblW w:w="0" w:type="auto"/>
        <w:tblLook w:val="04A0"/>
      </w:tblPr>
      <w:tblGrid>
        <w:gridCol w:w="3205"/>
        <w:gridCol w:w="3173"/>
        <w:gridCol w:w="3198"/>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The various source documents being used in your account department.</w:t>
            </w:r>
          </w:p>
          <w:p w:rsidR="00A76FE7" w:rsidRPr="001F51F0" w:rsidRDefault="00A76FE7" w:rsidP="000924B4">
            <w:pPr>
              <w:spacing w:before="240" w:after="240" w:line="276" w:lineRule="auto"/>
              <w:jc w:val="both"/>
              <w:rPr>
                <w:rFonts w:ascii="Times New Roman" w:hAnsi="Times New Roman" w:cs="Times New Roman"/>
              </w:rPr>
            </w:pP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p w:rsidR="00A76FE7" w:rsidRPr="001F51F0" w:rsidRDefault="00A76FE7" w:rsidP="000924B4">
            <w:pPr>
              <w:spacing w:before="240" w:after="240" w:line="276" w:lineRule="auto"/>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Sales journal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Purchase journal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Invoice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17</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Receipt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E. Voucher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F. All of the above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5</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83</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G. Other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6</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From the table 4.6, its show that 1 (17%) of the respondent believe only invoice are used or source documents, which 5 (83%) believe that the book of original entry are being used in the company account department and vouchers.</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it could therefore be interred that option A to E are the various sources documents being used in the company account department.</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lastRenderedPageBreak/>
        <w:t>TABLE 4.7</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RESPONSES TO THE ACCOUNTING CONCEPTS BEING ADOPTED IN PREPARING THE COMPANY FINAL ACCOUNT (QUESTION 15)</w:t>
      </w:r>
    </w:p>
    <w:tbl>
      <w:tblPr>
        <w:tblStyle w:val="TableGrid"/>
        <w:tblW w:w="0" w:type="auto"/>
        <w:tblLook w:val="04A0"/>
      </w:tblPr>
      <w:tblGrid>
        <w:gridCol w:w="3203"/>
        <w:gridCol w:w="3174"/>
        <w:gridCol w:w="3199"/>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The accounting concept being adopted in preparing the company final account.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p w:rsidR="00A76FE7" w:rsidRPr="001F51F0" w:rsidRDefault="00A76FE7" w:rsidP="000924B4">
            <w:pPr>
              <w:spacing w:before="240" w:after="240" w:line="276" w:lineRule="auto"/>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The monetary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Historical cost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The business entity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The stable monetary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E. The internal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F. The double entry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G. Accrual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H. The foreign concern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I. The machine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J. Realization concept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K. All of the above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5</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62.5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lastRenderedPageBreak/>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From table 4.7 question is multiple choice answer, however, 1 (12.5%) believed that the stable monetary concept being adopted 2 (25%) believed that only the historical cost concept is used which after 5 (62.5%) believed that </w:t>
      </w:r>
      <w:proofErr w:type="gramStart"/>
      <w:r w:rsidRPr="001F51F0">
        <w:rPr>
          <w:rFonts w:ascii="Times New Roman" w:hAnsi="Times New Roman" w:cs="Times New Roman"/>
        </w:rPr>
        <w:t>all the</w:t>
      </w:r>
      <w:proofErr w:type="gramEnd"/>
      <w:r w:rsidRPr="001F51F0">
        <w:rPr>
          <w:rFonts w:ascii="Times New Roman" w:hAnsi="Times New Roman" w:cs="Times New Roman"/>
        </w:rPr>
        <w:t xml:space="preserve"> accounting concept listed above is adopted in preparing final account.</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it is believed that all accounting concept used above is being adopted by the company in preparing its final account.</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TABLE 4.8</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RESPONSES TO THE EFFICIENCY OF THE COMPANY ACCOUNT DEPARTMENTS STAFF (QUESTION 16)</w:t>
      </w:r>
    </w:p>
    <w:tbl>
      <w:tblPr>
        <w:tblStyle w:val="TableGrid"/>
        <w:tblW w:w="0" w:type="auto"/>
        <w:tblLook w:val="04A0"/>
      </w:tblPr>
      <w:tblGrid>
        <w:gridCol w:w="3202"/>
        <w:gridCol w:w="3175"/>
        <w:gridCol w:w="3199"/>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The efficiency of the company account department staff.</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 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p w:rsidR="00A76FE7" w:rsidRPr="001F51F0" w:rsidRDefault="00A76FE7" w:rsidP="000924B4">
            <w:pPr>
              <w:spacing w:before="240" w:after="240" w:line="276" w:lineRule="auto"/>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 xml:space="preserve">A. </w:t>
            </w:r>
            <w:proofErr w:type="spellStart"/>
            <w:r w:rsidRPr="001F51F0">
              <w:rPr>
                <w:rFonts w:ascii="Times New Roman" w:hAnsi="Times New Roman" w:cs="Times New Roman"/>
              </w:rPr>
              <w:t>Ver</w:t>
            </w:r>
            <w:r>
              <w:rPr>
                <w:rFonts w:ascii="Times New Roman" w:hAnsi="Times New Roman" w:cs="Times New Roman"/>
              </w:rPr>
              <w:t>jhn</w:t>
            </w:r>
            <w:r w:rsidRPr="001F51F0">
              <w:rPr>
                <w:rFonts w:ascii="Times New Roman" w:hAnsi="Times New Roman" w:cs="Times New Roman"/>
              </w:rPr>
              <w:t>y</w:t>
            </w:r>
            <w:proofErr w:type="spellEnd"/>
            <w:r w:rsidRPr="001F51F0">
              <w:rPr>
                <w:rFonts w:ascii="Times New Roman" w:hAnsi="Times New Roman" w:cs="Times New Roman"/>
              </w:rPr>
              <w:t xml:space="preserve"> efficient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6</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86</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Efficiency</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Not very efficient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14</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Not efficient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E. Indifferent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Table 4.8 indicate that 6 (86%) of the respondents believed that the company account staff are </w:t>
      </w:r>
      <w:r w:rsidRPr="001F51F0">
        <w:rPr>
          <w:rFonts w:ascii="Times New Roman" w:hAnsi="Times New Roman" w:cs="Times New Roman"/>
        </w:rPr>
        <w:lastRenderedPageBreak/>
        <w:t>very efficient as the performance of their duties which 2 (14%) or the option that staff are not very efficient.</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Conclusion: it is believed that the company account </w:t>
      </w:r>
      <w:proofErr w:type="gramStart"/>
      <w:r w:rsidRPr="001F51F0">
        <w:rPr>
          <w:rFonts w:ascii="Times New Roman" w:hAnsi="Times New Roman" w:cs="Times New Roman"/>
        </w:rPr>
        <w:t>staff are</w:t>
      </w:r>
      <w:proofErr w:type="gramEnd"/>
      <w:r w:rsidRPr="001F51F0">
        <w:rPr>
          <w:rFonts w:ascii="Times New Roman" w:hAnsi="Times New Roman" w:cs="Times New Roman"/>
        </w:rPr>
        <w:t xml:space="preserve"> very efficient.</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TABLE 4.9</w:t>
      </w:r>
    </w:p>
    <w:p w:rsidR="00A76FE7"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 xml:space="preserve">RESPONSES TO THE WHETHER OR NOT THE PARENT COMPANY SHOULD CLOSE THE EQUITY METHOD OF </w:t>
      </w:r>
      <w:proofErr w:type="gramStart"/>
      <w:r w:rsidRPr="0045377B">
        <w:rPr>
          <w:rFonts w:ascii="Times New Roman" w:hAnsi="Times New Roman" w:cs="Times New Roman"/>
          <w:b/>
        </w:rPr>
        <w:t>A</w:t>
      </w:r>
      <w:proofErr w:type="gramEnd"/>
      <w:r w:rsidRPr="0045377B">
        <w:rPr>
          <w:rFonts w:ascii="Times New Roman" w:hAnsi="Times New Roman" w:cs="Times New Roman"/>
          <w:b/>
        </w:rPr>
        <w:t xml:space="preserve"> ACCOUNTING FOR AN INVESTMENT ON THE PREPARED STOCK OF A SUBSIDIARY (QUESTION 17)</w:t>
      </w:r>
    </w:p>
    <w:tbl>
      <w:tblPr>
        <w:tblStyle w:val="TableGrid"/>
        <w:tblW w:w="0" w:type="auto"/>
        <w:tblLook w:val="04A0"/>
      </w:tblPr>
      <w:tblGrid>
        <w:gridCol w:w="3200"/>
        <w:gridCol w:w="3176"/>
        <w:gridCol w:w="3200"/>
      </w:tblGrid>
      <w:tr w:rsidR="00A76FE7" w:rsidTr="000924B4">
        <w:tc>
          <w:tcPr>
            <w:tcW w:w="3396" w:type="dxa"/>
          </w:tcPr>
          <w:p w:rsidR="00A76FE7" w:rsidRPr="0045377B" w:rsidRDefault="00A76FE7" w:rsidP="000924B4">
            <w:pPr>
              <w:spacing w:before="240" w:after="240" w:line="276" w:lineRule="auto"/>
              <w:jc w:val="both"/>
              <w:rPr>
                <w:rFonts w:ascii="Times New Roman" w:hAnsi="Times New Roman" w:cs="Times New Roman"/>
              </w:rPr>
            </w:pPr>
            <w:r w:rsidRPr="0045377B">
              <w:rPr>
                <w:rFonts w:ascii="Times New Roman" w:hAnsi="Times New Roman" w:cs="Times New Roman"/>
              </w:rPr>
              <w:t>Whether or not the parent company should use</w:t>
            </w:r>
            <w:r>
              <w:rPr>
                <w:rFonts w:ascii="Times New Roman" w:hAnsi="Times New Roman" w:cs="Times New Roman"/>
              </w:rPr>
              <w:t xml:space="preserve"> </w:t>
            </w:r>
            <w:r w:rsidRPr="001F51F0">
              <w:rPr>
                <w:rFonts w:ascii="Times New Roman" w:hAnsi="Times New Roman" w:cs="Times New Roman"/>
              </w:rPr>
              <w:t>the equity of accounting for an investment or</w:t>
            </w:r>
            <w:r>
              <w:rPr>
                <w:rFonts w:ascii="Times New Roman" w:hAnsi="Times New Roman" w:cs="Times New Roman"/>
              </w:rPr>
              <w:t xml:space="preserve"> </w:t>
            </w:r>
            <w:r w:rsidRPr="001F51F0">
              <w:rPr>
                <w:rFonts w:ascii="Times New Roman" w:hAnsi="Times New Roman" w:cs="Times New Roman"/>
              </w:rPr>
              <w:t>the prepared stock of a subsidiary</w:t>
            </w:r>
          </w:p>
        </w:tc>
        <w:tc>
          <w:tcPr>
            <w:tcW w:w="3396" w:type="dxa"/>
          </w:tcPr>
          <w:p w:rsidR="00A76FE7" w:rsidRDefault="00A76FE7" w:rsidP="000924B4">
            <w:pPr>
              <w:spacing w:before="240" w:after="240" w:line="276" w:lineRule="auto"/>
              <w:jc w:val="both"/>
              <w:rPr>
                <w:rFonts w:ascii="Times New Roman" w:hAnsi="Times New Roman" w:cs="Times New Roman"/>
                <w:b/>
              </w:rPr>
            </w:pPr>
            <w:r w:rsidRPr="001F51F0">
              <w:rPr>
                <w:rFonts w:ascii="Times New Roman" w:hAnsi="Times New Roman" w:cs="Times New Roman"/>
              </w:rPr>
              <w:t>Number NO</w:t>
            </w:r>
          </w:p>
        </w:tc>
        <w:tc>
          <w:tcPr>
            <w:tcW w:w="3396" w:type="dxa"/>
          </w:tcPr>
          <w:p w:rsidR="00A76FE7" w:rsidRDefault="00A76FE7" w:rsidP="000924B4">
            <w:pPr>
              <w:spacing w:before="240" w:after="240" w:line="276" w:lineRule="auto"/>
              <w:jc w:val="both"/>
              <w:rPr>
                <w:rFonts w:ascii="Times New Roman" w:hAnsi="Times New Roman" w:cs="Times New Roman"/>
                <w:b/>
              </w:rPr>
            </w:pPr>
            <w:r w:rsidRPr="001F51F0">
              <w:rPr>
                <w:rFonts w:ascii="Times New Roman" w:hAnsi="Times New Roman" w:cs="Times New Roman"/>
              </w:rPr>
              <w:t>Percentage %</w:t>
            </w:r>
          </w:p>
        </w:tc>
      </w:tr>
      <w:tr w:rsidR="00A76FE7" w:rsidTr="000924B4">
        <w:tc>
          <w:tcPr>
            <w:tcW w:w="3396" w:type="dxa"/>
          </w:tcPr>
          <w:p w:rsidR="00A76FE7" w:rsidRPr="0045377B"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Yes</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4</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68</w:t>
            </w:r>
          </w:p>
        </w:tc>
      </w:tr>
      <w:tr w:rsidR="00A76FE7" w:rsidTr="000924B4">
        <w:tc>
          <w:tcPr>
            <w:tcW w:w="3396" w:type="dxa"/>
          </w:tcPr>
          <w:p w:rsidR="00A76FE7" w:rsidRPr="0045377B"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p>
        </w:tc>
        <w:tc>
          <w:tcPr>
            <w:tcW w:w="3396" w:type="dxa"/>
          </w:tcPr>
          <w:p w:rsidR="00A76FE7" w:rsidRPr="001F51F0" w:rsidRDefault="00A76FE7" w:rsidP="000924B4">
            <w:pPr>
              <w:spacing w:before="240" w:after="240" w:line="276" w:lineRule="auto"/>
              <w:jc w:val="both"/>
              <w:rPr>
                <w:rFonts w:ascii="Times New Roman" w:hAnsi="Times New Roman" w:cs="Times New Roman"/>
              </w:rPr>
            </w:pPr>
          </w:p>
        </w:tc>
      </w:tr>
      <w:tr w:rsidR="00A76FE7" w:rsidTr="000924B4">
        <w:tc>
          <w:tcPr>
            <w:tcW w:w="3396" w:type="dxa"/>
          </w:tcPr>
          <w:p w:rsidR="00A76FE7" w:rsidRPr="0045377B"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Indifferent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32</w:t>
            </w:r>
          </w:p>
        </w:tc>
      </w:tr>
      <w:tr w:rsidR="00A76FE7" w:rsidTr="000924B4">
        <w:tc>
          <w:tcPr>
            <w:tcW w:w="3396" w:type="dxa"/>
          </w:tcPr>
          <w:p w:rsidR="00A76FE7" w:rsidRPr="0045377B"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70</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Table 4.9 show that 4 (68%) of the respondent believed that the equity method of accounting</w:t>
      </w:r>
      <w:r>
        <w:rPr>
          <w:rFonts w:ascii="Times New Roman" w:hAnsi="Times New Roman" w:cs="Times New Roman"/>
        </w:rPr>
        <w:t xml:space="preserve"> should be </w:t>
      </w:r>
      <w:r w:rsidRPr="001F51F0">
        <w:rPr>
          <w:rFonts w:ascii="Times New Roman" w:hAnsi="Times New Roman" w:cs="Times New Roman"/>
        </w:rPr>
        <w:t>used by the parent company for an investment on the present stock of the subsidiary,</w:t>
      </w:r>
      <w:r>
        <w:rPr>
          <w:rFonts w:ascii="Times New Roman" w:hAnsi="Times New Roman" w:cs="Times New Roman"/>
        </w:rPr>
        <w:t xml:space="preserve"> </w:t>
      </w:r>
      <w:r w:rsidRPr="001F51F0">
        <w:rPr>
          <w:rFonts w:ascii="Times New Roman" w:hAnsi="Times New Roman" w:cs="Times New Roman"/>
        </w:rPr>
        <w:t>which 2 (32%) of the respondent are indifferent with this method.</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the equity method is the appropriator method as indicated by the respondent.</w:t>
      </w:r>
    </w:p>
    <w:p w:rsidR="00A76FE7" w:rsidRDefault="00A76FE7" w:rsidP="00A76FE7">
      <w:pPr>
        <w:spacing w:before="240" w:after="240" w:line="276" w:lineRule="auto"/>
        <w:jc w:val="both"/>
        <w:rPr>
          <w:rFonts w:ascii="Times New Roman" w:hAnsi="Times New Roman" w:cs="Times New Roman"/>
          <w:b/>
        </w:rPr>
      </w:pPr>
    </w:p>
    <w:p w:rsidR="00A76FE7" w:rsidRDefault="00A76FE7" w:rsidP="00A76FE7">
      <w:pPr>
        <w:spacing w:before="240" w:after="240" w:line="276" w:lineRule="auto"/>
        <w:jc w:val="both"/>
        <w:rPr>
          <w:rFonts w:ascii="Times New Roman" w:hAnsi="Times New Roman" w:cs="Times New Roman"/>
          <w:b/>
        </w:rPr>
      </w:pPr>
    </w:p>
    <w:p w:rsidR="00A76FE7" w:rsidRDefault="00A76FE7" w:rsidP="00A76FE7">
      <w:pPr>
        <w:spacing w:before="240" w:after="240" w:line="276" w:lineRule="auto"/>
        <w:jc w:val="both"/>
        <w:rPr>
          <w:rFonts w:ascii="Times New Roman" w:hAnsi="Times New Roman" w:cs="Times New Roman"/>
          <w:b/>
        </w:rPr>
      </w:pP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lastRenderedPageBreak/>
        <w:t>TABLE 4.10</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 xml:space="preserve">RESPONSE TO THE </w:t>
      </w:r>
      <w:proofErr w:type="gramStart"/>
      <w:r w:rsidRPr="0045377B">
        <w:rPr>
          <w:rFonts w:ascii="Times New Roman" w:hAnsi="Times New Roman" w:cs="Times New Roman"/>
          <w:b/>
        </w:rPr>
        <w:t>CIRCUMSTANCES, THAT</w:t>
      </w:r>
      <w:proofErr w:type="gramEnd"/>
      <w:r w:rsidRPr="0045377B">
        <w:rPr>
          <w:rFonts w:ascii="Times New Roman" w:hAnsi="Times New Roman" w:cs="Times New Roman"/>
          <w:b/>
        </w:rPr>
        <w:t xml:space="preserve"> MAY DEMAND THE EXTENSION OF A SUBSIDIARY FROM CONSOLIDATION</w:t>
      </w:r>
    </w:p>
    <w:tbl>
      <w:tblPr>
        <w:tblStyle w:val="TableGrid"/>
        <w:tblW w:w="0" w:type="auto"/>
        <w:tblLook w:val="04A0"/>
      </w:tblPr>
      <w:tblGrid>
        <w:gridCol w:w="3220"/>
        <w:gridCol w:w="3165"/>
        <w:gridCol w:w="3191"/>
      </w:tblGrid>
      <w:tr w:rsidR="00A76FE7" w:rsidRPr="001F51F0" w:rsidTr="000924B4">
        <w:tc>
          <w:tcPr>
            <w:tcW w:w="3396" w:type="dxa"/>
          </w:tcPr>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The circumstance that may demand the extension of a subsidiary from consolidation.</w:t>
            </w:r>
          </w:p>
        </w:tc>
        <w:tc>
          <w:tcPr>
            <w:tcW w:w="3396" w:type="dxa"/>
          </w:tcPr>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Percentage %</w:t>
            </w:r>
          </w:p>
          <w:p w:rsidR="00A76FE7" w:rsidRPr="001F51F0" w:rsidRDefault="00A76FE7" w:rsidP="000924B4">
            <w:pPr>
              <w:spacing w:after="120"/>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A. If consolidation will be misleading</w:t>
            </w:r>
            <w:r>
              <w:rPr>
                <w:rFonts w:ascii="Times New Roman" w:hAnsi="Times New Roman" w:cs="Times New Roman"/>
              </w:rPr>
              <w:t xml:space="preserve"> </w:t>
            </w:r>
            <w:r w:rsidRPr="001F51F0">
              <w:rPr>
                <w:rFonts w:ascii="Times New Roman" w:hAnsi="Times New Roman" w:cs="Times New Roman"/>
              </w:rPr>
              <w:t>because of it dissimilar activities from</w:t>
            </w:r>
            <w:r>
              <w:rPr>
                <w:rFonts w:ascii="Times New Roman" w:hAnsi="Times New Roman" w:cs="Times New Roman"/>
              </w:rPr>
              <w:t xml:space="preserve"> </w:t>
            </w:r>
            <w:r w:rsidRPr="001F51F0">
              <w:rPr>
                <w:rFonts w:ascii="Times New Roman" w:hAnsi="Times New Roman" w:cs="Times New Roman"/>
              </w:rPr>
              <w:t>those of their companies with the</w:t>
            </w:r>
          </w:p>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group</w:t>
            </w:r>
          </w:p>
          <w:p w:rsidR="00A76FE7" w:rsidRPr="001F51F0" w:rsidRDefault="00A76FE7" w:rsidP="000924B4">
            <w:pPr>
              <w:spacing w:after="120"/>
              <w:jc w:val="both"/>
              <w:rPr>
                <w:rFonts w:ascii="Times New Roman" w:hAnsi="Times New Roman" w:cs="Times New Roman"/>
              </w:rPr>
            </w:pPr>
          </w:p>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B. If the holding company has contractual</w:t>
            </w:r>
            <w:r>
              <w:rPr>
                <w:rFonts w:ascii="Times New Roman" w:hAnsi="Times New Roman" w:cs="Times New Roman"/>
              </w:rPr>
              <w:t xml:space="preserve"> </w:t>
            </w:r>
            <w:r w:rsidRPr="001F51F0">
              <w:rPr>
                <w:rFonts w:ascii="Times New Roman" w:hAnsi="Times New Roman" w:cs="Times New Roman"/>
              </w:rPr>
              <w:t>or other restriction composed on its</w:t>
            </w:r>
            <w:r>
              <w:rPr>
                <w:rFonts w:ascii="Times New Roman" w:hAnsi="Times New Roman" w:cs="Times New Roman"/>
              </w:rPr>
              <w:t xml:space="preserve"> </w:t>
            </w:r>
            <w:r w:rsidRPr="001F51F0">
              <w:rPr>
                <w:rFonts w:ascii="Times New Roman" w:hAnsi="Times New Roman" w:cs="Times New Roman"/>
              </w:rPr>
              <w:t>ability to appoint the majority of the</w:t>
            </w:r>
            <w:r>
              <w:rPr>
                <w:rFonts w:ascii="Times New Roman" w:hAnsi="Times New Roman" w:cs="Times New Roman"/>
              </w:rPr>
              <w:t xml:space="preserve"> </w:t>
            </w:r>
            <w:r w:rsidRPr="001F51F0">
              <w:rPr>
                <w:rFonts w:ascii="Times New Roman" w:hAnsi="Times New Roman" w:cs="Times New Roman"/>
              </w:rPr>
              <w:t>board of directors.</w:t>
            </w:r>
          </w:p>
          <w:p w:rsidR="00A76FE7" w:rsidRPr="001F51F0" w:rsidRDefault="00A76FE7" w:rsidP="000924B4">
            <w:pPr>
              <w:spacing w:after="120"/>
              <w:jc w:val="both"/>
              <w:rPr>
                <w:rFonts w:ascii="Times New Roman" w:hAnsi="Times New Roman" w:cs="Times New Roman"/>
              </w:rPr>
            </w:pPr>
          </w:p>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C. If the control is interested to be</w:t>
            </w:r>
            <w:r>
              <w:rPr>
                <w:rFonts w:ascii="Times New Roman" w:hAnsi="Times New Roman" w:cs="Times New Roman"/>
              </w:rPr>
              <w:t xml:space="preserve"> </w:t>
            </w:r>
            <w:r w:rsidRPr="001F51F0">
              <w:rPr>
                <w:rFonts w:ascii="Times New Roman" w:hAnsi="Times New Roman" w:cs="Times New Roman"/>
              </w:rPr>
              <w:t>temporary.</w:t>
            </w:r>
          </w:p>
          <w:p w:rsidR="00A76FE7" w:rsidRPr="001F51F0" w:rsidRDefault="00A76FE7" w:rsidP="000924B4">
            <w:pPr>
              <w:spacing w:after="120"/>
              <w:jc w:val="both"/>
              <w:rPr>
                <w:rFonts w:ascii="Times New Roman" w:hAnsi="Times New Roman" w:cs="Times New Roman"/>
              </w:rPr>
            </w:pPr>
          </w:p>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D. If the subsidiary is in foreign country</w:t>
            </w:r>
          </w:p>
          <w:p w:rsidR="00A76FE7" w:rsidRPr="001F51F0" w:rsidRDefault="00A76FE7" w:rsidP="000924B4">
            <w:pPr>
              <w:spacing w:after="120"/>
              <w:jc w:val="both"/>
              <w:rPr>
                <w:rFonts w:ascii="Times New Roman" w:hAnsi="Times New Roman" w:cs="Times New Roman"/>
              </w:rPr>
            </w:pPr>
          </w:p>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E. If the subsidiary is a finance company.</w:t>
            </w:r>
          </w:p>
          <w:p w:rsidR="00A76FE7" w:rsidRPr="001F51F0" w:rsidRDefault="00A76FE7" w:rsidP="000924B4">
            <w:pPr>
              <w:spacing w:after="120"/>
              <w:jc w:val="both"/>
              <w:rPr>
                <w:rFonts w:ascii="Times New Roman" w:hAnsi="Times New Roman" w:cs="Times New Roman"/>
              </w:rPr>
            </w:pPr>
          </w:p>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F. If the subsidiary is a bankruptcy</w:t>
            </w:r>
          </w:p>
          <w:p w:rsidR="00A76FE7" w:rsidRPr="001F51F0" w:rsidRDefault="00A76FE7" w:rsidP="000924B4">
            <w:pPr>
              <w:spacing w:after="120"/>
              <w:jc w:val="both"/>
              <w:rPr>
                <w:rFonts w:ascii="Times New Roman" w:hAnsi="Times New Roman" w:cs="Times New Roman"/>
              </w:rPr>
            </w:pPr>
          </w:p>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G. All of the above</w:t>
            </w:r>
          </w:p>
          <w:p w:rsidR="00A76FE7" w:rsidRPr="001F51F0" w:rsidRDefault="00A76FE7" w:rsidP="000924B4">
            <w:pPr>
              <w:spacing w:after="120"/>
              <w:jc w:val="both"/>
              <w:rPr>
                <w:rFonts w:ascii="Times New Roman" w:hAnsi="Times New Roman" w:cs="Times New Roman"/>
              </w:rPr>
            </w:pPr>
          </w:p>
        </w:tc>
        <w:tc>
          <w:tcPr>
            <w:tcW w:w="3396" w:type="dxa"/>
          </w:tcPr>
          <w:p w:rsidR="00A76FE7" w:rsidRPr="001F51F0" w:rsidRDefault="00A76FE7" w:rsidP="000924B4">
            <w:pPr>
              <w:spacing w:after="120"/>
              <w:jc w:val="both"/>
              <w:rPr>
                <w:rFonts w:ascii="Times New Roman" w:hAnsi="Times New Roman" w:cs="Times New Roman"/>
              </w:rPr>
            </w:pPr>
          </w:p>
        </w:tc>
        <w:tc>
          <w:tcPr>
            <w:tcW w:w="3396" w:type="dxa"/>
          </w:tcPr>
          <w:p w:rsidR="00A76FE7" w:rsidRPr="001F51F0" w:rsidRDefault="00A76FE7" w:rsidP="000924B4">
            <w:pPr>
              <w:spacing w:after="120"/>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6</w:t>
            </w:r>
          </w:p>
        </w:tc>
        <w:tc>
          <w:tcPr>
            <w:tcW w:w="3396" w:type="dxa"/>
          </w:tcPr>
          <w:p w:rsidR="00A76FE7" w:rsidRPr="001F51F0" w:rsidRDefault="00A76FE7" w:rsidP="000924B4">
            <w:pPr>
              <w:spacing w:after="120"/>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Table 4.10 show that all the respondents were of the opinion that all factors of circumstance </w:t>
      </w:r>
      <w:r w:rsidRPr="001F51F0">
        <w:rPr>
          <w:rFonts w:ascii="Times New Roman" w:hAnsi="Times New Roman" w:cs="Times New Roman"/>
        </w:rPr>
        <w:lastRenderedPageBreak/>
        <w:t>listed above may demand extension of a subsidiary from consolidation</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TABLE 4.11</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t>RESPONSE TO THE APPROPRIATE BASIC FOR VALUING PLANTS ACQUIRED IN A PURCHASE TYPE BUSINESS COMBINATION (QUESTION 19).</w:t>
      </w:r>
    </w:p>
    <w:tbl>
      <w:tblPr>
        <w:tblStyle w:val="TableGrid"/>
        <w:tblW w:w="0" w:type="auto"/>
        <w:tblLook w:val="04A0"/>
      </w:tblPr>
      <w:tblGrid>
        <w:gridCol w:w="3213"/>
        <w:gridCol w:w="3169"/>
        <w:gridCol w:w="3194"/>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Appropriate basic for valuing plants acquired in a purchase type business combination.</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p w:rsidR="00A76FE7" w:rsidRPr="001F51F0" w:rsidRDefault="00A76FE7" w:rsidP="000924B4">
            <w:pPr>
              <w:spacing w:before="240" w:after="240" w:line="276" w:lineRule="auto"/>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Current fair value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Carrying amount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Original cost plus excess of purchase price over carrying amount of the plants acquired</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4</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50</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Original cost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E. All of the above</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F. Other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Table 4.11 indicate that 2 (25%) of the respondent believed that the current fair value is the appropriate basis for valuing plants acquired on a purchases type business combination while 4 (50%) believe that the original cost plus excess of purchases were carrying amount of the plant acquired is the appropriate basis 2 (25%) believed only the original cost should be applied to value such plants.</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it is therefore concluded that the original cost plus excess purchase over carrying amount of the plant acquired is the appropriate basis for valuing such product.</w:t>
      </w:r>
    </w:p>
    <w:p w:rsidR="00A76FE7" w:rsidRPr="0045377B" w:rsidRDefault="00A76FE7" w:rsidP="00A76FE7">
      <w:pPr>
        <w:spacing w:before="240" w:after="240" w:line="276" w:lineRule="auto"/>
        <w:jc w:val="both"/>
        <w:rPr>
          <w:rFonts w:ascii="Times New Roman" w:hAnsi="Times New Roman" w:cs="Times New Roman"/>
          <w:b/>
        </w:rPr>
      </w:pPr>
      <w:r w:rsidRPr="0045377B">
        <w:rPr>
          <w:rFonts w:ascii="Times New Roman" w:hAnsi="Times New Roman" w:cs="Times New Roman"/>
          <w:b/>
        </w:rPr>
        <w:lastRenderedPageBreak/>
        <w:t>TABLE 4.12</w:t>
      </w:r>
    </w:p>
    <w:p w:rsidR="00A76FE7" w:rsidRPr="0045377B" w:rsidRDefault="00A76FE7" w:rsidP="00A76FE7">
      <w:pPr>
        <w:spacing w:before="240" w:after="240" w:line="276" w:lineRule="auto"/>
        <w:jc w:val="both"/>
        <w:rPr>
          <w:rFonts w:ascii="Times New Roman" w:hAnsi="Times New Roman" w:cs="Times New Roman"/>
          <w:b/>
        </w:rPr>
      </w:pPr>
      <w:proofErr w:type="gramStart"/>
      <w:r w:rsidRPr="0045377B">
        <w:rPr>
          <w:rFonts w:ascii="Times New Roman" w:hAnsi="Times New Roman" w:cs="Times New Roman"/>
          <w:b/>
        </w:rPr>
        <w:t>RESPONSE TO THE TREATMENT OF A GAIN FROM THE TRANSLATION OF FOREIGN CURRENCY FINANCIAL STATEMENT (QUESTION 20).</w:t>
      </w:r>
      <w:proofErr w:type="gramEnd"/>
    </w:p>
    <w:tbl>
      <w:tblPr>
        <w:tblStyle w:val="TableGrid"/>
        <w:tblW w:w="0" w:type="auto"/>
        <w:tblLook w:val="04A0"/>
      </w:tblPr>
      <w:tblGrid>
        <w:gridCol w:w="3201"/>
        <w:gridCol w:w="3175"/>
        <w:gridCol w:w="3200"/>
      </w:tblGrid>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The treatment of a gain from translation of foreign currency financial statement.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Number NO</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Percentage %</w:t>
            </w:r>
          </w:p>
          <w:p w:rsidR="00A76FE7" w:rsidRPr="001F51F0" w:rsidRDefault="00A76FE7" w:rsidP="000924B4">
            <w:pPr>
              <w:spacing w:before="240" w:after="240" w:line="276" w:lineRule="auto"/>
              <w:jc w:val="both"/>
              <w:rPr>
                <w:rFonts w:ascii="Times New Roman" w:hAnsi="Times New Roman" w:cs="Times New Roman"/>
              </w:rPr>
            </w:pP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A. Included in net income of the accounting period in which occur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6</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75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B.  Differed and amortized over a period net exceeding in year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C. Deferent unit subsequent accounting</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D. Included as a superior item in the equity</w:t>
            </w:r>
          </w:p>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section of the balance sheet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25</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E. All of the above</w:t>
            </w:r>
          </w:p>
          <w:p w:rsidR="00A76FE7" w:rsidRPr="001F51F0" w:rsidRDefault="00A76FE7" w:rsidP="000924B4">
            <w:pPr>
              <w:spacing w:before="240" w:after="240" w:line="276" w:lineRule="auto"/>
              <w:jc w:val="both"/>
              <w:rPr>
                <w:rFonts w:ascii="Times New Roman" w:hAnsi="Times New Roman" w:cs="Times New Roman"/>
              </w:rPr>
            </w:pP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F. Other</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w:t>
            </w:r>
          </w:p>
        </w:tc>
      </w:tr>
      <w:tr w:rsidR="00A76FE7" w:rsidRPr="001F51F0" w:rsidTr="000924B4">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Total</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8</w:t>
            </w:r>
          </w:p>
        </w:tc>
        <w:tc>
          <w:tcPr>
            <w:tcW w:w="3396" w:type="dxa"/>
          </w:tcPr>
          <w:p w:rsidR="00A76FE7" w:rsidRPr="001F51F0" w:rsidRDefault="00A76FE7" w:rsidP="000924B4">
            <w:pPr>
              <w:spacing w:before="240" w:after="240" w:line="276" w:lineRule="auto"/>
              <w:jc w:val="both"/>
              <w:rPr>
                <w:rFonts w:ascii="Times New Roman" w:hAnsi="Times New Roman" w:cs="Times New Roman"/>
              </w:rPr>
            </w:pPr>
            <w:r w:rsidRPr="001F51F0">
              <w:rPr>
                <w:rFonts w:ascii="Times New Roman" w:hAnsi="Times New Roman" w:cs="Times New Roman"/>
              </w:rPr>
              <w:t>100%</w:t>
            </w:r>
          </w:p>
        </w:tc>
      </w:tr>
    </w:tbl>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Sources: field work 2023</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Table 4.12 show that 6 (75%) of the respondent were of the opinion that such gain be included in the net income of accounting period in which is over, which 2 (25%) believed that such gain </w:t>
      </w:r>
      <w:r w:rsidRPr="001F51F0">
        <w:rPr>
          <w:rFonts w:ascii="Times New Roman" w:hAnsi="Times New Roman" w:cs="Times New Roman"/>
        </w:rPr>
        <w:lastRenderedPageBreak/>
        <w:t>should be differed until a subsequent account period when a loss occurs and off set against that loss.</w:t>
      </w:r>
    </w:p>
    <w:p w:rsidR="00A76FE7"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Conclusion: it is believed that such gain should be included in the net income of the accounting period.</w:t>
      </w:r>
    </w:p>
    <w:p w:rsidR="00A76FE7" w:rsidRPr="00D14F2F" w:rsidRDefault="00A76FE7" w:rsidP="00A76FE7">
      <w:pPr>
        <w:pStyle w:val="ListParagraph"/>
        <w:numPr>
          <w:ilvl w:val="0"/>
          <w:numId w:val="1"/>
        </w:numPr>
        <w:spacing w:before="240" w:after="240" w:line="276" w:lineRule="auto"/>
        <w:jc w:val="both"/>
        <w:rPr>
          <w:rFonts w:ascii="Times New Roman" w:hAnsi="Times New Roman" w:cs="Times New Roman"/>
          <w:b/>
        </w:rPr>
      </w:pPr>
      <w:r w:rsidRPr="00D14F2F">
        <w:rPr>
          <w:rFonts w:ascii="Times New Roman" w:hAnsi="Times New Roman" w:cs="Times New Roman"/>
          <w:b/>
        </w:rPr>
        <w:t>TESTING OF HYPOTHESIS</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 xml:space="preserve">Testing of hypothesis was done, using the chi — square (X2) test. The chi- square (X2) test is an important extension of hypothesis testing and is used when it is wishes to compare actual or expected distribution. It is a c </w:t>
      </w:r>
      <m:oMath>
        <m:r>
          <w:rPr>
            <w:rFonts w:ascii="Cambria Math" w:hAnsi="Cambria Math" w:cs="Times New Roman"/>
            <w:sz w:val="28"/>
          </w:rPr>
          <m:t>X</m:t>
        </m:r>
        <m:r>
          <w:rPr>
            <w:rFonts w:ascii="Cambria Math" w:hAnsi="Times New Roman" w:cs="Times New Roman"/>
            <w:sz w:val="28"/>
          </w:rPr>
          <m:t>2=</m:t>
        </m:r>
        <m:f>
          <m:fPr>
            <m:ctrlPr>
              <w:rPr>
                <w:rFonts w:ascii="Cambria Math" w:hAnsi="Times New Roman" w:cs="Times New Roman"/>
                <w:i/>
                <w:sz w:val="28"/>
              </w:rPr>
            </m:ctrlPr>
          </m:fPr>
          <m:num>
            <m:r>
              <w:rPr>
                <w:rFonts w:ascii="Cambria Math" w:hAnsi="Cambria Math" w:cs="Times New Roman"/>
                <w:sz w:val="28"/>
              </w:rPr>
              <m:t>e</m:t>
            </m:r>
            <m:r>
              <w:rPr>
                <w:rFonts w:ascii="Cambria Math" w:hAnsi="Times New Roman" w:cs="Times New Roman"/>
                <w:sz w:val="28"/>
              </w:rPr>
              <m:t xml:space="preserve"> </m:t>
            </m:r>
            <m:d>
              <m:dPr>
                <m:ctrlPr>
                  <w:rPr>
                    <w:rFonts w:ascii="Cambria Math" w:hAnsi="Times New Roman" w:cs="Times New Roman"/>
                    <w:i/>
                    <w:sz w:val="28"/>
                  </w:rPr>
                </m:ctrlPr>
              </m:dPr>
              <m:e>
                <m:r>
                  <w:rPr>
                    <w:rFonts w:ascii="Cambria Math" w:hAnsi="Times New Roman" w:cs="Times New Roman"/>
                    <w:sz w:val="28"/>
                  </w:rPr>
                  <m:t>0</m:t>
                </m:r>
                <m:r>
                  <w:rPr>
                    <w:rFonts w:ascii="Times New Roman" w:hAnsi="Times New Roman" w:cs="Times New Roman"/>
                    <w:sz w:val="28"/>
                  </w:rPr>
                  <m:t>-</m:t>
                </m:r>
                <m:r>
                  <w:rPr>
                    <w:rFonts w:ascii="Cambria Math" w:hAnsi="Cambria Math" w:cs="Times New Roman"/>
                    <w:sz w:val="28"/>
                  </w:rPr>
                  <m:t>e</m:t>
                </m:r>
              </m:e>
            </m:d>
            <m:r>
              <w:rPr>
                <w:rFonts w:ascii="Cambria Math" w:hAnsi="Times New Roman" w:cs="Times New Roman"/>
                <w:sz w:val="28"/>
              </w:rPr>
              <m:t>2</m:t>
            </m:r>
          </m:num>
          <m:den>
            <m:r>
              <w:rPr>
                <w:rFonts w:ascii="Cambria Math" w:hAnsi="Cambria Math" w:cs="Times New Roman"/>
                <w:sz w:val="28"/>
              </w:rPr>
              <m:t>e</m:t>
            </m:r>
          </m:den>
        </m:f>
      </m:oMath>
      <w:r w:rsidRPr="001F51F0">
        <w:rPr>
          <w:rFonts w:ascii="Times New Roman" w:hAnsi="Times New Roman" w:cs="Times New Roman"/>
          <w:sz w:val="28"/>
        </w:rPr>
        <w:t xml:space="preserve"> </w:t>
      </w:r>
      <w:proofErr w:type="spellStart"/>
      <w:r w:rsidRPr="001F51F0">
        <w:rPr>
          <w:rFonts w:ascii="Times New Roman" w:hAnsi="Times New Roman" w:cs="Times New Roman"/>
        </w:rPr>
        <w:t>Iness</w:t>
      </w:r>
      <w:proofErr w:type="spellEnd"/>
      <w:r w:rsidRPr="001F51F0">
        <w:rPr>
          <w:rFonts w:ascii="Times New Roman" w:hAnsi="Times New Roman" w:cs="Times New Roman"/>
        </w:rPr>
        <w:t xml:space="preserve"> of fit test. The formula for the ca</w:t>
      </w:r>
      <w:r>
        <w:rPr>
          <w:rFonts w:ascii="Times New Roman" w:hAnsi="Times New Roman" w:cs="Times New Roman"/>
        </w:rPr>
        <w:t>lculation of chi — square (X2) is as follows.</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Where: o =the observed frequency of any value</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e = is the expected frequency of any value to use the chi — square (X2) test tables are made use of the observed frequency of the responses to the questionnaire. Questions (01) will be represented by the total in the table. The expected frequency (E1) is gathered by using the formula:</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E=</w:t>
      </w:r>
      <w:r w:rsidRPr="001F51F0">
        <w:rPr>
          <w:rFonts w:ascii="Times New Roman" w:hAnsi="Times New Roman" w:cs="Times New Roman"/>
          <w:sz w:val="30"/>
        </w:rPr>
        <w:t xml:space="preserve"> </w:t>
      </w:r>
      <m:oMath>
        <m:f>
          <m:fPr>
            <m:ctrlPr>
              <w:rPr>
                <w:rFonts w:ascii="Cambria Math" w:hAnsi="Times New Roman" w:cs="Times New Roman"/>
                <w:i/>
                <w:sz w:val="30"/>
              </w:rPr>
            </m:ctrlPr>
          </m:fPr>
          <m:num>
            <m:r>
              <w:rPr>
                <w:rFonts w:ascii="Cambria Math" w:hAnsi="Cambria Math" w:cs="Times New Roman"/>
                <w:sz w:val="30"/>
              </w:rPr>
              <m:t>nR</m:t>
            </m:r>
            <m:r>
              <w:rPr>
                <w:rFonts w:ascii="Cambria Math" w:hAnsi="Times New Roman" w:cs="Times New Roman"/>
                <w:sz w:val="30"/>
              </w:rPr>
              <m:t xml:space="preserve"> </m:t>
            </m:r>
            <m:r>
              <w:rPr>
                <w:rFonts w:ascii="Cambria Math" w:hAnsi="Times New Roman" w:cs="Times New Roman"/>
                <w:sz w:val="30"/>
              </w:rPr>
              <m:t>×</m:t>
            </m:r>
            <m:r>
              <w:rPr>
                <w:rFonts w:ascii="Cambria Math" w:hAnsi="Cambria Math" w:cs="Times New Roman"/>
                <w:sz w:val="30"/>
              </w:rPr>
              <m:t>Nc</m:t>
            </m:r>
          </m:num>
          <m:den>
            <m:r>
              <w:rPr>
                <w:rFonts w:ascii="Cambria Math" w:hAnsi="Cambria Math" w:cs="Times New Roman"/>
                <w:sz w:val="30"/>
              </w:rPr>
              <m:t>N</m:t>
            </m:r>
          </m:den>
        </m:f>
      </m:oMath>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Where; nr = Number of row</w:t>
      </w:r>
    </w:p>
    <w:p w:rsidR="00A76FE7" w:rsidRPr="001F51F0" w:rsidRDefault="00A76FE7" w:rsidP="00A76FE7">
      <w:pPr>
        <w:spacing w:before="240" w:after="240" w:line="276" w:lineRule="auto"/>
        <w:ind w:firstLine="709"/>
        <w:jc w:val="both"/>
        <w:rPr>
          <w:rFonts w:ascii="Times New Roman" w:hAnsi="Times New Roman" w:cs="Times New Roman"/>
        </w:rPr>
      </w:pPr>
      <w:proofErr w:type="spellStart"/>
      <w:proofErr w:type="gramStart"/>
      <w:r w:rsidRPr="001F51F0">
        <w:rPr>
          <w:rFonts w:ascii="Times New Roman" w:hAnsi="Times New Roman" w:cs="Times New Roman"/>
        </w:rPr>
        <w:t>Nc</w:t>
      </w:r>
      <w:proofErr w:type="spellEnd"/>
      <w:proofErr w:type="gramEnd"/>
      <w:r w:rsidRPr="001F51F0">
        <w:rPr>
          <w:rFonts w:ascii="Times New Roman" w:hAnsi="Times New Roman" w:cs="Times New Roman"/>
        </w:rPr>
        <w:t>= number of Columns</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N= sample size that is total number of responses the decision criteria or rule is used to be able to get the findings from the hypothesis testing.</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Accept HO where X2&lt;U, otherwise reject HO where X2&gt; U Here, X2 = observe chi- square value which is derived from X2U =</w:t>
      </w:r>
      <w:r w:rsidRPr="001F51F0">
        <w:rPr>
          <w:rFonts w:ascii="Times New Roman" w:hAnsi="Times New Roman" w:cs="Times New Roman"/>
          <w:sz w:val="28"/>
        </w:rPr>
        <w:t xml:space="preserve"> </w:t>
      </w:r>
      <m:oMath>
        <m:f>
          <m:fPr>
            <m:ctrlPr>
              <w:rPr>
                <w:rFonts w:ascii="Cambria Math" w:hAnsi="Times New Roman" w:cs="Times New Roman"/>
                <w:i/>
                <w:sz w:val="28"/>
              </w:rPr>
            </m:ctrlPr>
          </m:fPr>
          <m:num>
            <m:r>
              <w:rPr>
                <w:rFonts w:ascii="Cambria Math" w:hAnsi="Cambria Math" w:cs="Times New Roman"/>
                <w:sz w:val="28"/>
              </w:rPr>
              <m:t>E</m:t>
            </m:r>
            <m:r>
              <w:rPr>
                <w:rFonts w:ascii="Cambria Math" w:hAnsi="Times New Roman" w:cs="Times New Roman"/>
                <w:sz w:val="28"/>
              </w:rPr>
              <m:t>(</m:t>
            </m:r>
            <m:r>
              <w:rPr>
                <w:rFonts w:ascii="Cambria Math" w:hAnsi="Cambria Math" w:cs="Times New Roman"/>
                <w:sz w:val="28"/>
              </w:rPr>
              <m:t>o</m:t>
            </m:r>
            <m:r>
              <w:rPr>
                <w:rFonts w:ascii="Times New Roman" w:hAnsi="Times New Roman" w:cs="Times New Roman"/>
                <w:sz w:val="28"/>
              </w:rPr>
              <m:t>-</m:t>
            </m:r>
            <m:r>
              <w:rPr>
                <w:rFonts w:ascii="Cambria Math" w:hAnsi="Cambria Math" w:cs="Times New Roman"/>
                <w:sz w:val="28"/>
              </w:rPr>
              <m:t>F</m:t>
            </m:r>
            <m:r>
              <w:rPr>
                <w:rFonts w:ascii="Cambria Math" w:hAnsi="Times New Roman" w:cs="Times New Roman"/>
                <w:sz w:val="28"/>
              </w:rPr>
              <m:t>)2</m:t>
            </m:r>
          </m:num>
          <m:den>
            <m:r>
              <w:rPr>
                <w:rFonts w:ascii="Cambria Math" w:hAnsi="Cambria Math" w:cs="Times New Roman"/>
                <w:sz w:val="28"/>
              </w:rPr>
              <m:t>E</m:t>
            </m:r>
          </m:den>
        </m:f>
      </m:oMath>
      <w:r w:rsidRPr="001F51F0">
        <w:rPr>
          <w:rFonts w:ascii="Times New Roman" w:hAnsi="Times New Roman" w:cs="Times New Roman"/>
        </w:rPr>
        <w:t>52</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Where: U= critical chi — square value derived from the chi — square table.</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To determine the degree of freedom used;</w:t>
      </w:r>
    </w:p>
    <w:p w:rsidR="00A76FE7" w:rsidRPr="001F51F0" w:rsidRDefault="00A76FE7" w:rsidP="00A76FE7">
      <w:pPr>
        <w:spacing w:before="240" w:after="240" w:line="276" w:lineRule="auto"/>
        <w:ind w:firstLine="709"/>
        <w:jc w:val="both"/>
        <w:rPr>
          <w:rFonts w:ascii="Times New Roman" w:hAnsi="Times New Roman" w:cs="Times New Roman"/>
        </w:rPr>
      </w:pPr>
      <w:r w:rsidRPr="001F51F0">
        <w:rPr>
          <w:rFonts w:ascii="Times New Roman" w:hAnsi="Times New Roman" w:cs="Times New Roman"/>
        </w:rPr>
        <w:t>(R - 1) (C- 1)</w:t>
      </w:r>
    </w:p>
    <w:p w:rsidR="00A76FE7" w:rsidRPr="001F51F0"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Where: R = number of Rows</w:t>
      </w:r>
    </w:p>
    <w:p w:rsidR="00933C9C" w:rsidRPr="00A76FE7" w:rsidRDefault="00A76FE7" w:rsidP="00A76FE7">
      <w:pPr>
        <w:spacing w:before="240" w:after="240" w:line="276" w:lineRule="auto"/>
        <w:jc w:val="both"/>
        <w:rPr>
          <w:rFonts w:ascii="Times New Roman" w:hAnsi="Times New Roman" w:cs="Times New Roman"/>
        </w:rPr>
      </w:pPr>
      <w:r w:rsidRPr="001F51F0">
        <w:rPr>
          <w:rFonts w:ascii="Times New Roman" w:hAnsi="Times New Roman" w:cs="Times New Roman"/>
        </w:rPr>
        <w:t>C = number of Columns</w:t>
      </w:r>
    </w:p>
    <w:sectPr w:rsidR="00933C9C" w:rsidRPr="00A76FE7" w:rsidSect="00933C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Source Han Serif CN">
    <w:altName w:val="Times New Roman"/>
    <w:panose1 w:val="00000000000000000000"/>
    <w:charset w:val="00"/>
    <w:family w:val="roman"/>
    <w:notTrueType/>
    <w:pitch w:val="default"/>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E4D81"/>
    <w:multiLevelType w:val="hybridMultilevel"/>
    <w:tmpl w:val="087CE17A"/>
    <w:lvl w:ilvl="0" w:tplc="E7A64F9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6FE7"/>
    <w:rsid w:val="00933C9C"/>
    <w:rsid w:val="00A76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E7"/>
    <w:pPr>
      <w:widowControl w:val="0"/>
      <w:suppressAutoHyphens/>
      <w:spacing w:after="0" w:line="240" w:lineRule="auto"/>
    </w:pPr>
    <w:rPr>
      <w:rFonts w:ascii="Liberation Serif" w:eastAsia="Source Han Serif CN" w:hAnsi="Liberation Serif" w:cs="Noto San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FE7"/>
    <w:pPr>
      <w:ind w:left="720"/>
      <w:contextualSpacing/>
    </w:pPr>
    <w:rPr>
      <w:rFonts w:cs="Mangal"/>
      <w:szCs w:val="21"/>
    </w:rPr>
  </w:style>
  <w:style w:type="table" w:styleId="TableGrid">
    <w:name w:val="Table Grid"/>
    <w:basedOn w:val="TableNormal"/>
    <w:uiPriority w:val="59"/>
    <w:rsid w:val="00A76FE7"/>
    <w:pPr>
      <w:suppressAutoHyphens/>
      <w:spacing w:after="0" w:line="240" w:lineRule="auto"/>
    </w:pPr>
    <w:rPr>
      <w:rFonts w:ascii="Liberation Serif" w:eastAsia="Source Han Serif CN" w:hAnsi="Liberation Serif" w:cs="Noto Sans"/>
      <w:sz w:val="24"/>
      <w:szCs w:val="24"/>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FE7"/>
    <w:rPr>
      <w:rFonts w:ascii="Tahoma" w:hAnsi="Tahoma" w:cs="Mangal"/>
      <w:sz w:val="16"/>
      <w:szCs w:val="14"/>
    </w:rPr>
  </w:style>
  <w:style w:type="character" w:customStyle="1" w:styleId="BalloonTextChar">
    <w:name w:val="Balloon Text Char"/>
    <w:basedOn w:val="DefaultParagraphFont"/>
    <w:link w:val="BalloonText"/>
    <w:uiPriority w:val="99"/>
    <w:semiHidden/>
    <w:rsid w:val="00A76FE7"/>
    <w:rPr>
      <w:rFonts w:ascii="Tahoma" w:eastAsia="Source Han Serif CN" w:hAnsi="Tahoma" w:cs="Mangal"/>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1820</Words>
  <Characters>10377</Characters>
  <Application>Microsoft Office Word</Application>
  <DocSecurity>0</DocSecurity>
  <Lines>86</Lines>
  <Paragraphs>24</Paragraphs>
  <ScaleCrop>false</ScaleCrop>
  <Company/>
  <LinksUpToDate>false</LinksUpToDate>
  <CharactersWithSpaces>12173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Olorun Jueda</dc:creator>
  <cp:lastModifiedBy>Olorun Jueda</cp:lastModifiedBy>
  <cp:revision>1</cp:revision>
  <dcterms:created xsi:type="dcterms:W3CDTF">2025-07-05T17:59:00Z</dcterms:created>
  <dcterms:modified xsi:type="dcterms:W3CDTF">2025-07-05T18:04:00Z</dcterms:modified>
</cp:coreProperties>
</file>