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CHAPTER FIVE</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5.1 CONCLUSION, RECOMMENDATIONS, AND FUTURE WORK</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design and implementation of the 1.5kVA mobile inverter system with multi-output functionality and energy storage optimization has successfully addressed the key objectives of efficiency, portability, and operational versatility. The system demonstrated reliable performance in converting and distributing power to various output terminals while optimizing battery usage through an intelligent control mechanism. Its compact and mobile structure makes it suitable for use in both urban and rural environments, especially in regions with erratic power supply. The optimized energy storage ensures longer operation time, and the system's ability to handle multiple output devices simultaneously positions it as a valuable solution for domestic, fieldwork, and small business applications. Overall, the project has proven the feasibility and usefulness of a mobile inverter solution tailored for energy-deficient areas, contributing positively to energy accessibility and sustainability.</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5.2 Recommendations</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enhance the performance, usability, and adaptability of the developed inverter system, the following recommendations are proposed:</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Incorporation of Solar Charging with MPPT: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Future designs should integrate a solar charging unit equipped with a Maximum Power Point Tracking (MPPT) controller to allow for efficient harnessing of renewable energy. This would reduce dependency on grid charging and further improve sustainability.</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Development of a Mobile Application for Remote Monitoring: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 mobile app can be developed to facilitate real-time monitoring of battery level, output status, load consumption, and fault alerts. This can be achieved via Bluetooth or Wi-Fi, enabling users to control and supervise the system from a distance.</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Adoption of Modular Battery Packs: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Implementing modular battery packs will make the system more flexible in terms of capacity expansion and maintenance. Users can easily upgrade or replace faulty modules without affecting the entire battery system, thus improving reliability and serviceability.</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5.3 Future Work</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 light of the outcomes and lessons learned from this project, several future improvements and research directions are suggested to further advance the system's capabilities:</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Integration of IoT-Based Monitoring and Diagnostics: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The addition of Internet of Things (IoT) features will allow for cloud-based data logging, remote diagnostics, and performance analysis. This will enable predictive maintenance and enhance system availability.</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AI-Driven Load Prediction and Management: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Artificial Intelligence (AI) techniques, such as machine learning algorithms, can be employed to predict user load patterns and optimize energy distribution accordingly. This could enhance efficiency and prolong battery life.</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Deployment of Lightweight Lithium-Ion Battery Packs: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Transitioning from traditional lead-acid batteries to lithium-ion battery technology can significantly reduce system weight and size, improve energy density, and increase the overall lifespan of the energy storage unit.</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REFRENCES</w:t>
      </w:r>
      <w:r w:rsidDel="00000000" w:rsidR="00000000" w:rsidRPr="00000000">
        <w:rPr>
          <w:rtl w:val="0"/>
        </w:rPr>
      </w:r>
    </w:p>
    <w:p w:rsidR="00000000" w:rsidDel="00000000" w:rsidP="00000000" w:rsidRDefault="00000000" w:rsidRPr="00000000" w14:paraId="00000027">
      <w:pPr>
        <w:spacing w:after="0" w:line="36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 Theraja A. K., Theraja B. L., “A Textbook of Electrical Technology,” First Multicolor Edition. S Chand and Company Limited, Ram Nagar, New Delhi, 2005. </w:t>
      </w:r>
    </w:p>
    <w:p w:rsidR="00000000" w:rsidDel="00000000" w:rsidP="00000000" w:rsidRDefault="00000000" w:rsidRPr="00000000" w14:paraId="00000028">
      <w:pPr>
        <w:spacing w:after="0" w:line="36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[2]. Bogart, Jr., “Electronics Devices and Circuits,” Merrill Publishing Co., First Edition, pp. 237–307, 1990. </w:t>
      </w:r>
    </w:p>
    <w:p w:rsidR="00000000" w:rsidDel="00000000" w:rsidP="00000000" w:rsidRDefault="00000000" w:rsidRPr="00000000" w14:paraId="00000029">
      <w:pPr>
        <w:spacing w:after="0" w:line="36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[3]. Syed, N., (2016), “Electrical Power System,” Schw Outline Series, Fifth Edition, pp. 166–168, 2016. </w:t>
      </w:r>
    </w:p>
    <w:p w:rsidR="00000000" w:rsidDel="00000000" w:rsidP="00000000" w:rsidRDefault="00000000" w:rsidRPr="00000000" w14:paraId="0000002A">
      <w:pPr>
        <w:spacing w:after="0" w:line="36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[4]. Theraja, A. K., (2010), “Development of Electrical Power System,” Twenty-Second Edition, S Chand and Company Limited, Ram Nagar, New Delhi, pp. 212–214, 2010. </w:t>
      </w:r>
    </w:p>
    <w:p w:rsidR="00000000" w:rsidDel="00000000" w:rsidP="00000000" w:rsidRDefault="00000000" w:rsidRPr="00000000" w14:paraId="0000002B">
      <w:pPr>
        <w:spacing w:after="0" w:line="36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[5]. Owen, E. L., “Origin of the Inverter,” IEEE Industry Applications Magazine, History Department, pp. 16, February 1996. </w:t>
      </w:r>
    </w:p>
    <w:p w:rsidR="00000000" w:rsidDel="00000000" w:rsidP="00000000" w:rsidRDefault="00000000" w:rsidRPr="00000000" w14:paraId="0000002C">
      <w:pPr>
        <w:spacing w:after="0" w:line="36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[6]. Andrew, A. L., “Applied Physics for Electronic Technology,” Arnold Headline Publishers, London, pp. 45, 1998. </w:t>
      </w:r>
    </w:p>
    <w:p w:rsidR="00000000" w:rsidDel="00000000" w:rsidP="00000000" w:rsidRDefault="00000000" w:rsidRPr="00000000" w14:paraId="0000002D">
      <w:pPr>
        <w:spacing w:after="0" w:line="36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[7]. Gupta, J. B., “Electrical Machines,” 14th Edition, Tata McGraw-Hill Publishing Company Ltd., New Delhi, India, pp. 7, 2012. </w:t>
      </w:r>
    </w:p>
    <w:p w:rsidR="00000000" w:rsidDel="00000000" w:rsidP="00000000" w:rsidRDefault="00000000" w:rsidRPr="00000000" w14:paraId="0000002E">
      <w:pPr>
        <w:spacing w:after="0" w:line="36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[8]. Hughes, E., “Electrical Technology,” Planet Publishers, Moscow, Russia, pp. 56, 1993. </w:t>
      </w:r>
    </w:p>
    <w:p w:rsidR="00000000" w:rsidDel="00000000" w:rsidP="00000000" w:rsidRDefault="00000000" w:rsidRPr="00000000" w14:paraId="0000002F">
      <w:pPr>
        <w:spacing w:after="0" w:line="36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[9]. https://en.wikipedia.org/wiki/inverter_datasheet_catalog.com (electrical), accessed on 23/03/2019, at 09:00 hrs. </w:t>
      </w:r>
    </w:p>
    <w:p w:rsidR="00000000" w:rsidDel="00000000" w:rsidP="00000000" w:rsidRDefault="00000000" w:rsidRPr="00000000" w14:paraId="00000030">
      <w:pPr>
        <w:spacing w:after="0" w:line="36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[10]. Bogart, Jr., “Electronics Devices and Circuits,” Merrill Publishing Co., First Edition, pp. 237–307, 1990. </w:t>
      </w:r>
    </w:p>
    <w:p w:rsidR="00000000" w:rsidDel="00000000" w:rsidP="00000000" w:rsidRDefault="00000000" w:rsidRPr="00000000" w14:paraId="00000031">
      <w:pPr>
        <w:spacing w:after="0" w:line="36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[11]. Syed, N., “Electrical Power System,” Schw Outline Series, Fifth Edition, pp. 166–168, 2016. </w:t>
      </w:r>
    </w:p>
    <w:p w:rsidR="00000000" w:rsidDel="00000000" w:rsidP="00000000" w:rsidRDefault="00000000" w:rsidRPr="00000000" w14:paraId="00000032">
      <w:pPr>
        <w:spacing w:after="0" w:line="36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[12]. Larry P. W., Lewis, F., “Solar Cells and Their Applications,” Second Edition, ISBN 978-0-470-44633-1, Section 10.2, 2010. </w:t>
      </w:r>
    </w:p>
    <w:p w:rsidR="00000000" w:rsidDel="00000000" w:rsidP="00000000" w:rsidRDefault="00000000" w:rsidRPr="00000000" w14:paraId="00000033">
      <w:pPr>
        <w:spacing w:after="0" w:line="36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[13]. Jimoh, A. A., Lawal, A. O., Kabiru, L., “Performance Equation Modeling for a 2 kVA Locally Designed and Constructed Inverter System,” International Conference of Science, Engineering &amp; Environmental Technology (ICONSEET), ISSN 0794-9650 2 (4), pp. 23-28, 2017. </w:t>
      </w:r>
    </w:p>
    <w:p w:rsidR="00000000" w:rsidDel="00000000" w:rsidP="00000000" w:rsidRDefault="00000000" w:rsidRPr="00000000" w14:paraId="00000034">
      <w:pPr>
        <w:spacing w:after="0" w:line="36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[14]. http://www.son.gov.ng/google, accessed on July 27, 2017, at 10:23Am7) by 10:23Am</w:t>
      </w:r>
    </w:p>
    <w:p w:rsidR="00000000" w:rsidDel="00000000" w:rsidP="00000000" w:rsidRDefault="00000000" w:rsidRPr="00000000" w14:paraId="00000035">
      <w:pPr>
        <w:rPr>
          <w:vertAlign w:val="baselin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GB"/>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278.00000000000006" w:lineRule="auto"/>
    </w:pPr>
    <w:rPr>
      <w:rFonts w:ascii="Calibri" w:cs="Calibri" w:eastAsia="Calibri" w:hAnsi="Calibri"/>
      <w:color w:val="2f5496"/>
      <w:sz w:val="40"/>
      <w:szCs w:val="40"/>
      <w:vertAlign w:val="baseline"/>
    </w:rPr>
  </w:style>
  <w:style w:type="paragraph" w:styleId="Heading2">
    <w:name w:val="heading 2"/>
    <w:basedOn w:val="Normal"/>
    <w:next w:val="Normal"/>
    <w:pPr>
      <w:keepNext w:val="1"/>
      <w:keepLines w:val="1"/>
      <w:spacing w:after="80" w:before="160" w:line="278.00000000000006" w:lineRule="auto"/>
    </w:pPr>
    <w:rPr>
      <w:rFonts w:ascii="Calibri" w:cs="Calibri" w:eastAsia="Calibri" w:hAnsi="Calibri"/>
      <w:color w:val="2f5496"/>
      <w:sz w:val="32"/>
      <w:szCs w:val="32"/>
      <w:vertAlign w:val="baseline"/>
    </w:rPr>
  </w:style>
  <w:style w:type="paragraph" w:styleId="Heading3">
    <w:name w:val="heading 3"/>
    <w:basedOn w:val="Normal"/>
    <w:next w:val="Normal"/>
    <w:pPr>
      <w:keepNext w:val="1"/>
      <w:keepLines w:val="1"/>
      <w:spacing w:after="80" w:before="160" w:line="278.00000000000006" w:lineRule="auto"/>
    </w:pPr>
    <w:rPr>
      <w:color w:val="2f5496"/>
      <w:sz w:val="28"/>
      <w:szCs w:val="28"/>
      <w:vertAlign w:val="baseline"/>
    </w:rPr>
  </w:style>
  <w:style w:type="paragraph" w:styleId="Heading4">
    <w:name w:val="heading 4"/>
    <w:basedOn w:val="Normal"/>
    <w:next w:val="Normal"/>
    <w:pPr>
      <w:keepNext w:val="1"/>
      <w:keepLines w:val="1"/>
      <w:spacing w:after="40" w:before="80" w:line="278.00000000000006" w:lineRule="auto"/>
    </w:pPr>
    <w:rPr>
      <w:i w:val="1"/>
      <w:color w:val="2f5496"/>
      <w:sz w:val="24"/>
      <w:szCs w:val="24"/>
      <w:vertAlign w:val="baseline"/>
    </w:rPr>
  </w:style>
  <w:style w:type="paragraph" w:styleId="Heading5">
    <w:name w:val="heading 5"/>
    <w:basedOn w:val="Normal"/>
    <w:next w:val="Normal"/>
    <w:pPr>
      <w:keepNext w:val="1"/>
      <w:keepLines w:val="1"/>
      <w:spacing w:after="40" w:before="80" w:line="278.00000000000006" w:lineRule="auto"/>
    </w:pPr>
    <w:rPr>
      <w:color w:val="2f5496"/>
      <w:sz w:val="24"/>
      <w:szCs w:val="24"/>
      <w:vertAlign w:val="baseline"/>
    </w:rPr>
  </w:style>
  <w:style w:type="paragraph" w:styleId="Heading6">
    <w:name w:val="heading 6"/>
    <w:basedOn w:val="Normal"/>
    <w:next w:val="Normal"/>
    <w:pPr>
      <w:keepNext w:val="1"/>
      <w:keepLines w:val="1"/>
      <w:spacing w:after="0" w:before="40" w:line="278.00000000000006" w:lineRule="auto"/>
    </w:pPr>
    <w:rPr>
      <w:i w:val="1"/>
      <w:color w:val="595959"/>
      <w:sz w:val="24"/>
      <w:szCs w:val="24"/>
      <w:vertAlign w:val="baseline"/>
    </w:rPr>
  </w:style>
  <w:style w:type="paragraph" w:styleId="Title">
    <w:name w:val="Title"/>
    <w:basedOn w:val="Normal"/>
    <w:next w:val="Normal"/>
    <w:pPr>
      <w:spacing w:after="80" w:line="240" w:lineRule="auto"/>
    </w:pPr>
    <w:rPr>
      <w:rFonts w:ascii="Calibri" w:cs="Calibri" w:eastAsia="Calibri" w:hAnsi="Calibri"/>
      <w:sz w:val="56"/>
      <w:szCs w:val="56"/>
      <w:vertAlign w:val="baseline"/>
    </w:rPr>
  </w:style>
  <w:style w:type="paragraph" w:styleId="Subtitle">
    <w:name w:val="Subtitle"/>
    <w:basedOn w:val="Normal"/>
    <w:next w:val="Normal"/>
    <w:pPr>
      <w:spacing w:after="160" w:line="278.00000000000006" w:lineRule="auto"/>
    </w:pPr>
    <w:rPr>
      <w:color w:val="595959"/>
      <w:sz w:val="28"/>
      <w:szCs w:val="28"/>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