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31BC" w14:textId="4BEF0B83" w:rsidR="00047486" w:rsidRDefault="00047486" w:rsidP="00033C43">
      <w:pPr>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CHAPTER FIVE</w:t>
      </w:r>
    </w:p>
    <w:p w14:paraId="789BCDE3" w14:textId="77777777" w:rsidR="00047486" w:rsidRDefault="00047486" w:rsidP="00033C43">
      <w:pPr>
        <w:jc w:val="both"/>
        <w:rPr>
          <w:rFonts w:ascii="Times New Roman" w:hAnsi="Times New Roman" w:cs="Times New Roman"/>
          <w:b/>
          <w:bCs/>
        </w:rPr>
      </w:pPr>
      <w:r>
        <w:rPr>
          <w:rFonts w:ascii="Times New Roman" w:hAnsi="Times New Roman" w:cs="Times New Roman"/>
          <w:b/>
          <w:bCs/>
        </w:rPr>
        <w:t xml:space="preserve">                                  CONCLUSION AND RECOMMMENDATION </w:t>
      </w:r>
    </w:p>
    <w:p w14:paraId="0C368071" w14:textId="77777777" w:rsidR="00047486" w:rsidRDefault="00047486" w:rsidP="00033C43">
      <w:pPr>
        <w:jc w:val="both"/>
        <w:rPr>
          <w:rFonts w:ascii="Times New Roman" w:hAnsi="Times New Roman" w:cs="Times New Roman"/>
          <w:b/>
          <w:bCs/>
        </w:rPr>
      </w:pPr>
      <w:r>
        <w:rPr>
          <w:rFonts w:ascii="Times New Roman" w:hAnsi="Times New Roman" w:cs="Times New Roman"/>
          <w:b/>
          <w:bCs/>
        </w:rPr>
        <w:t>5.1 Summary of Findings</w:t>
      </w:r>
    </w:p>
    <w:p w14:paraId="21EA3603" w14:textId="77777777" w:rsidR="00047486" w:rsidRDefault="00047486" w:rsidP="00033C43">
      <w:pPr>
        <w:jc w:val="both"/>
        <w:rPr>
          <w:rFonts w:ascii="Times New Roman" w:hAnsi="Times New Roman" w:cs="Times New Roman"/>
        </w:rPr>
      </w:pPr>
      <w:r>
        <w:rPr>
          <w:rFonts w:ascii="Times New Roman" w:hAnsi="Times New Roman" w:cs="Times New Roman"/>
        </w:rPr>
        <w:t xml:space="preserve">This study developed and evaluated an MQL5-based Expert Advisor (EA) for automated Forex trading using the Moving Average Convergence Divergence (MACD) indicator on </w:t>
      </w:r>
      <w:proofErr w:type="spellStart"/>
      <w:r>
        <w:rPr>
          <w:rFonts w:ascii="Times New Roman" w:hAnsi="Times New Roman" w:cs="Times New Roman"/>
        </w:rPr>
        <w:t>MetaTrader</w:t>
      </w:r>
      <w:proofErr w:type="spellEnd"/>
      <w:r>
        <w:rPr>
          <w:rFonts w:ascii="Times New Roman" w:hAnsi="Times New Roman" w:cs="Times New Roman"/>
        </w:rPr>
        <w:t xml:space="preserve"> 5 (MT5), targeting EURUSD, GBPUSD, and XAUUSD. The project addressed the need for a simple, robust trading system accessible to retail traders, as identified in the literature (Patel, 2020; Young, 2020). Below is a summary of key findings aligned with the research objectives:</w:t>
      </w:r>
    </w:p>
    <w:p w14:paraId="3126C517" w14:textId="77777777" w:rsidR="00047486" w:rsidRDefault="00047486" w:rsidP="00033C43">
      <w:pPr>
        <w:jc w:val="both"/>
        <w:rPr>
          <w:rFonts w:ascii="Times New Roman" w:hAnsi="Times New Roman" w:cs="Times New Roman"/>
          <w:b/>
          <w:bCs/>
        </w:rPr>
      </w:pPr>
      <w:r>
        <w:rPr>
          <w:rFonts w:ascii="Times New Roman" w:hAnsi="Times New Roman" w:cs="Times New Roman"/>
          <w:b/>
          <w:bCs/>
        </w:rPr>
        <w:t>Objective 1: Develop and Test a MACD-based EA</w:t>
      </w:r>
    </w:p>
    <w:p w14:paraId="3763DF71" w14:textId="77777777" w:rsidR="00047486" w:rsidRDefault="00047486" w:rsidP="00033C43">
      <w:pPr>
        <w:jc w:val="both"/>
        <w:rPr>
          <w:rFonts w:ascii="Times New Roman" w:hAnsi="Times New Roman" w:cs="Times New Roman"/>
        </w:rPr>
      </w:pPr>
      <w:r>
        <w:rPr>
          <w:rFonts w:ascii="Times New Roman" w:hAnsi="Times New Roman" w:cs="Times New Roman"/>
        </w:rPr>
        <w:t xml:space="preserve">The EA was successfully developed using MQL5, incorporating customized MACD parameters (fast EMA 28, slow EMA 8, signal 9) to enhance trend detection (Lee, 2023). It executes trades on the H1 timeframe based on MACD signal line crossovers (buy: MACD &gt; signal; sell: MACD &lt; signal), with a fixed lot size of 0.01 and a $0.80 profit/loss threshold for risk control (Johnson, 2018). The EA was coded in </w:t>
      </w:r>
      <w:proofErr w:type="spellStart"/>
      <w:r>
        <w:rPr>
          <w:rFonts w:ascii="Times New Roman" w:hAnsi="Times New Roman" w:cs="Times New Roman"/>
        </w:rPr>
        <w:t>MetaEditor</w:t>
      </w:r>
      <w:proofErr w:type="spellEnd"/>
      <w:r>
        <w:rPr>
          <w:rFonts w:ascii="Times New Roman" w:hAnsi="Times New Roman" w:cs="Times New Roman"/>
        </w:rPr>
        <w:t xml:space="preserve">, leveraging MQL5’s event-driven functions (e.g., </w:t>
      </w:r>
      <w:proofErr w:type="spellStart"/>
      <w:r>
        <w:rPr>
          <w:rFonts w:ascii="Times New Roman" w:hAnsi="Times New Roman" w:cs="Times New Roman"/>
        </w:rPr>
        <w:t>OnTick</w:t>
      </w:r>
      <w:proofErr w:type="spellEnd"/>
      <w:r>
        <w:rPr>
          <w:rFonts w:ascii="Times New Roman" w:hAnsi="Times New Roman" w:cs="Times New Roman"/>
        </w:rPr>
        <w:t xml:space="preserve">(), </w:t>
      </w:r>
      <w:proofErr w:type="spellStart"/>
      <w:r>
        <w:rPr>
          <w:rFonts w:ascii="Times New Roman" w:hAnsi="Times New Roman" w:cs="Times New Roman"/>
        </w:rPr>
        <w:t>iMACD</w:t>
      </w:r>
      <w:proofErr w:type="spellEnd"/>
      <w:r>
        <w:rPr>
          <w:rFonts w:ascii="Times New Roman" w:hAnsi="Times New Roman" w:cs="Times New Roman"/>
        </w:rPr>
        <w:t xml:space="preserve">()) and the </w:t>
      </w:r>
      <w:proofErr w:type="spellStart"/>
      <w:r>
        <w:rPr>
          <w:rFonts w:ascii="Times New Roman" w:hAnsi="Times New Roman" w:cs="Times New Roman"/>
        </w:rPr>
        <w:t>CTrade</w:t>
      </w:r>
      <w:proofErr w:type="spellEnd"/>
      <w:r>
        <w:rPr>
          <w:rFonts w:ascii="Times New Roman" w:hAnsi="Times New Roman" w:cs="Times New Roman"/>
        </w:rPr>
        <w:t xml:space="preserve"> class for trade execution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 Back-testing MT5’s Strategy Tester (March 2025, 2-pip spread, no slippage) confirmed accurate trade execution across all three assets, with signals aligning with MACD crossover logic in 95% of cases, validated through log analysis.</w:t>
      </w:r>
    </w:p>
    <w:p w14:paraId="0D7FD4F6" w14:textId="77777777" w:rsidR="00047486" w:rsidRDefault="00047486" w:rsidP="00033C43">
      <w:pPr>
        <w:jc w:val="both"/>
        <w:rPr>
          <w:rFonts w:ascii="Times New Roman" w:hAnsi="Times New Roman" w:cs="Times New Roman"/>
          <w:b/>
          <w:bCs/>
        </w:rPr>
      </w:pPr>
      <w:r>
        <w:rPr>
          <w:rFonts w:ascii="Times New Roman" w:hAnsi="Times New Roman" w:cs="Times New Roman"/>
          <w:b/>
          <w:bCs/>
        </w:rPr>
        <w:t>Objective 2: Analysing Back-testing Results</w:t>
      </w:r>
    </w:p>
    <w:p w14:paraId="7C198BD9" w14:textId="77777777" w:rsidR="00047486" w:rsidRDefault="00047486" w:rsidP="00033C43">
      <w:pPr>
        <w:jc w:val="both"/>
        <w:rPr>
          <w:rFonts w:ascii="Times New Roman" w:hAnsi="Times New Roman" w:cs="Times New Roman"/>
        </w:rPr>
      </w:pPr>
      <w:r>
        <w:rPr>
          <w:rFonts w:ascii="Times New Roman" w:hAnsi="Times New Roman" w:cs="Times New Roman"/>
        </w:rPr>
        <w:t>Back-testing results provided insights into the EA’s performance:</w:t>
      </w:r>
    </w:p>
    <w:p w14:paraId="7B1703A8" w14:textId="77777777" w:rsidR="00047486" w:rsidRDefault="00047486" w:rsidP="00033C43">
      <w:pPr>
        <w:pStyle w:val="ListParagraph"/>
        <w:numPr>
          <w:ilvl w:val="0"/>
          <w:numId w:val="2"/>
        </w:numPr>
        <w:jc w:val="both"/>
        <w:rPr>
          <w:rFonts w:ascii="Times New Roman" w:hAnsi="Times New Roman" w:cs="Times New Roman"/>
        </w:rPr>
      </w:pPr>
      <w:r>
        <w:rPr>
          <w:rFonts w:ascii="Times New Roman" w:hAnsi="Times New Roman" w:cs="Times New Roman"/>
        </w:rPr>
        <w:t>EURUSD: Achieved a net profit of $60, a 62% win rate, a profit factor of 1.4, and a 6% equity drawdown.</w:t>
      </w:r>
    </w:p>
    <w:p w14:paraId="3CF43F97" w14:textId="77777777" w:rsidR="00047486" w:rsidRDefault="00047486" w:rsidP="00033C43">
      <w:pPr>
        <w:pStyle w:val="ListParagraph"/>
        <w:numPr>
          <w:ilvl w:val="0"/>
          <w:numId w:val="2"/>
        </w:numPr>
        <w:jc w:val="both"/>
        <w:rPr>
          <w:rFonts w:ascii="Times New Roman" w:hAnsi="Times New Roman" w:cs="Times New Roman"/>
        </w:rPr>
      </w:pPr>
      <w:r>
        <w:rPr>
          <w:rFonts w:ascii="Times New Roman" w:hAnsi="Times New Roman" w:cs="Times New Roman"/>
        </w:rPr>
        <w:t>GBPUSD: Recorded a net profit of $50, a 60% win rate, a profit factor of 1.3, and a 7% drawdown.</w:t>
      </w:r>
    </w:p>
    <w:p w14:paraId="01384B91" w14:textId="77777777" w:rsidR="00047486" w:rsidRDefault="00047486" w:rsidP="00033C43">
      <w:pPr>
        <w:pStyle w:val="ListParagraph"/>
        <w:numPr>
          <w:ilvl w:val="0"/>
          <w:numId w:val="2"/>
        </w:numPr>
        <w:jc w:val="both"/>
        <w:rPr>
          <w:rFonts w:ascii="Times New Roman" w:hAnsi="Times New Roman" w:cs="Times New Roman"/>
        </w:rPr>
      </w:pPr>
      <w:r>
        <w:rPr>
          <w:rFonts w:ascii="Times New Roman" w:hAnsi="Times New Roman" w:cs="Times New Roman"/>
        </w:rPr>
        <w:t>XAUUSD: Yielded a net profit of $40, a 58% win rate, a profit factor of 1.2, and a 9% drawdown due to higher volatility.</w:t>
      </w:r>
    </w:p>
    <w:p w14:paraId="67B7A6A1" w14:textId="77777777" w:rsidR="00047486" w:rsidRDefault="00047486" w:rsidP="00033C43">
      <w:pPr>
        <w:jc w:val="both"/>
        <w:rPr>
          <w:rFonts w:ascii="Times New Roman" w:hAnsi="Times New Roman" w:cs="Times New Roman"/>
        </w:rPr>
      </w:pPr>
      <w:r>
        <w:rPr>
          <w:rFonts w:ascii="Times New Roman" w:hAnsi="Times New Roman" w:cs="Times New Roman"/>
        </w:rPr>
        <w:t>Overall the EA generated a total profit of ~$150, an average 60% win rate, a profit factor of 1.3, and an 8% drawdown, with a Sharpe ratio of 1.2, comparable to benchmarks from Young (2020) and Lee (2023). The results indicate moderate profitability and stability, though XAUUSD’s higher drawdown reflects MACD’s volatility sensitivity (Wong, 2022).</w:t>
      </w:r>
    </w:p>
    <w:p w14:paraId="0B806E19" w14:textId="77777777" w:rsidR="00047486" w:rsidRDefault="00047486" w:rsidP="00033C43">
      <w:pPr>
        <w:jc w:val="both"/>
        <w:rPr>
          <w:rFonts w:ascii="Times New Roman" w:hAnsi="Times New Roman" w:cs="Times New Roman"/>
          <w:b/>
          <w:bCs/>
        </w:rPr>
      </w:pPr>
      <w:r>
        <w:rPr>
          <w:rFonts w:ascii="Times New Roman" w:hAnsi="Times New Roman" w:cs="Times New Roman"/>
          <w:b/>
          <w:bCs/>
        </w:rPr>
        <w:t>Objective 3: Assess Feasibility for Retail Traders</w:t>
      </w:r>
    </w:p>
    <w:p w14:paraId="590C5A78" w14:textId="77777777" w:rsidR="00047486" w:rsidRDefault="00047486" w:rsidP="00033C43">
      <w:pPr>
        <w:jc w:val="both"/>
        <w:rPr>
          <w:rFonts w:ascii="Times New Roman" w:hAnsi="Times New Roman" w:cs="Times New Roman"/>
        </w:rPr>
      </w:pPr>
      <w:r>
        <w:rPr>
          <w:rFonts w:ascii="Times New Roman" w:hAnsi="Times New Roman" w:cs="Times New Roman"/>
        </w:rPr>
        <w:t xml:space="preserve">The EA’s design prioritized accessibility, with a simple interface requiring minimal input (e.g., MACD settings, lot size) and clear outputs (trade results, logs) in MT5 (Patel, 2020). </w:t>
      </w:r>
      <w:r>
        <w:rPr>
          <w:rFonts w:ascii="Times New Roman" w:hAnsi="Times New Roman" w:cs="Times New Roman"/>
        </w:rPr>
        <w:lastRenderedPageBreak/>
        <w:t xml:space="preserve">Its fixed risk parameters (0.01 lot, $0.80 threshold) reduced complexity compared to multi-indicator EAs (Beresford, 2019; Lee, 2023). Development effort was moderate, requiring ~100 hours of coding and testing, feasible for developers with basic MQL5 knowledge (Howdy, </w:t>
      </w:r>
      <w:proofErr w:type="spellStart"/>
      <w:r>
        <w:rPr>
          <w:rFonts w:ascii="Times New Roman" w:hAnsi="Times New Roman" w:cs="Times New Roman"/>
        </w:rPr>
        <w:t>n.d.</w:t>
      </w:r>
      <w:proofErr w:type="spellEnd"/>
      <w:r>
        <w:rPr>
          <w:rFonts w:ascii="Times New Roman" w:hAnsi="Times New Roman" w:cs="Times New Roman"/>
        </w:rPr>
        <w:t>). Back-testing showed consistent performance across assets, suggesting suitability for novices, though volatility management needs improvement for XAUUSD (Smith, 2021). The findings confirm the EA’s potential as a practical trading tool, addressing gaps in existing systems’ complexity and risk management (MQL5 Community, 2022).</w:t>
      </w:r>
    </w:p>
    <w:p w14:paraId="49F79FEF" w14:textId="77777777" w:rsidR="00047486" w:rsidRDefault="00047486" w:rsidP="00033C43">
      <w:pPr>
        <w:jc w:val="both"/>
        <w:rPr>
          <w:rFonts w:ascii="Times New Roman" w:hAnsi="Times New Roman" w:cs="Times New Roman"/>
          <w:b/>
          <w:bCs/>
        </w:rPr>
      </w:pPr>
      <w:r>
        <w:rPr>
          <w:rFonts w:ascii="Times New Roman" w:hAnsi="Times New Roman" w:cs="Times New Roman"/>
          <w:b/>
          <w:bCs/>
        </w:rPr>
        <w:t>5.2 Conclusion</w:t>
      </w:r>
    </w:p>
    <w:p w14:paraId="3BBF74B5" w14:textId="77777777" w:rsidR="00047486" w:rsidRDefault="00047486" w:rsidP="00033C43">
      <w:pPr>
        <w:jc w:val="both"/>
        <w:rPr>
          <w:rFonts w:ascii="Times New Roman" w:hAnsi="Times New Roman" w:cs="Times New Roman"/>
        </w:rPr>
      </w:pPr>
      <w:r>
        <w:rPr>
          <w:rFonts w:ascii="Times New Roman" w:hAnsi="Times New Roman" w:cs="Times New Roman"/>
        </w:rPr>
        <w:t>This study successfully developed an MQL5-based MACD EA, demonstrating its viability as an automated trading tool for retail traders. The EA’s design addressed key challenges identified in the literature, such as complexity and volatility sensitivity (Young, 2020; Wong, 2022). Its single-indicator strategy, customized MACD parameters (fast EMA 28, slow EMA 8), and fixed risk controls (0.01 lot, $0.80 threshold) simplified usage compared to multi-indicator systems (Beresford, 2019; Lee, 2023). Back-testing results (~$150 profit, 8% drawdown, 60% win rate) indicate moderate profitability and stability across EURUSD, GBPUSD, and XAUUSD, outperforming the MQL5 Community’s EA (3% profit) but falling short of Young’s (15% profit) due to conservative risk settings (MQL5 Community, 2022; Young, 2020).</w:t>
      </w:r>
    </w:p>
    <w:p w14:paraId="3AED1846" w14:textId="77777777" w:rsidR="00047486" w:rsidRDefault="00047486" w:rsidP="00033C43">
      <w:pPr>
        <w:jc w:val="both"/>
        <w:rPr>
          <w:rFonts w:ascii="Times New Roman" w:hAnsi="Times New Roman" w:cs="Times New Roman"/>
        </w:rPr>
      </w:pPr>
      <w:r>
        <w:rPr>
          <w:rFonts w:ascii="Times New Roman" w:hAnsi="Times New Roman" w:cs="Times New Roman"/>
        </w:rPr>
        <w:t>The EA’s accessibility aligns with the needs of novice traders, reducing the learning curve through automation and clear documentation (Patel, 2020). Its multi-asset scope enhances generalizability compared to single-asset EAs (Smith, 2021), while its fixed parameters mitigate overfitting risks (Wong, 2022). The project contributes to automated trading by offering a practical, user-friendly EA that balances simplicity and performance, supporting retail traders in navigating the complex Forex market (Johnson, 2018). It validates MQL5’s effectiveness as a development platform and underscores the importance of tailored risk management for diverse assets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34C90B13" w14:textId="77777777" w:rsidR="00047486" w:rsidRDefault="00047486" w:rsidP="00033C43">
      <w:pPr>
        <w:jc w:val="both"/>
        <w:rPr>
          <w:rFonts w:ascii="Times New Roman" w:hAnsi="Times New Roman" w:cs="Times New Roman"/>
          <w:b/>
          <w:bCs/>
        </w:rPr>
      </w:pPr>
      <w:r>
        <w:rPr>
          <w:rFonts w:ascii="Times New Roman" w:hAnsi="Times New Roman" w:cs="Times New Roman"/>
          <w:b/>
          <w:bCs/>
        </w:rPr>
        <w:t>5.3 Recommendation for Further Investigation</w:t>
      </w:r>
    </w:p>
    <w:p w14:paraId="1FBAA2FC" w14:textId="77777777" w:rsidR="00047486" w:rsidRDefault="00047486" w:rsidP="00033C43">
      <w:pPr>
        <w:jc w:val="both"/>
        <w:rPr>
          <w:rFonts w:ascii="Times New Roman" w:hAnsi="Times New Roman" w:cs="Times New Roman"/>
        </w:rPr>
      </w:pPr>
      <w:r>
        <w:rPr>
          <w:rFonts w:ascii="Times New Roman" w:hAnsi="Times New Roman" w:cs="Times New Roman"/>
        </w:rPr>
        <w:t>While the EA demonstrates promising results, further research is needed to enhance its effectiveness and applicability:</w:t>
      </w:r>
    </w:p>
    <w:p w14:paraId="560B512C" w14:textId="77777777" w:rsidR="00047486" w:rsidRDefault="00047486" w:rsidP="00033C43">
      <w:pPr>
        <w:pStyle w:val="ListParagraph"/>
        <w:numPr>
          <w:ilvl w:val="0"/>
          <w:numId w:val="1"/>
        </w:numPr>
        <w:jc w:val="both"/>
        <w:rPr>
          <w:rFonts w:ascii="Times New Roman" w:hAnsi="Times New Roman" w:cs="Times New Roman"/>
        </w:rPr>
      </w:pPr>
      <w:r>
        <w:rPr>
          <w:rFonts w:ascii="Times New Roman" w:hAnsi="Times New Roman" w:cs="Times New Roman"/>
        </w:rPr>
        <w:t>Volatility Filters: Integrate volatility filters (e.g., Average True Range) to improve performance on XAUUSD, mitigating MACD’s weaknesses in volatile markets (Wong, 2022). Back-testing with filters could reduce drawdowns.</w:t>
      </w:r>
    </w:p>
    <w:p w14:paraId="0B35E499" w14:textId="77777777" w:rsidR="00047486" w:rsidRDefault="00047486" w:rsidP="00033C43">
      <w:pPr>
        <w:pStyle w:val="ListParagraph"/>
        <w:numPr>
          <w:ilvl w:val="0"/>
          <w:numId w:val="1"/>
        </w:numPr>
        <w:jc w:val="both"/>
        <w:rPr>
          <w:rFonts w:ascii="Times New Roman" w:hAnsi="Times New Roman" w:cs="Times New Roman"/>
        </w:rPr>
      </w:pPr>
      <w:r>
        <w:rPr>
          <w:rFonts w:ascii="Times New Roman" w:hAnsi="Times New Roman" w:cs="Times New Roman"/>
        </w:rPr>
        <w:t>Multi-Indicator Strategies: Explore combining MACD with indicators like RSI or Stochastic, as in Beresford (2019) and Lee (2023), to enhance signal accuracy while maintaining simplicity for novices.</w:t>
      </w:r>
    </w:p>
    <w:p w14:paraId="2D8F6C5E" w14:textId="77777777" w:rsidR="00047486" w:rsidRDefault="00047486" w:rsidP="00033C43">
      <w:pPr>
        <w:pStyle w:val="ListParagraph"/>
        <w:numPr>
          <w:ilvl w:val="0"/>
          <w:numId w:val="1"/>
        </w:numPr>
        <w:jc w:val="both"/>
        <w:rPr>
          <w:rFonts w:ascii="Times New Roman" w:hAnsi="Times New Roman" w:cs="Times New Roman"/>
        </w:rPr>
      </w:pPr>
      <w:r>
        <w:rPr>
          <w:rFonts w:ascii="Times New Roman" w:hAnsi="Times New Roman" w:cs="Times New Roman"/>
        </w:rPr>
        <w:lastRenderedPageBreak/>
        <w:t>Extended Timeframes and Assets: Test the EA on additional timeframes (e.g., M15, H4) and assets (e.g., USD/JPY, AUD/USD) to broaden applicability, building on Smith’s (2021) single-asset focus.</w:t>
      </w:r>
    </w:p>
    <w:p w14:paraId="723D211F" w14:textId="77777777" w:rsidR="00047486" w:rsidRDefault="00047486" w:rsidP="00033C43">
      <w:pPr>
        <w:pStyle w:val="ListParagraph"/>
        <w:numPr>
          <w:ilvl w:val="0"/>
          <w:numId w:val="1"/>
        </w:numPr>
        <w:jc w:val="both"/>
        <w:rPr>
          <w:rFonts w:ascii="Times New Roman" w:hAnsi="Times New Roman" w:cs="Times New Roman"/>
        </w:rPr>
      </w:pPr>
      <w:r>
        <w:rPr>
          <w:rFonts w:ascii="Times New Roman" w:hAnsi="Times New Roman" w:cs="Times New Roman"/>
        </w:rPr>
        <w:t>User Experience Studies: Conduct usability tests with novice traders to evaluate the EA’s interface and documentation, ensuring accessibility aligns with Patel’s (2020) recommendations.</w:t>
      </w:r>
    </w:p>
    <w:p w14:paraId="2E2C8D56" w14:textId="77777777" w:rsidR="00047486" w:rsidRDefault="00047486" w:rsidP="00033C43">
      <w:pPr>
        <w:pStyle w:val="ListParagraph"/>
        <w:numPr>
          <w:ilvl w:val="0"/>
          <w:numId w:val="1"/>
        </w:numPr>
        <w:jc w:val="both"/>
        <w:rPr>
          <w:rFonts w:ascii="Times New Roman" w:hAnsi="Times New Roman" w:cs="Times New Roman"/>
        </w:rPr>
      </w:pPr>
      <w:r>
        <w:rPr>
          <w:rFonts w:ascii="Times New Roman" w:hAnsi="Times New Roman" w:cs="Times New Roman"/>
        </w:rPr>
        <w:t>Optimization Strategies: Investigate controlled optimization techniques to refine MACD parameters without overfitting, addressing Young’s (2020) concerns. This could involve walk-forward analysis in MT5’s Strategy Tester.</w:t>
      </w:r>
    </w:p>
    <w:p w14:paraId="7E36E572" w14:textId="77777777" w:rsidR="00047486" w:rsidRDefault="00047486"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Cloud Integration: Explore deploying the EA on cloud-based VPS platforms to enhance reliability and accessibility, leveraging </w:t>
      </w:r>
      <w:proofErr w:type="spellStart"/>
      <w:r>
        <w:rPr>
          <w:rFonts w:ascii="Times New Roman" w:hAnsi="Times New Roman" w:cs="Times New Roman"/>
        </w:rPr>
        <w:t>MetaQuotes</w:t>
      </w:r>
      <w:proofErr w:type="spellEnd"/>
      <w:r>
        <w:rPr>
          <w:rFonts w:ascii="Times New Roman" w:hAnsi="Times New Roman" w:cs="Times New Roman"/>
        </w:rPr>
        <w:t>’ infrastructure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1B0D3203" w14:textId="77777777" w:rsidR="00047486" w:rsidRDefault="00047486" w:rsidP="00033C43">
      <w:pPr>
        <w:jc w:val="both"/>
        <w:rPr>
          <w:rFonts w:ascii="Times New Roman" w:hAnsi="Times New Roman" w:cs="Times New Roman"/>
        </w:rPr>
      </w:pPr>
      <w:r>
        <w:rPr>
          <w:rFonts w:ascii="Times New Roman" w:hAnsi="Times New Roman" w:cs="Times New Roman"/>
        </w:rPr>
        <w:t xml:space="preserve">These investigations would strengthen the EA’s robustness, accessibility, and market relevance, contributing to the advancement of automated Forex trading </w:t>
      </w:r>
    </w:p>
    <w:p w14:paraId="7E66D5ED" w14:textId="77777777" w:rsidR="00047486" w:rsidRDefault="00047486"/>
    <w:sectPr w:rsidR="000474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C878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A"/>
    <w:multiLevelType w:val="hybridMultilevel"/>
    <w:tmpl w:val="BE8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5054">
    <w:abstractNumId w:val="1"/>
  </w:num>
  <w:num w:numId="2" w16cid:durableId="91497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86"/>
    <w:rsid w:val="00047486"/>
    <w:rsid w:val="005A4201"/>
    <w:rsid w:val="00D7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D118FE"/>
  <w15:chartTrackingRefBased/>
  <w15:docId w15:val="{46B2C3A7-05DC-694E-BB83-7224E96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486"/>
    <w:rPr>
      <w:rFonts w:eastAsiaTheme="majorEastAsia" w:cstheme="majorBidi"/>
      <w:color w:val="272727" w:themeColor="text1" w:themeTint="D8"/>
    </w:rPr>
  </w:style>
  <w:style w:type="paragraph" w:styleId="Title">
    <w:name w:val="Title"/>
    <w:basedOn w:val="Normal"/>
    <w:next w:val="Normal"/>
    <w:link w:val="TitleChar"/>
    <w:uiPriority w:val="10"/>
    <w:qFormat/>
    <w:rsid w:val="00047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486"/>
    <w:pPr>
      <w:spacing w:before="160"/>
      <w:jc w:val="center"/>
    </w:pPr>
    <w:rPr>
      <w:i/>
      <w:iCs/>
      <w:color w:val="404040" w:themeColor="text1" w:themeTint="BF"/>
    </w:rPr>
  </w:style>
  <w:style w:type="character" w:customStyle="1" w:styleId="QuoteChar">
    <w:name w:val="Quote Char"/>
    <w:basedOn w:val="DefaultParagraphFont"/>
    <w:link w:val="Quote"/>
    <w:uiPriority w:val="29"/>
    <w:rsid w:val="00047486"/>
    <w:rPr>
      <w:i/>
      <w:iCs/>
      <w:color w:val="404040" w:themeColor="text1" w:themeTint="BF"/>
    </w:rPr>
  </w:style>
  <w:style w:type="paragraph" w:styleId="ListParagraph">
    <w:name w:val="List Paragraph"/>
    <w:basedOn w:val="Normal"/>
    <w:uiPriority w:val="34"/>
    <w:qFormat/>
    <w:rsid w:val="00047486"/>
    <w:pPr>
      <w:ind w:left="720"/>
      <w:contextualSpacing/>
    </w:pPr>
  </w:style>
  <w:style w:type="character" w:styleId="IntenseEmphasis">
    <w:name w:val="Intense Emphasis"/>
    <w:basedOn w:val="DefaultParagraphFont"/>
    <w:uiPriority w:val="21"/>
    <w:qFormat/>
    <w:rsid w:val="00047486"/>
    <w:rPr>
      <w:i/>
      <w:iCs/>
      <w:color w:val="0F4761" w:themeColor="accent1" w:themeShade="BF"/>
    </w:rPr>
  </w:style>
  <w:style w:type="paragraph" w:styleId="IntenseQuote">
    <w:name w:val="Intense Quote"/>
    <w:basedOn w:val="Normal"/>
    <w:next w:val="Normal"/>
    <w:link w:val="IntenseQuoteChar"/>
    <w:uiPriority w:val="30"/>
    <w:qFormat/>
    <w:rsid w:val="0004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486"/>
    <w:rPr>
      <w:i/>
      <w:iCs/>
      <w:color w:val="0F4761" w:themeColor="accent1" w:themeShade="BF"/>
    </w:rPr>
  </w:style>
  <w:style w:type="character" w:styleId="IntenseReference">
    <w:name w:val="Intense Reference"/>
    <w:basedOn w:val="DefaultParagraphFont"/>
    <w:uiPriority w:val="32"/>
    <w:qFormat/>
    <w:rsid w:val="00047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oluwatobiloba adedeji</dc:creator>
  <cp:keywords/>
  <dc:description/>
  <cp:lastModifiedBy>oluwatobiloba adedeji</cp:lastModifiedBy>
  <cp:revision>2</cp:revision>
  <dcterms:created xsi:type="dcterms:W3CDTF">2025-07-07T10:33:00Z</dcterms:created>
  <dcterms:modified xsi:type="dcterms:W3CDTF">2025-07-07T10:33:00Z</dcterms:modified>
</cp:coreProperties>
</file>