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9C92" w14:textId="6547AA6D" w:rsidR="009F05DD" w:rsidRDefault="009F05DD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BE1E26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CHAPTER THREE </w:t>
      </w:r>
    </w:p>
    <w:p w14:paraId="2C624756" w14:textId="745B84AA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BE1E26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ANALYSIS OF THE SYSTEM</w:t>
      </w:r>
      <w:r>
        <w:rPr>
          <w:rFonts w:ascii="Times New Roman" w:hAnsi="Times New Roman" w:cs="Times New Roman"/>
        </w:rPr>
        <w:t xml:space="preserve"> </w:t>
      </w:r>
    </w:p>
    <w:p w14:paraId="51576DDB" w14:textId="77777777" w:rsidR="009F05DD" w:rsidRDefault="009F05DD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3.1 Research Methodology</w:t>
      </w:r>
    </w:p>
    <w:p w14:paraId="221E4C91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study employs a quantitative experimental approach, focusing on the development and back-testing of an EA on </w:t>
      </w:r>
      <w:proofErr w:type="spellStart"/>
      <w:r>
        <w:rPr>
          <w:rFonts w:ascii="Times New Roman" w:hAnsi="Times New Roman" w:cs="Times New Roman"/>
        </w:rPr>
        <w:t>MetaTrader</w:t>
      </w:r>
      <w:proofErr w:type="spellEnd"/>
      <w:r>
        <w:rPr>
          <w:rFonts w:ascii="Times New Roman" w:hAnsi="Times New Roman" w:cs="Times New Roman"/>
        </w:rPr>
        <w:t xml:space="preserve"> 5. The research process includes: programming an EA in MQL5 to implement a MACD-based trading strategy, back-testing the EA on historical Forex data for EURUSD, GBPUSD, and XAUUSD, and evaluating performance metrics, such as net profit, win rate, and drawdown, to determine profitability and reliability. Back-testing is conducted using </w:t>
      </w:r>
      <w:proofErr w:type="spellStart"/>
      <w:r>
        <w:rPr>
          <w:rFonts w:ascii="Times New Roman" w:hAnsi="Times New Roman" w:cs="Times New Roman"/>
        </w:rPr>
        <w:t>MetaTrader</w:t>
      </w:r>
      <w:proofErr w:type="spellEnd"/>
      <w:r>
        <w:rPr>
          <w:rFonts w:ascii="Times New Roman" w:hAnsi="Times New Roman" w:cs="Times New Roman"/>
        </w:rPr>
        <w:t xml:space="preserve"> 5’s Strategy Tester, which simulates trades based on historical price data with high precision (</w:t>
      </w:r>
      <w:proofErr w:type="spellStart"/>
      <w:r>
        <w:rPr>
          <w:rFonts w:ascii="Times New Roman" w:hAnsi="Times New Roman" w:cs="Times New Roman"/>
        </w:rPr>
        <w:t>MetaQuotes</w:t>
      </w:r>
      <w:proofErr w:type="spellEnd"/>
      <w:r>
        <w:rPr>
          <w:rFonts w:ascii="Times New Roman" w:hAnsi="Times New Roman" w:cs="Times New Roman"/>
        </w:rPr>
        <w:t xml:space="preserve"> Software Corp, 2024).</w:t>
      </w:r>
    </w:p>
    <w:p w14:paraId="7F6C20A0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Trading Strategy: The EA triggers trades based on MACD signal line crossovers, validated by Young (2020). Buy signals occur when the MACD line crosses above the signal line; sell signals when it crosses below. Customized parameters (fast EMA 28, slow EMA 8, signal 9) enhance trend detection, inspired by Lee’s (2023) non-standard settings.</w:t>
      </w:r>
    </w:p>
    <w:p w14:paraId="722CA50A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Management: Trades use a fixed lot size of 0.01, suitable for small accounts, and close at a $0.80 profit/loss threshold, ensuring predictable risk (Johnson, 2018). This contrasts with trailing stops in existing EAs (MQL5 Community, 2022).</w:t>
      </w:r>
    </w:p>
    <w:p w14:paraId="35C467B2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Assets and Timeframe: The EA targets EURUSD, GBPUSD, and XAUUSD on the H1 timeframe, balancing liquidity and signal reliability (Beresford, 2019).</w:t>
      </w:r>
    </w:p>
    <w:p w14:paraId="4ACAE344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Implementation: Coded in MQL5 using </w:t>
      </w:r>
      <w:proofErr w:type="spellStart"/>
      <w:r>
        <w:rPr>
          <w:rFonts w:ascii="Times New Roman" w:hAnsi="Times New Roman" w:cs="Times New Roman"/>
        </w:rPr>
        <w:t>MetaEditor</w:t>
      </w:r>
      <w:proofErr w:type="spellEnd"/>
      <w:r>
        <w:rPr>
          <w:rFonts w:ascii="Times New Roman" w:hAnsi="Times New Roman" w:cs="Times New Roman"/>
        </w:rPr>
        <w:t>, the EA employs:</w:t>
      </w:r>
    </w:p>
    <w:p w14:paraId="647D8C1B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OnInit</w:t>
      </w:r>
      <w:proofErr w:type="spellEnd"/>
      <w:r>
        <w:rPr>
          <w:rFonts w:ascii="Times New Roman" w:hAnsi="Times New Roman" w:cs="Times New Roman"/>
        </w:rPr>
        <w:t>(): Initializes MACD parameters and validates inputs.</w:t>
      </w:r>
    </w:p>
    <w:p w14:paraId="3F74D0EF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OnTick</w:t>
      </w:r>
      <w:proofErr w:type="spellEnd"/>
      <w:r>
        <w:rPr>
          <w:rFonts w:ascii="Times New Roman" w:hAnsi="Times New Roman" w:cs="Times New Roman"/>
        </w:rPr>
        <w:t xml:space="preserve">(): Retrieves price data via </w:t>
      </w:r>
      <w:proofErr w:type="spellStart"/>
      <w:r>
        <w:rPr>
          <w:rFonts w:ascii="Times New Roman" w:hAnsi="Times New Roman" w:cs="Times New Roman"/>
        </w:rPr>
        <w:t>SymbolInfoDouble</w:t>
      </w:r>
      <w:proofErr w:type="spellEnd"/>
      <w:r>
        <w:rPr>
          <w:rFonts w:ascii="Times New Roman" w:hAnsi="Times New Roman" w:cs="Times New Roman"/>
        </w:rPr>
        <w:t xml:space="preserve">() and MACD values via </w:t>
      </w:r>
      <w:proofErr w:type="spellStart"/>
      <w:r>
        <w:rPr>
          <w:rFonts w:ascii="Times New Roman" w:hAnsi="Times New Roman" w:cs="Times New Roman"/>
        </w:rPr>
        <w:t>iMACD</w:t>
      </w:r>
      <w:proofErr w:type="spellEnd"/>
      <w:r>
        <w:rPr>
          <w:rFonts w:ascii="Times New Roman" w:hAnsi="Times New Roman" w:cs="Times New Roman"/>
        </w:rPr>
        <w:t>() for crossover detection.</w:t>
      </w:r>
    </w:p>
    <w:p w14:paraId="7F803497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CTrade</w:t>
      </w:r>
      <w:proofErr w:type="spellEnd"/>
      <w:r>
        <w:rPr>
          <w:rFonts w:ascii="Times New Roman" w:hAnsi="Times New Roman" w:cs="Times New Roman"/>
        </w:rPr>
        <w:t xml:space="preserve"> Class: Executes trades with </w:t>
      </w:r>
      <w:proofErr w:type="spellStart"/>
      <w:r>
        <w:rPr>
          <w:rFonts w:ascii="Times New Roman" w:hAnsi="Times New Roman" w:cs="Times New Roman"/>
        </w:rPr>
        <w:t>PositionOpen</w:t>
      </w:r>
      <w:proofErr w:type="spellEnd"/>
      <w:r>
        <w:rPr>
          <w:rFonts w:ascii="Times New Roman" w:hAnsi="Times New Roman" w:cs="Times New Roman"/>
        </w:rPr>
        <w:t xml:space="preserve">() and closes with </w:t>
      </w:r>
      <w:proofErr w:type="spellStart"/>
      <w:r>
        <w:rPr>
          <w:rFonts w:ascii="Times New Roman" w:hAnsi="Times New Roman" w:cs="Times New Roman"/>
        </w:rPr>
        <w:t>PositionClose</w:t>
      </w:r>
      <w:proofErr w:type="spellEnd"/>
      <w:r>
        <w:rPr>
          <w:rFonts w:ascii="Times New Roman" w:hAnsi="Times New Roman" w:cs="Times New Roman"/>
        </w:rPr>
        <w:t>() at thresholds.</w:t>
      </w:r>
    </w:p>
    <w:p w14:paraId="746E87E7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Error Handling: Ensures sufficient balance (</w:t>
      </w:r>
      <w:proofErr w:type="spellStart"/>
      <w:r>
        <w:rPr>
          <w:rFonts w:ascii="Times New Roman" w:hAnsi="Times New Roman" w:cs="Times New Roman"/>
        </w:rPr>
        <w:t>AccountBalance</w:t>
      </w:r>
      <w:proofErr w:type="spellEnd"/>
      <w:r>
        <w:rPr>
          <w:rFonts w:ascii="Times New Roman" w:hAnsi="Times New Roman" w:cs="Times New Roman"/>
        </w:rPr>
        <w:t>()) and connectivity (</w:t>
      </w:r>
      <w:proofErr w:type="spellStart"/>
      <w:r>
        <w:rPr>
          <w:rFonts w:ascii="Times New Roman" w:hAnsi="Times New Roman" w:cs="Times New Roman"/>
        </w:rPr>
        <w:t>TerminalInfo</w:t>
      </w:r>
      <w:proofErr w:type="spellEnd"/>
      <w:r>
        <w:rPr>
          <w:rFonts w:ascii="Times New Roman" w:hAnsi="Times New Roman" w:cs="Times New Roman"/>
        </w:rPr>
        <w:t>()) (</w:t>
      </w:r>
      <w:proofErr w:type="spellStart"/>
      <w:r>
        <w:rPr>
          <w:rFonts w:ascii="Times New Roman" w:hAnsi="Times New Roman" w:cs="Times New Roman"/>
        </w:rPr>
        <w:t>MetaQuotes</w:t>
      </w:r>
      <w:proofErr w:type="spellEnd"/>
      <w:r>
        <w:rPr>
          <w:rFonts w:ascii="Times New Roman" w:hAnsi="Times New Roman" w:cs="Times New Roman"/>
        </w:rPr>
        <w:t xml:space="preserve"> Software Corp., 2024).</w:t>
      </w:r>
    </w:p>
    <w:p w14:paraId="4F609D48" w14:textId="77777777" w:rsidR="009F05DD" w:rsidRDefault="009F05DD" w:rsidP="00033C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Testing: Back-testing in MT5’s Strategy Tester uses historical data (March 2025, 2-pip spread, no slippage), evaluating net profit, win rate, profit factor, and drawdown.</w:t>
      </w:r>
    </w:p>
    <w:p w14:paraId="487EB071" w14:textId="77777777" w:rsidR="009F05DD" w:rsidRDefault="009F05DD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3.2 Analysis of the Existing System</w:t>
      </w:r>
    </w:p>
    <w:p w14:paraId="3F43BE5C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Existing MQL5-based EAs using the MACD indicator provide valuable insights into automated Forex trading. Key systems include:</w:t>
      </w:r>
    </w:p>
    <w:p w14:paraId="24EAAB10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Beresford’s EA (2019): Combines MACD (fast EMA 12, slow EMA 26, signal 9) with RSI (period 14) for EURUSD (H1). Back-testing (2017–2018) reported a 10% return, 5% drawdown, and 65% win rate (Beresford, 2019). Its fixed lot size (0.1) and 50-pip stop-loss ensure stability, but the dual-indicator approach requires technical expertise.</w:t>
      </w:r>
    </w:p>
    <w:p w14:paraId="59B13DE8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Young’s EA (2020): Targets GBPUSD (M30) with customizable MACD settings and a 20-pip trailing stop (1% risk per trade). Back-testing (2019) showed a 15% profit, 7% drawdown, and 60% win rate (Young, 2020). It excels in trending markets but struggles during volatility spikes.</w:t>
      </w:r>
    </w:p>
    <w:p w14:paraId="7FA0D6DA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Smith’s EA (2021): Uses MACD (fast EMA 13, slow EMA 27, signal 10) with adaptive lot sizing for USD/JPY (H4). Back-testing (2020–2021) yielded a 12% return but a 20% drawdown during COVID-19 volatility (Smith, 2021). Its complexity suits professionals.</w:t>
      </w:r>
    </w:p>
    <w:p w14:paraId="585F66C6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MQL5 Community’s MACD Sample (2022): An open-source EA for EURUSD (H1) with standard MACD settings, achieving a 60% win rate and 3% profit in 2021 back-tests (MQL5 Community, 2022). Its simplicity is novice-friendly but lacks robust risk controls.</w:t>
      </w:r>
    </w:p>
    <w:p w14:paraId="5EF6A440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Lee’s EA (2023): Integrates MACD with Stochastic for GBPUSD (H1), reporting a 14% return and 8% drawdown in 2022 (Lee, 2023). The multi-indicator strategy enhances accuracy but increases setup complexity.</w:t>
      </w:r>
    </w:p>
    <w:p w14:paraId="370821CA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systems leverage MQL5’s event-driven architecture (e.g., </w:t>
      </w:r>
      <w:proofErr w:type="spellStart"/>
      <w:r>
        <w:rPr>
          <w:rFonts w:ascii="Times New Roman" w:hAnsi="Times New Roman" w:cs="Times New Roman"/>
        </w:rPr>
        <w:t>OnTick</w:t>
      </w:r>
      <w:proofErr w:type="spellEnd"/>
      <w:r>
        <w:rPr>
          <w:rFonts w:ascii="Times New Roman" w:hAnsi="Times New Roman" w:cs="Times New Roman"/>
        </w:rPr>
        <w:t xml:space="preserve">(), </w:t>
      </w:r>
      <w:proofErr w:type="spellStart"/>
      <w:r>
        <w:rPr>
          <w:rFonts w:ascii="Times New Roman" w:hAnsi="Times New Roman" w:cs="Times New Roman"/>
        </w:rPr>
        <w:t>iMACD</w:t>
      </w:r>
      <w:proofErr w:type="spellEnd"/>
      <w:r>
        <w:rPr>
          <w:rFonts w:ascii="Times New Roman" w:hAnsi="Times New Roman" w:cs="Times New Roman"/>
        </w:rPr>
        <w:t>()) and MT5’s testing capabilities, targeting major currency pairs on M30–H4 timeframes (</w:t>
      </w:r>
      <w:proofErr w:type="spellStart"/>
      <w:r>
        <w:rPr>
          <w:rFonts w:ascii="Times New Roman" w:hAnsi="Times New Roman" w:cs="Times New Roman"/>
        </w:rPr>
        <w:t>MetaQuotes</w:t>
      </w:r>
      <w:proofErr w:type="spellEnd"/>
      <w:r>
        <w:rPr>
          <w:rFonts w:ascii="Times New Roman" w:hAnsi="Times New Roman" w:cs="Times New Roman"/>
        </w:rPr>
        <w:t xml:space="preserve"> Software Corp., 2024).</w:t>
      </w:r>
    </w:p>
    <w:p w14:paraId="4E05037F" w14:textId="77777777" w:rsidR="009F05DD" w:rsidRDefault="009F05DD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3.3 Problems of the Existing System</w:t>
      </w:r>
    </w:p>
    <w:p w14:paraId="3163F30F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Despite their contributions, existing MACD-based EAs exhibit significant limitations:</w:t>
      </w:r>
    </w:p>
    <w:p w14:paraId="62704AB5" w14:textId="77777777" w:rsidR="009F05DD" w:rsidRDefault="009F05DD" w:rsidP="00033C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Complexity for Novices: Multi-indicator systems (e.g., Beresford, 2019; Lee, 2023) require understanding multiple technical indicators, posing barriers for retail traders with limited expertise (Patel, 2020).</w:t>
      </w:r>
    </w:p>
    <w:p w14:paraId="08EEEDCE" w14:textId="77777777" w:rsidR="009F05DD" w:rsidRDefault="009F05DD" w:rsidP="00033C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Volatility Sensitivity: EAs like Young’s (2020) and Smith’s (2021) show high drawdowns (7–20%) during volatile events (e.g., </w:t>
      </w:r>
      <w:proofErr w:type="spellStart"/>
      <w:r>
        <w:rPr>
          <w:rFonts w:ascii="Times New Roman" w:hAnsi="Times New Roman" w:cs="Times New Roman"/>
        </w:rPr>
        <w:t>Brexit</w:t>
      </w:r>
      <w:proofErr w:type="spellEnd"/>
      <w:r>
        <w:rPr>
          <w:rFonts w:ascii="Times New Roman" w:hAnsi="Times New Roman" w:cs="Times New Roman"/>
        </w:rPr>
        <w:t>, COVID-19), due to MACD’s lagging nature, particularly problematic for volatile assets like XAUUSD (Wong, 2022).</w:t>
      </w:r>
    </w:p>
    <w:p w14:paraId="5125A877" w14:textId="77777777" w:rsidR="009F05DD" w:rsidRDefault="009F05DD" w:rsidP="00033C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Inadequate Risk Management: The MQL5 Community’s EA (2022) lacks predefined profit/loss thresholds, risking significant losses in ranging markets. Trailing stops or adaptive sizing in other EAs (e.g., Young, 2020) can confuse beginners (Johnson, 2018).</w:t>
      </w:r>
    </w:p>
    <w:p w14:paraId="2CBCB2A6" w14:textId="77777777" w:rsidR="009F05DD" w:rsidRDefault="009F05DD" w:rsidP="00033C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Optimization Challenges: Frequent parameter re-optimization, as in Young (2020), increases maintenance effort and risks overfitting, where back-tested results fail in live trading (Wong, 2022).</w:t>
      </w:r>
    </w:p>
    <w:p w14:paraId="5E1E66D7" w14:textId="77777777" w:rsidR="009F05DD" w:rsidRDefault="009F05DD" w:rsidP="00033C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Limited Multi-Asset Testing: Most EAs focus on single pairs (e.g., EURUSD, GBPUSD), with minimal evidence for diverse assets like XAUUSD, limiting generalizability (Smith, 2021).</w:t>
      </w:r>
    </w:p>
    <w:p w14:paraId="4F5C2C75" w14:textId="77777777" w:rsidR="009F05DD" w:rsidRDefault="009F05DD" w:rsidP="00033C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Live Trading Data: Reliance on back-testing without live trading results reduces reliability, as noted by Lee (2023).</w:t>
      </w:r>
    </w:p>
    <w:p w14:paraId="1E2262FE" w14:textId="77777777" w:rsidR="009F05DD" w:rsidRDefault="009F05DD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3.4 Description of the Proposed System</w:t>
      </w:r>
    </w:p>
    <w:p w14:paraId="283C5FA0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development of an MQL5-based Expert Advisor (EA) for automated Forex trading using the Moving Average Convergence Divergence (MACD) indicator requires a systematic approach to ensure functionality, reliability, and accessibility for retail traders. The design comprises the following steps, tailored to the project’s focus on EURUSD, GBPUSD, and XAUUSD:</w:t>
      </w:r>
    </w:p>
    <w:p w14:paraId="2F2D3D31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MACD Settings: The EA uses customized MACD parameters: fast EMA 28, slow EMA 8, and signal line 9, optimized for trend detection on the H1 timeframe (Lee, 2023).</w:t>
      </w:r>
    </w:p>
    <w:p w14:paraId="75913FE3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Buy/Sell Conditions:</w:t>
      </w:r>
    </w:p>
    <w:p w14:paraId="604CE56B" w14:textId="77777777" w:rsidR="009F05DD" w:rsidRDefault="009F05DD" w:rsidP="00033C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Buy Signal: Triggered when the MACD line (difference between fast EMA 28 and slow EMA 8) crosses above the signal line (9-period EMA of MACD), indicating a potential uptrend (Young, 2020).</w:t>
      </w:r>
    </w:p>
    <w:p w14:paraId="010A20C0" w14:textId="77777777" w:rsidR="009F05DD" w:rsidRDefault="009F05DD" w:rsidP="00033C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Sell Signal: Triggered when the MACD line crosses below the signal line, </w:t>
      </w:r>
      <w:proofErr w:type="spellStart"/>
      <w:r>
        <w:rPr>
          <w:rFonts w:ascii="Times New Roman" w:hAnsi="Times New Roman" w:cs="Times New Roman"/>
        </w:rPr>
        <w:t>signaling</w:t>
      </w:r>
      <w:proofErr w:type="spellEnd"/>
      <w:r>
        <w:rPr>
          <w:rFonts w:ascii="Times New Roman" w:hAnsi="Times New Roman" w:cs="Times New Roman"/>
        </w:rPr>
        <w:t xml:space="preserve"> a potential downtrend.</w:t>
      </w:r>
    </w:p>
    <w:p w14:paraId="7C972848" w14:textId="77777777" w:rsidR="009F05DD" w:rsidRDefault="009F05DD" w:rsidP="00033C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Timeframe: The H1 (1-hour) timeframe balances signal frequency and reliability for EURUSD, GBPUSD, and XAUUSD (Beresford, 2019).</w:t>
      </w:r>
    </w:p>
    <w:p w14:paraId="4DF15DC0" w14:textId="77777777" w:rsidR="009F05DD" w:rsidRDefault="009F05DD" w:rsidP="00033C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Management: Trades use a fixed lot size of 0.01 for low risk, suitable for small accounts ($100–$1,000), and close at a $0.80 profit or loss threshold to limit exposure (Johnson, 2018).</w:t>
      </w:r>
    </w:p>
    <w:p w14:paraId="3FA65CE7" w14:textId="77777777" w:rsidR="009F05DD" w:rsidRDefault="009F05DD" w:rsidP="00033C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Implementation: Code the EA in MQL5 using </w:t>
      </w:r>
      <w:proofErr w:type="spellStart"/>
      <w:r>
        <w:rPr>
          <w:rFonts w:ascii="Times New Roman" w:hAnsi="Times New Roman" w:cs="Times New Roman"/>
        </w:rPr>
        <w:t>MetaEditor</w:t>
      </w:r>
      <w:proofErr w:type="spellEnd"/>
      <w:r>
        <w:rPr>
          <w:rFonts w:ascii="Times New Roman" w:hAnsi="Times New Roman" w:cs="Times New Roman"/>
        </w:rPr>
        <w:t>, leveraging `</w:t>
      </w:r>
      <w:proofErr w:type="spellStart"/>
      <w:r>
        <w:rPr>
          <w:rFonts w:ascii="Times New Roman" w:hAnsi="Times New Roman" w:cs="Times New Roman"/>
        </w:rPr>
        <w:t>OnTick</w:t>
      </w:r>
      <w:proofErr w:type="spellEnd"/>
      <w:r>
        <w:rPr>
          <w:rFonts w:ascii="Times New Roman" w:hAnsi="Times New Roman" w:cs="Times New Roman"/>
        </w:rPr>
        <w:t>()` for real-time signal detection, `</w:t>
      </w:r>
      <w:proofErr w:type="spellStart"/>
      <w:r>
        <w:rPr>
          <w:rFonts w:ascii="Times New Roman" w:hAnsi="Times New Roman" w:cs="Times New Roman"/>
        </w:rPr>
        <w:t>iMACD</w:t>
      </w:r>
      <w:proofErr w:type="spellEnd"/>
      <w:r>
        <w:rPr>
          <w:rFonts w:ascii="Times New Roman" w:hAnsi="Times New Roman" w:cs="Times New Roman"/>
        </w:rPr>
        <w:t>()` for indicator values, and the `</w:t>
      </w:r>
      <w:proofErr w:type="spellStart"/>
      <w:r>
        <w:rPr>
          <w:rFonts w:ascii="Times New Roman" w:hAnsi="Times New Roman" w:cs="Times New Roman"/>
        </w:rPr>
        <w:t>CTrade</w:t>
      </w:r>
      <w:proofErr w:type="spellEnd"/>
      <w:r>
        <w:rPr>
          <w:rFonts w:ascii="Times New Roman" w:hAnsi="Times New Roman" w:cs="Times New Roman"/>
        </w:rPr>
        <w:t>` class for trade execution (</w:t>
      </w:r>
      <w:proofErr w:type="spellStart"/>
      <w:r>
        <w:rPr>
          <w:rFonts w:ascii="Times New Roman" w:hAnsi="Times New Roman" w:cs="Times New Roman"/>
        </w:rPr>
        <w:t>MetaQuotes</w:t>
      </w:r>
      <w:proofErr w:type="spellEnd"/>
      <w:r>
        <w:rPr>
          <w:rFonts w:ascii="Times New Roman" w:hAnsi="Times New Roman" w:cs="Times New Roman"/>
        </w:rPr>
        <w:t xml:space="preserve"> Software Corp., 2024).</w:t>
      </w:r>
    </w:p>
    <w:p w14:paraId="6C46CEB3" w14:textId="77777777" w:rsidR="009F05DD" w:rsidRDefault="009F05DD" w:rsidP="00033C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3.5 Advantages of Proposed System</w:t>
      </w:r>
    </w:p>
    <w:p w14:paraId="73749F7C" w14:textId="77777777" w:rsidR="009F05DD" w:rsidRDefault="009F05DD" w:rsidP="00033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proposed EA offers several advantages over existing systems:</w:t>
      </w:r>
    </w:p>
    <w:p w14:paraId="5C175EFE" w14:textId="77777777" w:rsidR="009F05DD" w:rsidRDefault="009F05DD" w:rsidP="00033C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Simplicity: A single-indicator MACD strategy reduces complexity compared to multi-indicator EAs (Beresford, 2019; Lee, 2023), making it accessible to novices (Patel, 2020).</w:t>
      </w:r>
    </w:p>
    <w:p w14:paraId="07A4155C" w14:textId="77777777" w:rsidR="009F05DD" w:rsidRDefault="009F05DD" w:rsidP="00033C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Robust Risk Control: Fixed lot sizing (0.01) and $0.80 profit/loss thresholds provide predictable risk, unlike the MQL5 Community’s EA (2022) or trailing stops (Young, 2020).</w:t>
      </w:r>
    </w:p>
    <w:p w14:paraId="3CD43128" w14:textId="77777777" w:rsidR="009F05DD" w:rsidRDefault="009F05DD" w:rsidP="00033C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Customized Parameters: Non-standard MACD settings (fast EMA 28, slow EMA 8) aim to improve trend detection, addressing volatility issues (Lee, 2023).</w:t>
      </w:r>
    </w:p>
    <w:p w14:paraId="336E90FE" w14:textId="77777777" w:rsidR="009F05DD" w:rsidRDefault="009F05DD" w:rsidP="00033C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Multi-Asset Scope: Testing across EURUSD, GBPUSD, and XAUUSD enhances generalizability, unlike single-asset EAs (Smith, 2021).</w:t>
      </w:r>
    </w:p>
    <w:p w14:paraId="33BD225C" w14:textId="77777777" w:rsidR="009F05DD" w:rsidRDefault="009F05DD" w:rsidP="00033C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Reduced Maintenance: Fixed parameters minimize optimization needs, avoiding overfitting risks noted by Wong (2022).</w:t>
      </w:r>
    </w:p>
    <w:p w14:paraId="79DC0533" w14:textId="77777777" w:rsidR="009F05DD" w:rsidRDefault="009F05DD" w:rsidP="00033C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Volatility Mitigation: Predefined thresholds limit losses in volatile markets (e.g., XAUUSD), improving stability over Smith’s (2021) high drawdowns.</w:t>
      </w:r>
    </w:p>
    <w:p w14:paraId="114AE032" w14:textId="77777777" w:rsidR="009F05DD" w:rsidRDefault="009F05DD"/>
    <w:sectPr w:rsidR="009F05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8C7E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hybridMultilevel"/>
    <w:tmpl w:val="1D36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6"/>
    <w:multiLevelType w:val="hybridMultilevel"/>
    <w:tmpl w:val="979E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F"/>
    <w:multiLevelType w:val="hybridMultilevel"/>
    <w:tmpl w:val="5348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18295">
    <w:abstractNumId w:val="0"/>
  </w:num>
  <w:num w:numId="2" w16cid:durableId="1347368568">
    <w:abstractNumId w:val="1"/>
  </w:num>
  <w:num w:numId="3" w16cid:durableId="1609314603">
    <w:abstractNumId w:val="2"/>
  </w:num>
  <w:num w:numId="4" w16cid:durableId="888734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DD"/>
    <w:rsid w:val="005A4201"/>
    <w:rsid w:val="009F05DD"/>
    <w:rsid w:val="00B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ED6D7"/>
  <w15:chartTrackingRefBased/>
  <w15:docId w15:val="{9E6F261E-9245-2546-9E60-A5EC7C5B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oluwatobiloba adedeji</dc:creator>
  <cp:keywords/>
  <dc:description/>
  <cp:lastModifiedBy>oluwatobiloba adedeji</cp:lastModifiedBy>
  <cp:revision>2</cp:revision>
  <dcterms:created xsi:type="dcterms:W3CDTF">2025-07-07T10:30:00Z</dcterms:created>
  <dcterms:modified xsi:type="dcterms:W3CDTF">2025-07-07T10:30:00Z</dcterms:modified>
</cp:coreProperties>
</file>