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napToGrid w:val="false"/>
        <w:spacing w:after="200" w:lineRule="auto" w:line="480"/>
        <w:jc w:val="center"/>
        <w:textAlignment w:val="baseline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</w:p>
    <w:p>
      <w:pPr>
        <w:snapToGrid w:val="false"/>
        <w:spacing w:after="200" w:lineRule="auto" w:line="480"/>
        <w:jc w:val="center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overview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1963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(NARIs)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mandate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fisheries;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training;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storage.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Okon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(2019),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animal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(Bolade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Njoku,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Ayichi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(2019),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chemical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inputs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tractors,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fertilizers,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chemicals,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breeds,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Bank,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blamed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ineffectiveness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financial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orienting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(Zaria,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(FSR),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(Bello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Akins,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FSR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evolvement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(Asiabaka,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orientation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Zaria,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bureaucracy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domiciled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1990s,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shifted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euphoria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spectacular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cost-effective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Zaria,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sub-system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Okon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(2019),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evolve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autonomous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sub-system,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solution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priority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Farmer-driven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personnel,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feasibility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priority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Okon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namely;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faculties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veterinary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medicine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impressive,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(IKS),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orientation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compatibility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highlighted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Sub-System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acceptable.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Okon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(2019),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inter-dependent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sub-system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hierarchy,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pre-condition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forward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feedback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mechanisms,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two-way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movement,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feedback.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articulated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Okon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(2019),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arrangement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represented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orientation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immediate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ineffectiveness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unsuitable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qualifications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commands,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qualification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personnel,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manner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discipline,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budget,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simplicity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Basically,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horizontal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bottom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horizontal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depicts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well-articulated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horizontal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horizontal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staff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budgetary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autonomy.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independence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</w:p>
    <w:p>
      <w:pPr>
        <w:snapToGrid w:val="false"/>
        <w:spacing w:after="200" w:lineRule="auto" w:line="480"/>
        <w:jc w:val="both"/>
        <w:textAlignment w:val="baseline"/>
        <w:rPr/>
      </w:pP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Sub-System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diverse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orientation,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prevailing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labour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marketing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ineffectiveness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incompatibility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Earlier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hectare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cultivated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indicators.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harvest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(Adeola,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agro-technical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aspects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entails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fertilizer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drought-resistant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preparation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fertiliser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diseases.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newly-generated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erosion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optimal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harvesting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marketing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agricultural-related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rainwater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harvesting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intercropping,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preservation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pesticides.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illiteracy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over-dependence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Oladele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(2018),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delivered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vernacular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illiteracy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acquired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credit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purchase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inputs,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chemical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fertilisers.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transmission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distinguished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representation;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textual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(books,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manuscripts),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(graphs,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diagrams,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charts),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recordings,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pictures,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slides).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timelessness,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effectiveness,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exhaustiveness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(Oladele,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imperative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(Nigeria),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88.1%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credible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advice.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Lesotho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Lesotho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seventh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84.80%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61.7%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Lesotho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farmers/producers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arena.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rapid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profoundly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landscape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(ICT)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combines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telecommunications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acquiring,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all-inclusive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embraces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agricultural-food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dynamic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deployment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competitiveness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conserving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stakeholders.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narrow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feedback.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embraced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illiterate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Alao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themselves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multimedia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recognized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emanating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colleagues,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weddings,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ceremonies,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burials,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festivals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categories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leaflets,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Caribbean,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heavily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themselves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transplanting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seedlings,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colleagues.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Caribbean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transmitted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colleagues.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harmonized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recognizes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Lwoga,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(2023)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predominantly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(neighbors,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colleagues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Aina,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illiterate,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gate-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Western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SARKIN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NOMA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keeper),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SARKIN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NOMA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Buttresses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Adebayo,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2.7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Output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abstract,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concrete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visual.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revolve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interdisciplinary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disciplines.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innumerable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assistance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season.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drought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availability.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Oladele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(2023)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emanates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multilingualism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broadcast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Oladele,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(2023)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platform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intellectual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wealth.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forecast,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credit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fertilizer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legislations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counterparts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fertilizers,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labeling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illiterate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discharge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requisite(s)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i.e.,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fatal.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talk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plainly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manifestation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Nikolas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(2005),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recognizes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his/her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wishes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resolve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anomaly-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anomalous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exception.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difficulty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cognitive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emotional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physiological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shelter.);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psychological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domination,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cognitive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serious,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perilous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seeker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optimum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qualities: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timeliness,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always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rendered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obsolete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knew.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arises,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recognized,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called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dormant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unexpressed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disclose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unaware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commodities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arrive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seeker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expressed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unexpressed,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millennium,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multiple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rapid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reform,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assessment.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undertaking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assessment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profession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profession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frustrate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progress.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evident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full-fledge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scientific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2.8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Usefulness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disposal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foregoing,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evident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virtue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intensify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provision,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self-sufficiency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Domestic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[GDP]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Bello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(2017)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(2023)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categorized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ii.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Policy-makers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iii.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iv.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Agro-allied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category,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agro-allied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cultivate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subsistence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sustenance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constitute: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livestock/crop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barley,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flax,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canola,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lentils,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oats,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cotton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mustard,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animals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cattle,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camels,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poultry,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Livestock/crop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cultivating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bestowed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facilitate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decision-making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marketing.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Policy-makers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quasi-government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parastatal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bodies.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formulating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legislation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(Aina,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legislative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derived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decision-making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elaborated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beneficiaries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sufficient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Instead,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radio,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barefoot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librarian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happen.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downplayed.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conscious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British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colonization.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independence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subsequent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bridging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recreated,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brokering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customers.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remote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bridging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Kenya,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explores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professional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training,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advisory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vulnerability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seedlings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2.9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transmission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distinguished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representation;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textual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(books,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manuscripts),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(graphs,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diagrams,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charts),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recordings,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pictures,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slides).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timelessness,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effectiveness,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exhaustiveness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aggregation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transfer,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linkages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imperative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(Nigeria),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88.1%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credible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advice.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acquired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delivered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Lesotho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Lesotho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seventh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84.80%.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61.7%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Lesotho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farmers/producers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arena.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rapid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profoundly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landscape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(ICT)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combines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telecommunications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acquiring,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all-inclusive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embraces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forms.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deployment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competitiveness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efficiencies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conserving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resources,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stakeholders.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narrow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feedback,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penetration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embraced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illiterate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mobile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computer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today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multimedia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recognized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emanating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colleagues,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weddings,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ceremonies,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burials,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festivals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categories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posters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leaflets,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electronic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Caribbean,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heavily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themselves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transplanting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seedlings,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answered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colleagues.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Caribbean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transmitted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colleagues.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harmonized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(2020).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(IAK)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transmitted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hugely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illiterate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favour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recognizes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indigenous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Tanzania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predominantly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(neighbors,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friends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colleagues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SARKIN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NOMA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output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sufficient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collaboration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integration;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agro-allied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non-governmental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illiteracy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officials;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machines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Failure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prioritize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Western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reception.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re-training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innovations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teeming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left"/>
        <w:textAlignment w:val="baseline"/>
        <w:rPr/>
      </w:pPr>
    </w:p>
    <w:p>
      <w:pPr>
        <w:snapToGrid w:val="false"/>
        <w:spacing w:after="200" w:lineRule="auto" w:line="480"/>
        <w:ind w:firstLine="720"/>
        <w:jc w:val="center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ind w:firstLine="720"/>
        <w:jc w:val="center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</w:p>
    <w:p>
      <w:pPr>
        <w:spacing w:before="240" w:after="200" w:lineRule="auto" w:line="480"/>
        <w:jc w:val="both"/>
        <w:rPr/>
      </w:pP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located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located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latitude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eastAsia="en-US"/>
        </w:rPr>
        <w:t>0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-32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eastAsia="en-US"/>
        </w:rPr>
        <w:t>0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North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longitude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4°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35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eastAsia="en-US"/>
        </w:rPr>
        <w:t>0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bordered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 Kogi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north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 Niger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south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 Ekiti, Osun,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 Oyo states,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western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border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makes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 international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border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Republic.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Its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capital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city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 Ilorin 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 local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(https://en.wikipedia.org/wiki/Moro)</w:t>
      </w:r>
    </w:p>
    <w:p>
      <w:pPr>
        <w:spacing w:before="240" w:after="200" w:lineRule="auto" w:line="480"/>
        <w:jc w:val="both"/>
        <w:rPr/>
      </w:pP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(LGA)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North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projected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108,792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2006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census,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area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3,272 km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superscript"/>
          <w:em w:val="none"/>
          <w:lang w:val="en-US" w:eastAsia="en-US"/>
        </w:rPr>
        <w:t>2.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There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approximately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13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02 mm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rain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every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year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Ilorin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East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LGA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average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annual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temperature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is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34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superscript"/>
          <w:em w:val="none"/>
          <w:lang w:val="en-US" w:eastAsia="en-US"/>
        </w:rPr>
        <w:t>o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With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average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humidity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70%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88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dry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days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per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year. (</w:t>
      </w:r>
      <w:r>
        <w:rPr/>
        <w:fldChar w:fldCharType="begin"/>
      </w:r>
      <w:r>
        <w:instrText xml:space="preserve"> HYPERLINK "http://www.besttimetovisit.com" </w:instrText>
      </w:r>
      <w:r>
        <w:rPr/>
        <w:fldChar w:fldCharType="separate"/>
      </w:r>
      <w:r>
        <w:rPr>
          <w:rStyle w:val="style85"/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0000ff"/>
          <w:sz w:val="24"/>
          <w:szCs w:val="24"/>
          <w:highlight w:val="none"/>
          <w:u w:val="single" w:color="auto"/>
          <w:shd w:val="clear" w:color="ffffff" w:fill="ffffff"/>
          <w:vertAlign w:val="baseline"/>
          <w:em w:val="none"/>
          <w:lang w:val="en-US" w:eastAsia="en-US"/>
        </w:rPr>
        <w:t>www.besttimetovisit.com</w:t>
      </w:r>
      <w:r>
        <w:rPr/>
        <w:fldChar w:fldCharType="end"/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.pk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Retrieved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2023-09-30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).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current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population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projected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2022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is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163,200.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2021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(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Commission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(web),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Bureau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(web)2022)</w:t>
      </w: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5534025" cy="317182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34025" cy="3171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Figure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Map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showing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sixteen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left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smallholder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maize,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yam,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cassava,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guinea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agencies,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NGOs,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private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delivering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services.</w:t>
      </w: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employed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Ilorin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LGA,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fifteen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hundred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fifty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(150)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English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Language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divided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(3)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fashioned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elicit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comparison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digital/modern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digital/modern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i.e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test-retest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entirely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outside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(frequency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percentage,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inferential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(Pearson's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coefficient)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hypothesis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snapToGrid w:val="false"/>
        <w:spacing w:after="200" w:lineRule="auto" w:line="480"/>
        <w:jc w:val="left"/>
        <w:textAlignment w:val="baseline"/>
        <w:rPr/>
      </w:pPr>
    </w:p>
    <w:p>
      <w:pPr>
        <w:snapToGrid w:val="false"/>
        <w:spacing w:after="200" w:lineRule="auto" w:line="480"/>
        <w:jc w:val="left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3.7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Marital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marital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Separated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Widowed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Primary=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Tertiary=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Household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occupation: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occupation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Membership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membership=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Average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Naira.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480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napToGrid w:val="false"/>
        <w:spacing w:after="200" w:lineRule="auto" w:line="276"/>
        <w:jc w:val="both"/>
        <w:textAlignment w:val="baseline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Undecided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Strongly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Disagree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snapToGrid w:val="false"/>
        <w:spacing w:after="200" w:lineRule="auto" w:line="276"/>
        <w:jc w:val="center"/>
        <w:textAlignment w:val="baseline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character" w:styleId="style85">
    <w:name w:val="Hyperlink"/>
    <w:basedOn w:val="style65"/>
    <w:next w:val="style4094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7060</Words>
  <Characters>41558</Characters>
  <Application>WPS Office</Application>
  <Paragraphs>101</Paragraphs>
  <CharactersWithSpaces>48617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2025-07-01T08:42:04Z</dcterms:created>
  <dc:creator>Infinix X6882B</dc:creator>
  <lastModifiedBy>Infinix X6882B</lastModifiedBy>
  <dcterms:modified xsi:type="dcterms:W3CDTF">2025-07-01T08:43:56Z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78303a7964fe40fdb666b9e874ceb055</vt:lpwstr>
  </property>
</Properties>
</file>