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48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spacing w:after="20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beneficiary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Twenty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(G20)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jointly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Ugwu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Kanu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decades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self-sufficiency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guarantee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comprehensive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Millennium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(MDG),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governance.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Ozowa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Oladele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labour,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replenishment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Oladele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arguably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Alao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recipe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recipes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externalities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externalities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favourable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(Rasheed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Adebayo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(farmers)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abstract,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(Bello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derivative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economy;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backbone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constraints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(Zhou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Zhu,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policymakers,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chain.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(Taiwo,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(Harmsworth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&amp;Turpin,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Bello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input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(Ofuoko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Itedjere,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tailored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exports,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workforce,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earnings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25.8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Domestic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Kolawole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small-scale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peasant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subsistence.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Daniel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Elijah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(URT)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nation-wide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Sabasaba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7/7)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Nanenane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August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8/8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Kiswahili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title)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festivals,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Kiswahili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slogans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Kilimo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Kwanza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seminars,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festivals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</w:p>
    <w:p>
      <w:pPr>
        <w:snapToGrid w:val="false"/>
        <w:spacing w:after="200" w:lineRule="auto" w:line="480"/>
        <w:jc w:val="left"/>
        <w:textAlignment w:val="baseline"/>
        <w:rPr/>
      </w:pP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harvest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(Lucky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Achebe,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Andima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entails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Mutula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drought-resistant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diseases.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</w:p>
    <w:p>
      <w:pPr>
        <w:tabs>
          <w:tab w:val="center" w:leader="none" w:pos="4680"/>
        </w:tabs>
        <w:snapToGrid w:val="false"/>
        <w:spacing w:after="200" w:lineRule="auto" w:line="276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to:</w:t>
      </w:r>
      <w:r>
        <w:tab/>
      </w:r>
    </w:p>
    <w:p>
      <w:pPr>
        <w:snapToGrid w:val="false"/>
        <w:spacing w:after="200" w:lineRule="auto" w:line="276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effectiveness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276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</w:p>
    <w:p>
      <w:pPr>
        <w:snapToGrid w:val="false"/>
        <w:spacing w:after="200" w:lineRule="auto" w:line="276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accessibility,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farmer's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practices.</w:t>
      </w:r>
    </w:p>
    <w:p>
      <w:pPr>
        <w:snapToGrid w:val="false"/>
        <w:spacing w:after="200" w:lineRule="auto" w:line="276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iii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</w:p>
    <w:p>
      <w:pPr>
        <w:pStyle w:val="style0"/>
        <w:snapToGrid w:val="false"/>
        <w:spacing w:after="200" w:lineRule="auto" w:line="480"/>
        <w:jc w:val="both"/>
        <w:textAlignment w:val="baseline"/>
        <w:rPr/>
      </w:pP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subscript"/>
          <w:em w:val="none"/>
          <w:lang w:val="en-US" w:eastAsia="en-US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difference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Justification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Looking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deployment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elements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together.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4G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technologies,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functionality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(GPS,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Remote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Sensing,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GIS)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applied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formalization.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spatial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component,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spatial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service.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already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integrated,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e.g.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intelligent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fertilizer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future,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emerging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strategy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policy.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Government-lead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mechanism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discussed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earlier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dominant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models.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people’s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diffusion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(Adeola,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absolutely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deploying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models.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access,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utilize,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respond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farmers’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literacy,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level,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system’s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willingness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effectiveness.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models.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ICT-based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suggestions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developers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(Yusuf,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Comparative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Analysis: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distinguishing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similarities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difference.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anaylse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idea,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problem,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question,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conducting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comparative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response.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brokering.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middle-income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viz;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enterprise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(AES)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profitability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Information: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television,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newspapers,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pamphlets,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banners,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handbills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hand-outs.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 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1968</Words>
  <Characters>12189</Characters>
  <Application>WPS Office</Application>
  <Paragraphs>33</Paragraphs>
  <CharactersWithSpaces>14142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2025-07-01T08:40:18Z</dcterms:created>
  <dc:creator>Infinix X6882B</dc:creator>
  <lastModifiedBy>Infinix X6882B</lastModifiedBy>
  <dcterms:modified xsi:type="dcterms:W3CDTF">2025-07-01T08:41:24Z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bb30590ce16b42529225dd0a3d7e259d</vt:lpwstr>
  </property>
</Properties>
</file>