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721D" w14:textId="77777777" w:rsidR="005744B8" w:rsidRPr="00172A13" w:rsidRDefault="005744B8" w:rsidP="005744B8">
      <w:pPr>
        <w:jc w:val="center"/>
        <w:rPr>
          <w:rFonts w:ascii="Times New Roman" w:hAnsi="Times New Roman" w:cs="Times New Roman"/>
          <w:b/>
          <w:sz w:val="24"/>
          <w:szCs w:val="24"/>
        </w:rPr>
      </w:pPr>
      <w:r w:rsidRPr="00172A13">
        <w:rPr>
          <w:rFonts w:ascii="Times New Roman" w:hAnsi="Times New Roman" w:cs="Times New Roman"/>
          <w:b/>
          <w:sz w:val="24"/>
          <w:szCs w:val="24"/>
        </w:rPr>
        <w:t>CHAPTER THREE</w:t>
      </w:r>
    </w:p>
    <w:p w14:paraId="5ED1794E" w14:textId="77777777" w:rsidR="005744B8" w:rsidRDefault="005744B8" w:rsidP="005744B8">
      <w:pPr>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25279D13" w14:textId="77777777" w:rsidR="005744B8" w:rsidRPr="009C4242" w:rsidRDefault="005744B8" w:rsidP="005744B8">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2.1 Overview of Poultry Farming in Nigeria and Asa Local Government Area</w:t>
      </w:r>
    </w:p>
    <w:p w14:paraId="7BC19F6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83303F">
        <w:rPr>
          <w:rFonts w:ascii="Times New Roman" w:hAnsi="Times New Roman" w:cs="Times New Roman"/>
          <w:sz w:val="24"/>
          <w:szCs w:val="24"/>
        </w:rPr>
        <w:t>Irohibe</w:t>
      </w:r>
      <w:proofErr w:type="spellEnd"/>
      <w:r w:rsidRPr="0083303F">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14:paraId="4E0DAA94" w14:textId="77777777" w:rsidR="005744B8" w:rsidRPr="0083303F" w:rsidRDefault="005744B8" w:rsidP="005744B8">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&amp; M.A.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14:paraId="7D55E061" w14:textId="77777777" w:rsidR="005744B8" w:rsidRPr="009C4242" w:rsidRDefault="005744B8" w:rsidP="005744B8">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 Modern Poultry Farming Techniques</w:t>
      </w:r>
    </w:p>
    <w:p w14:paraId="628DE9A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794A057B" w14:textId="77777777" w:rsidR="005744B8" w:rsidRPr="009C4242" w:rsidRDefault="005744B8" w:rsidP="005744B8">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 xml:space="preserve">2.2.1 Improved Breeds </w:t>
      </w:r>
    </w:p>
    <w:p w14:paraId="27C1410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3BE7D759" w14:textId="77777777" w:rsidR="005744B8" w:rsidRPr="009C4242" w:rsidRDefault="005744B8" w:rsidP="005744B8">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2.2.2 Biosecurity and Disease Management</w:t>
      </w:r>
    </w:p>
    <w:p w14:paraId="483D4135"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14:paraId="70FB59DB"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2.2.3 Automated Systems</w:t>
      </w:r>
    </w:p>
    <w:p w14:paraId="75B30AF6"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14:paraId="70B8687D"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2.2.4 Improved Poultry Housing Systems </w:t>
      </w:r>
    </w:p>
    <w:p w14:paraId="6D8D7D9E"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According to </w:t>
      </w:r>
      <w:proofErr w:type="spellStart"/>
      <w:r w:rsidRPr="0083303F">
        <w:rPr>
          <w:rFonts w:ascii="Times New Roman" w:hAnsi="Times New Roman" w:cs="Times New Roman"/>
          <w:sz w:val="24"/>
          <w:szCs w:val="24"/>
        </w:rPr>
        <w:t>Omonona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Olayanju</w:t>
      </w:r>
      <w:proofErr w:type="spellEnd"/>
      <w:r w:rsidRPr="0083303F">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6818FA20"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2.2.5 Selective Breeding and Genetic Improvement</w:t>
      </w:r>
    </w:p>
    <w:p w14:paraId="214094D7"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459AAF35"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2.2.6 Feed Management and Nutritional Practices</w:t>
      </w:r>
    </w:p>
    <w:p w14:paraId="5A405972"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71B45868"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 Factors Influencing the Adoption of Modern Poultry Techniques</w:t>
      </w:r>
    </w:p>
    <w:p w14:paraId="2EB0807F"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14:paraId="443E6593" w14:textId="77777777" w:rsidR="005744B8" w:rsidRDefault="005744B8" w:rsidP="005744B8">
      <w:pPr>
        <w:spacing w:line="360" w:lineRule="auto"/>
        <w:jc w:val="both"/>
        <w:rPr>
          <w:rFonts w:ascii="Times New Roman" w:hAnsi="Times New Roman" w:cs="Times New Roman"/>
          <w:sz w:val="24"/>
          <w:szCs w:val="24"/>
        </w:rPr>
      </w:pPr>
    </w:p>
    <w:p w14:paraId="28CB7F49" w14:textId="77777777" w:rsidR="005744B8" w:rsidRDefault="005744B8" w:rsidP="005744B8">
      <w:pPr>
        <w:spacing w:line="360" w:lineRule="auto"/>
        <w:jc w:val="both"/>
        <w:rPr>
          <w:rFonts w:ascii="Times New Roman" w:hAnsi="Times New Roman" w:cs="Times New Roman"/>
          <w:sz w:val="24"/>
          <w:szCs w:val="24"/>
        </w:rPr>
      </w:pPr>
    </w:p>
    <w:p w14:paraId="21DEE6EB"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2.3.1 Education and Knowledge Transfer</w:t>
      </w:r>
    </w:p>
    <w:p w14:paraId="7F4D7F36"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modern farming techniques by offering training and extension services to small-scale poultry farmers.</w:t>
      </w:r>
    </w:p>
    <w:p w14:paraId="5B164383"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2.3.2 Farmers' Age and Experience</w:t>
      </w:r>
    </w:p>
    <w:p w14:paraId="0028CD0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384EA0F2"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2.3.3 Access to Resources</w:t>
      </w:r>
    </w:p>
    <w:p w14:paraId="3B81331E"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Tijani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6692C789"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2.3.4 Farm Size and Resource Availability</w:t>
      </w:r>
    </w:p>
    <w:p w14:paraId="27FDB11B"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Larger farms with more resources are often better able to afford and implement modern techniques. </w:t>
      </w:r>
      <w:proofErr w:type="spellStart"/>
      <w:r w:rsidRPr="0083303F">
        <w:rPr>
          <w:rFonts w:ascii="Times New Roman" w:hAnsi="Times New Roman" w:cs="Times New Roman"/>
          <w:sz w:val="24"/>
          <w:szCs w:val="24"/>
        </w:rPr>
        <w:t>Bamire</w:t>
      </w:r>
      <w:proofErr w:type="spellEnd"/>
      <w:r w:rsidRPr="0083303F">
        <w:rPr>
          <w:rFonts w:ascii="Times New Roman" w:hAnsi="Times New Roman" w:cs="Times New Roman"/>
          <w:sz w:val="24"/>
          <w:szCs w:val="24"/>
        </w:rPr>
        <w:t xml:space="preserve"> &amp; Olayemi (2020) found that farmers with larger poultry farms in Kwara State are more likely to invest in modern technologies, as they have a higher output and can absorb the costs of such investments.</w:t>
      </w:r>
    </w:p>
    <w:p w14:paraId="4A802695"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2.3.5 Extension Services and Peer Influence</w:t>
      </w:r>
    </w:p>
    <w:p w14:paraId="315510CD"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83303F">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(2020).</w:t>
      </w:r>
    </w:p>
    <w:p w14:paraId="277246D1"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 Barriers to the Adoption of Modern Techniques</w:t>
      </w:r>
    </w:p>
    <w:p w14:paraId="66137832"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14:paraId="13F6FFD1"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2.4.1 Financial Constraints</w:t>
      </w:r>
    </w:p>
    <w:p w14:paraId="05C0ACC0"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14:paraId="4BB00197"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2.4.2 Limited Access to Information</w:t>
      </w:r>
    </w:p>
    <w:p w14:paraId="3A39CE67"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Lack of access to relevant, up-to-date information on modern techniques is another critical challenge. Sulaimon &amp; </w:t>
      </w:r>
      <w:proofErr w:type="spellStart"/>
      <w:r w:rsidRPr="0083303F">
        <w:rPr>
          <w:rFonts w:ascii="Times New Roman" w:hAnsi="Times New Roman" w:cs="Times New Roman"/>
          <w:sz w:val="24"/>
          <w:szCs w:val="24"/>
        </w:rPr>
        <w:t>Fagbohun</w:t>
      </w:r>
      <w:proofErr w:type="spellEnd"/>
      <w:r w:rsidRPr="0083303F">
        <w:rPr>
          <w:rFonts w:ascii="Times New Roman" w:hAnsi="Times New Roman" w:cs="Times New Roman"/>
          <w:sz w:val="24"/>
          <w:szCs w:val="24"/>
        </w:rPr>
        <w:t xml:space="preserve"> (2019) found that many small-scale farmers in Kwara State are unaware of the latest farming innovations. Extension services, though available, are often ineffective due to the lack of resources and inadequate training.</w:t>
      </w:r>
    </w:p>
    <w:p w14:paraId="56B0295F"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2.4.3 Cultural Resistance</w:t>
      </w:r>
    </w:p>
    <w:p w14:paraId="3F300731"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Cultural factors play a role in resistance to adopting modern practices. Ibraheem &amp; Ojo (2021) argued that some farmers in rural areas, </w:t>
      </w:r>
      <w:proofErr w:type="spellStart"/>
      <w:r w:rsidRPr="0083303F">
        <w:rPr>
          <w:rFonts w:ascii="Times New Roman" w:hAnsi="Times New Roman" w:cs="Times New Roman"/>
          <w:sz w:val="24"/>
          <w:szCs w:val="24"/>
        </w:rPr>
        <w:t>includinyg</w:t>
      </w:r>
      <w:proofErr w:type="spellEnd"/>
      <w:r w:rsidRPr="0083303F">
        <w:rPr>
          <w:rFonts w:ascii="Times New Roman" w:hAnsi="Times New Roman" w:cs="Times New Roman"/>
          <w:sz w:val="24"/>
          <w:szCs w:val="24"/>
        </w:rPr>
        <w:t xml:space="preserve"> Asa LGA, are reluctant to embrace changes due to traditional beliefs or past experiences with failed attempts at modernizing their farms.</w:t>
      </w:r>
    </w:p>
    <w:p w14:paraId="3090A8EF"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2.4.4 Lack of Infrastructure</w:t>
      </w:r>
    </w:p>
    <w:p w14:paraId="38ADB34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7AC2F464"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2.5 Benefits of Adopting Modern Techniques in Poultry Farming</w:t>
      </w:r>
    </w:p>
    <w:p w14:paraId="2426A57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14:paraId="79A70A9D"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2.5.1 Increased Productivity and Profitability</w:t>
      </w:r>
    </w:p>
    <w:p w14:paraId="184F2C50"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As noted by </w:t>
      </w:r>
      <w:proofErr w:type="spellStart"/>
      <w:r w:rsidRPr="0083303F">
        <w:rPr>
          <w:rFonts w:ascii="Times New Roman" w:hAnsi="Times New Roman" w:cs="Times New Roman"/>
          <w:sz w:val="24"/>
          <w:szCs w:val="24"/>
        </w:rPr>
        <w:t>Nwaobiala</w:t>
      </w:r>
      <w:proofErr w:type="spellEnd"/>
      <w:r w:rsidRPr="0083303F">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14:paraId="3063B588"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2.5.2 Improved Disease Management</w:t>
      </w:r>
    </w:p>
    <w:p w14:paraId="7C37EC48"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14:paraId="08708A1C"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2.5.3 Environmental Benefits</w:t>
      </w:r>
    </w:p>
    <w:p w14:paraId="606F02B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14:paraId="1DC78584"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2.5.4 Improved Livelihoods</w:t>
      </w:r>
    </w:p>
    <w:p w14:paraId="0A59CF6E" w14:textId="77777777" w:rsidR="005744B8" w:rsidRPr="0083303F" w:rsidRDefault="005744B8" w:rsidP="005744B8">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Ogunlela</w:t>
      </w:r>
      <w:proofErr w:type="spellEnd"/>
      <w:r w:rsidRPr="0083303F">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32776476"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2.6 Studies on the Adoption of Modern Poultry Techniques in Nigeria</w:t>
      </w:r>
    </w:p>
    <w:p w14:paraId="2955D0DF"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83303F">
        <w:rPr>
          <w:rFonts w:ascii="Times New Roman" w:hAnsi="Times New Roman" w:cs="Times New Roman"/>
          <w:sz w:val="24"/>
          <w:szCs w:val="24"/>
        </w:rPr>
        <w:t>Okunlola</w:t>
      </w:r>
      <w:proofErr w:type="spellEnd"/>
      <w:r w:rsidRPr="0083303F">
        <w:rPr>
          <w:rFonts w:ascii="Times New Roman" w:hAnsi="Times New Roman" w:cs="Times New Roman"/>
          <w:sz w:val="24"/>
          <w:szCs w:val="24"/>
        </w:rPr>
        <w:t xml:space="preserve"> &amp; Sulaimon (2020) conducted a study in Kwara State that explored the adoption of hybrid poultry breeds and automated feeding systems. They found that while farmers in the region </w:t>
      </w:r>
      <w:r w:rsidRPr="0083303F">
        <w:rPr>
          <w:rFonts w:ascii="Times New Roman" w:hAnsi="Times New Roman" w:cs="Times New Roman"/>
          <w:sz w:val="24"/>
          <w:szCs w:val="24"/>
        </w:rPr>
        <w:lastRenderedPageBreak/>
        <w:t>generally preferred traditional practices, those who had access to extension services and financial support were more willing to adopt modern practices.</w:t>
      </w:r>
    </w:p>
    <w:p w14:paraId="5C3AB1DC"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52C61D43"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 Theoretical Framework for the Study</w:t>
      </w:r>
    </w:p>
    <w:p w14:paraId="155D731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3D15652B"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2.7.1 Diffusion of Innovation Theory (Rogers, 1962)</w:t>
      </w:r>
    </w:p>
    <w:p w14:paraId="78D6E95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explains how, why, and at what rate new ideas and technologies spread within a community. It focuses on:</w:t>
      </w:r>
    </w:p>
    <w:p w14:paraId="67C30D84"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Innovators: Farmers who first adopt modern techniques.</w:t>
      </w:r>
    </w:p>
    <w:p w14:paraId="40EA697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Early Adopters: Influential farmers who encourage others to adopt.</w:t>
      </w:r>
    </w:p>
    <w:p w14:paraId="7BDD5611"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Early Majority and Late Majority: The bulk of the community who adopt after </w:t>
      </w:r>
      <w:r>
        <w:rPr>
          <w:rFonts w:ascii="Times New Roman" w:hAnsi="Times New Roman" w:cs="Times New Roman"/>
          <w:sz w:val="24"/>
          <w:szCs w:val="24"/>
        </w:rPr>
        <w:t xml:space="preserve">  </w:t>
      </w:r>
    </w:p>
    <w:p w14:paraId="753BC7D4"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seeing results.</w:t>
      </w:r>
    </w:p>
    <w:p w14:paraId="116E016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Laggards: Farmers resistant to change.</w:t>
      </w:r>
    </w:p>
    <w:p w14:paraId="4437DFB2"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2E8D9A5D"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14:paraId="0967AE71"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Relevance: This theory helps explain why adoption rates differ among small-scale farmers and how to design interventions for better adoption.</w:t>
      </w:r>
    </w:p>
    <w:p w14:paraId="699BD18E" w14:textId="77777777" w:rsidR="005744B8" w:rsidRDefault="005744B8" w:rsidP="005744B8">
      <w:pPr>
        <w:spacing w:line="360" w:lineRule="auto"/>
        <w:jc w:val="both"/>
        <w:rPr>
          <w:rFonts w:ascii="Times New Roman" w:hAnsi="Times New Roman" w:cs="Times New Roman"/>
          <w:b/>
          <w:sz w:val="24"/>
          <w:szCs w:val="24"/>
        </w:rPr>
      </w:pPr>
    </w:p>
    <w:p w14:paraId="19C330BF"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2.7.2 Rural Sociology Theory</w:t>
      </w:r>
    </w:p>
    <w:p w14:paraId="7031C209"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focuses on the relationship between rural communities and the adoption of agricultural technologies. It highlights the role of:</w:t>
      </w:r>
    </w:p>
    <w:p w14:paraId="3FEDCB61"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Traditional Practices: How cultural norms influence the willingness to adopt </w:t>
      </w:r>
    </w:p>
    <w:p w14:paraId="20A028AC"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modern farming methods.</w:t>
      </w:r>
    </w:p>
    <w:p w14:paraId="3B451F8F"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Social Capital: The role of community groups and networks in facilitating </w:t>
      </w:r>
    </w:p>
    <w:p w14:paraId="65D878F4"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knowledge sharing and technology transfer.</w:t>
      </w:r>
    </w:p>
    <w:p w14:paraId="3CA517D6"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Community-Based Approaches: Emphasis on participatory decision-making, </w:t>
      </w:r>
    </w:p>
    <w:p w14:paraId="24903580"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whic</w:t>
      </w:r>
      <w:r>
        <w:rPr>
          <w:rFonts w:ascii="Times New Roman" w:hAnsi="Times New Roman" w:cs="Times New Roman"/>
          <w:sz w:val="24"/>
          <w:szCs w:val="24"/>
        </w:rPr>
        <w:t>h</w:t>
      </w:r>
      <w:r w:rsidRPr="0083303F">
        <w:rPr>
          <w:rFonts w:ascii="Times New Roman" w:hAnsi="Times New Roman" w:cs="Times New Roman"/>
          <w:sz w:val="24"/>
          <w:szCs w:val="24"/>
        </w:rPr>
        <w:t xml:space="preserve"> ensures inclusivity and relevance of innovations.</w:t>
      </w:r>
    </w:p>
    <w:p w14:paraId="4B613149"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important for understanding the societal structures in Asa Local Government Area that influence the adoption of poultry farming innovations.</w:t>
      </w:r>
    </w:p>
    <w:p w14:paraId="6AACA9CA" w14:textId="77777777" w:rsidR="005744B8" w:rsidRPr="00851B3A" w:rsidRDefault="005744B8" w:rsidP="005744B8">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2.7.3 Sustainable Livelihoods Framework (SLF)</w:t>
      </w:r>
    </w:p>
    <w:p w14:paraId="7CFA9647"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SLF by Chambers and Conway (1992) examines how farmers’ livelihoods influence their ability to adopt innovations. It focuses on:</w:t>
      </w:r>
    </w:p>
    <w:p w14:paraId="34641136"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Human capital: Skills, training, and knowledge of modern techniques.</w:t>
      </w:r>
    </w:p>
    <w:p w14:paraId="7DF52259"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Social capital: Support from farmer associations and cooperative groups.</w:t>
      </w:r>
    </w:p>
    <w:p w14:paraId="4033B97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Financial capital: Availability of credit or subsidies.</w:t>
      </w:r>
    </w:p>
    <w:p w14:paraId="1B5E5A34"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Physical capital: Infrastructure such as roads, electricity, and poultry housing.</w:t>
      </w:r>
    </w:p>
    <w:p w14:paraId="0DB7462D"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Natural capital: Access to land and other natural resources.</w:t>
      </w:r>
    </w:p>
    <w:p w14:paraId="4B0BD230"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Farmers with better financial access may adopt advanced housing techniques to protect birds from weather and predators.</w:t>
      </w:r>
    </w:p>
    <w:p w14:paraId="1F8B4ADD"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Relevance: Explores how resources and socio-economic factors affect adoption.</w:t>
      </w:r>
    </w:p>
    <w:p w14:paraId="3DC3C871" w14:textId="77777777" w:rsidR="005744B8" w:rsidRPr="00851B3A" w:rsidRDefault="005744B8" w:rsidP="005744B8">
      <w:pPr>
        <w:spacing w:line="360" w:lineRule="auto"/>
        <w:jc w:val="both"/>
        <w:rPr>
          <w:rFonts w:ascii="Times New Roman" w:hAnsi="Times New Roman" w:cs="Times New Roman"/>
          <w:b/>
          <w:sz w:val="24"/>
          <w:szCs w:val="24"/>
        </w:rPr>
      </w:pPr>
      <w:proofErr w:type="gramStart"/>
      <w:r w:rsidRPr="00851B3A">
        <w:rPr>
          <w:rFonts w:ascii="Times New Roman" w:hAnsi="Times New Roman" w:cs="Times New Roman"/>
          <w:b/>
          <w:sz w:val="24"/>
          <w:szCs w:val="24"/>
        </w:rPr>
        <w:t>2.7.4  Rational</w:t>
      </w:r>
      <w:proofErr w:type="gramEnd"/>
      <w:r w:rsidRPr="00851B3A">
        <w:rPr>
          <w:rFonts w:ascii="Times New Roman" w:hAnsi="Times New Roman" w:cs="Times New Roman"/>
          <w:b/>
          <w:sz w:val="24"/>
          <w:szCs w:val="24"/>
        </w:rPr>
        <w:t xml:space="preserve"> Choice Theory</w:t>
      </w:r>
    </w:p>
    <w:p w14:paraId="1AED6DD2"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assumes that farmers make decisions based on a cost-benefit analysis. It considers:</w:t>
      </w:r>
    </w:p>
    <w:p w14:paraId="219AD1CE"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ab/>
        <w:t>•</w:t>
      </w:r>
      <w:r w:rsidRPr="0083303F">
        <w:rPr>
          <w:rFonts w:ascii="Times New Roman" w:hAnsi="Times New Roman" w:cs="Times New Roman"/>
          <w:sz w:val="24"/>
          <w:szCs w:val="24"/>
        </w:rPr>
        <w:tab/>
        <w:t xml:space="preserve">Economic Incentives: Expected increases in income or reduced costs from adopting </w:t>
      </w:r>
    </w:p>
    <w:p w14:paraId="4B6F8E5F"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                             modern techniques.</w:t>
      </w:r>
    </w:p>
    <w:p w14:paraId="11B5B7BE"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Risk Perception: Concerns about investment failure, particularly in resource-</w:t>
      </w:r>
    </w:p>
    <w:p w14:paraId="0356B6B7"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constrained settings.</w:t>
      </w:r>
    </w:p>
    <w:p w14:paraId="30AC30EC"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Utility Maximization: The farmer’s desire to maximize productivity and </w:t>
      </w:r>
    </w:p>
    <w:p w14:paraId="58DD882D"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profitability through rational choices.</w:t>
      </w:r>
    </w:p>
    <w:p w14:paraId="45BE1A4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useful for analyzing how small-scale farmers weigh the benefits of modern techniques against potential risks and costs.</w:t>
      </w:r>
    </w:p>
    <w:p w14:paraId="2902561B" w14:textId="77777777" w:rsidR="005744B8" w:rsidRPr="001C72F9" w:rsidRDefault="005744B8" w:rsidP="005744B8">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2.7.5  Social</w:t>
      </w:r>
      <w:proofErr w:type="gramEnd"/>
      <w:r w:rsidRPr="001C72F9">
        <w:rPr>
          <w:rFonts w:ascii="Times New Roman" w:hAnsi="Times New Roman" w:cs="Times New Roman"/>
          <w:b/>
          <w:sz w:val="24"/>
          <w:szCs w:val="24"/>
        </w:rPr>
        <w:t xml:space="preserve"> Exchange Theory</w:t>
      </w:r>
    </w:p>
    <w:p w14:paraId="59AE1483"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posits that individuals adopt new practices based on the perceived benefits of engaging in exchange relationships. For poultry farmers:</w:t>
      </w:r>
    </w:p>
    <w:p w14:paraId="0655C31B"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Knowledge Exchange: Learning from peers or extension services.</w:t>
      </w:r>
    </w:p>
    <w:p w14:paraId="232A8A4C"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Resource Sharing: Accessing group-based financial resources or shared </w:t>
      </w:r>
    </w:p>
    <w:p w14:paraId="320854E2"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infrastructure.</w:t>
      </w:r>
    </w:p>
    <w:p w14:paraId="04AD42B0"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 Support: The social reinforcement and motivation from successful </w:t>
      </w:r>
    </w:p>
    <w:p w14:paraId="05E41296"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adopters within the community.</w:t>
      </w:r>
    </w:p>
    <w:p w14:paraId="19A9C442"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Social exchange theory is helpful for understanding how small-scale farmers collaborate and influence each other in adopting new practices.</w:t>
      </w:r>
    </w:p>
    <w:p w14:paraId="20DAE18F" w14:textId="77777777" w:rsidR="005744B8" w:rsidRPr="001C72F9" w:rsidRDefault="005744B8" w:rsidP="005744B8">
      <w:pPr>
        <w:spacing w:line="360" w:lineRule="auto"/>
        <w:jc w:val="both"/>
        <w:rPr>
          <w:rFonts w:ascii="Times New Roman" w:hAnsi="Times New Roman" w:cs="Times New Roman"/>
          <w:b/>
          <w:sz w:val="24"/>
          <w:szCs w:val="24"/>
        </w:rPr>
      </w:pPr>
      <w:proofErr w:type="gramStart"/>
      <w:r w:rsidRPr="001C72F9">
        <w:rPr>
          <w:rFonts w:ascii="Times New Roman" w:hAnsi="Times New Roman" w:cs="Times New Roman"/>
          <w:b/>
          <w:sz w:val="24"/>
          <w:szCs w:val="24"/>
        </w:rPr>
        <w:t>2.7.6  Human</w:t>
      </w:r>
      <w:proofErr w:type="gramEnd"/>
      <w:r w:rsidRPr="001C72F9">
        <w:rPr>
          <w:rFonts w:ascii="Times New Roman" w:hAnsi="Times New Roman" w:cs="Times New Roman"/>
          <w:b/>
          <w:sz w:val="24"/>
          <w:szCs w:val="24"/>
        </w:rPr>
        <w:t xml:space="preserve"> Capital Theory</w:t>
      </w:r>
    </w:p>
    <w:p w14:paraId="080BECAA"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Human capital theory suggests that the skills, knowledge, and experience of farmers influence their ability to adopt modern techniques. Key aspects include:</w:t>
      </w:r>
    </w:p>
    <w:p w14:paraId="4C82F4B2"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Education Levels: Farmers with higher levels of education are more likely to </w:t>
      </w:r>
    </w:p>
    <w:p w14:paraId="56F240AE"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03F">
        <w:rPr>
          <w:rFonts w:ascii="Times New Roman" w:hAnsi="Times New Roman" w:cs="Times New Roman"/>
          <w:sz w:val="24"/>
          <w:szCs w:val="24"/>
        </w:rPr>
        <w:t>understand and implement innovations.</w:t>
      </w:r>
    </w:p>
    <w:p w14:paraId="26A84242" w14:textId="77777777" w:rsidR="005744B8"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Training Programs: Extension services and workshops enhance farmers’ capacity </w:t>
      </w:r>
    </w:p>
    <w:p w14:paraId="200298CC" w14:textId="77777777" w:rsidR="005744B8" w:rsidRPr="0083303F" w:rsidRDefault="005744B8" w:rsidP="005744B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3303F">
        <w:rPr>
          <w:rFonts w:ascii="Times New Roman" w:hAnsi="Times New Roman" w:cs="Times New Roman"/>
          <w:sz w:val="24"/>
          <w:szCs w:val="24"/>
        </w:rPr>
        <w:t>to adopt and sustain modern practices.</w:t>
      </w:r>
    </w:p>
    <w:p w14:paraId="1EAC9424" w14:textId="77777777" w:rsidR="005744B8" w:rsidRPr="0083303F" w:rsidRDefault="005744B8" w:rsidP="005744B8">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Experience: Experienced farmers may be more adaptable to new technologies.</w:t>
      </w:r>
    </w:p>
    <w:p w14:paraId="7D42BAF7" w14:textId="77777777" w:rsidR="005744B8" w:rsidRDefault="005744B8"/>
    <w:sectPr w:rsidR="00574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B8"/>
    <w:rsid w:val="0006440C"/>
    <w:rsid w:val="005744B8"/>
    <w:rsid w:val="0092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F899"/>
  <w15:chartTrackingRefBased/>
  <w15:docId w15:val="{6325B85C-0CEF-44E6-9377-212EE94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B8"/>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744B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4B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4B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4B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44B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44B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44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44B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44B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4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4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4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4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4B8"/>
    <w:rPr>
      <w:rFonts w:eastAsiaTheme="majorEastAsia" w:cstheme="majorBidi"/>
      <w:color w:val="272727" w:themeColor="text1" w:themeTint="D8"/>
    </w:rPr>
  </w:style>
  <w:style w:type="paragraph" w:styleId="Title">
    <w:name w:val="Title"/>
    <w:basedOn w:val="Normal"/>
    <w:next w:val="Normal"/>
    <w:link w:val="TitleChar"/>
    <w:uiPriority w:val="10"/>
    <w:qFormat/>
    <w:rsid w:val="005744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4B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4B8"/>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44B8"/>
    <w:rPr>
      <w:i/>
      <w:iCs/>
      <w:color w:val="404040" w:themeColor="text1" w:themeTint="BF"/>
    </w:rPr>
  </w:style>
  <w:style w:type="paragraph" w:styleId="ListParagraph">
    <w:name w:val="List Paragraph"/>
    <w:basedOn w:val="Normal"/>
    <w:uiPriority w:val="34"/>
    <w:qFormat/>
    <w:rsid w:val="005744B8"/>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5744B8"/>
    <w:rPr>
      <w:i/>
      <w:iCs/>
      <w:color w:val="2F5496" w:themeColor="accent1" w:themeShade="BF"/>
    </w:rPr>
  </w:style>
  <w:style w:type="paragraph" w:styleId="IntenseQuote">
    <w:name w:val="Intense Quote"/>
    <w:basedOn w:val="Normal"/>
    <w:next w:val="Normal"/>
    <w:link w:val="IntenseQuoteChar"/>
    <w:uiPriority w:val="30"/>
    <w:qFormat/>
    <w:rsid w:val="005744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44B8"/>
    <w:rPr>
      <w:i/>
      <w:iCs/>
      <w:color w:val="2F5496" w:themeColor="accent1" w:themeShade="BF"/>
    </w:rPr>
  </w:style>
  <w:style w:type="character" w:styleId="IntenseReference">
    <w:name w:val="Intense Reference"/>
    <w:basedOn w:val="DefaultParagraphFont"/>
    <w:uiPriority w:val="32"/>
    <w:qFormat/>
    <w:rsid w:val="00574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2025-06-19T22:05:00Z</dcterms:created>
  <dcterms:modified xsi:type="dcterms:W3CDTF">2025-06-19T22:09:00Z</dcterms:modified>
</cp:coreProperties>
</file>