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B0" w:rsidRPr="00EA0579" w:rsidRDefault="007277B0" w:rsidP="007277B0">
      <w:pPr>
        <w:pStyle w:val="NoSpacing"/>
        <w:spacing w:line="276"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7277B0" w:rsidRPr="00EA0579" w:rsidRDefault="007277B0" w:rsidP="007277B0">
      <w:pPr>
        <w:pStyle w:val="NoSpacing"/>
        <w:spacing w:line="276" w:lineRule="auto"/>
        <w:jc w:val="center"/>
        <w:rPr>
          <w:rFonts w:ascii="Times New Roman" w:hAnsi="Times New Roman" w:cs="Times New Roman"/>
          <w:b/>
          <w:sz w:val="26"/>
          <w:szCs w:val="26"/>
        </w:rPr>
      </w:pPr>
      <w:r>
        <w:rPr>
          <w:rFonts w:ascii="Times New Roman" w:hAnsi="Times New Roman" w:cs="Times New Roman"/>
          <w:b/>
          <w:sz w:val="26"/>
          <w:szCs w:val="26"/>
        </w:rPr>
        <w:t>ANALYSIS AND DISCUSSION</w:t>
      </w:r>
    </w:p>
    <w:p w:rsidR="007277B0" w:rsidRDefault="007277B0" w:rsidP="007277B0">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t>4</w:t>
      </w:r>
      <w:r w:rsidRPr="00EA0579">
        <w:rPr>
          <w:rFonts w:ascii="Times New Roman" w:hAnsi="Times New Roman" w:cs="Times New Roman"/>
          <w:b/>
          <w:sz w:val="26"/>
          <w:szCs w:val="26"/>
        </w:rPr>
        <w:t>.1 INTRODUCTION</w:t>
      </w:r>
    </w:p>
    <w:p w:rsidR="00B81C42" w:rsidRPr="00B81C42" w:rsidRDefault="00B81C42" w:rsidP="00B81C42">
      <w:pPr>
        <w:pStyle w:val="NoSpacing"/>
        <w:spacing w:line="360" w:lineRule="auto"/>
        <w:jc w:val="both"/>
        <w:rPr>
          <w:rFonts w:ascii="Times New Roman" w:hAnsi="Times New Roman" w:cs="Times New Roman"/>
          <w:sz w:val="26"/>
          <w:szCs w:val="26"/>
        </w:rPr>
      </w:pPr>
      <w:r w:rsidRPr="00B81C42">
        <w:rPr>
          <w:rFonts w:ascii="Times New Roman" w:hAnsi="Times New Roman" w:cs="Times New Roman"/>
          <w:sz w:val="26"/>
          <w:szCs w:val="26"/>
        </w:rPr>
        <w:t xml:space="preserve">This chapter presents the </w:t>
      </w:r>
      <w:r w:rsidRPr="00B81C42">
        <w:rPr>
          <w:rFonts w:ascii="Times New Roman" w:hAnsi="Times New Roman" w:cs="Times New Roman"/>
          <w:bCs/>
          <w:sz w:val="26"/>
          <w:szCs w:val="26"/>
        </w:rPr>
        <w:t>analysis and discussion of the data</w:t>
      </w:r>
      <w:r w:rsidRPr="00B81C42">
        <w:rPr>
          <w:rFonts w:ascii="Times New Roman" w:hAnsi="Times New Roman" w:cs="Times New Roman"/>
          <w:sz w:val="26"/>
          <w:szCs w:val="26"/>
        </w:rPr>
        <w:t xml:space="preserve"> collected to assess the impact of the adoption of International Financial Reporting Standards (IFRS) on the </w:t>
      </w:r>
      <w:r w:rsidRPr="00B81C42">
        <w:rPr>
          <w:rFonts w:ascii="Times New Roman" w:hAnsi="Times New Roman" w:cs="Times New Roman"/>
          <w:bCs/>
          <w:sz w:val="26"/>
          <w:szCs w:val="26"/>
        </w:rPr>
        <w:t>quality of financial reporting in Deposit Money Banks in Nigeria</w:t>
      </w:r>
      <w:r w:rsidRPr="00B81C42">
        <w:rPr>
          <w:rFonts w:ascii="Times New Roman" w:hAnsi="Times New Roman" w:cs="Times New Roman"/>
          <w:sz w:val="26"/>
          <w:szCs w:val="26"/>
        </w:rPr>
        <w:t>. The analysis is guided by the objectives of the study and the research questions formulated in the preceding chapters. It also examines the hypotheses set to determine whether IFRS adoption has brought about significant improvements in financial reporting practices within the banking sector.</w:t>
      </w:r>
    </w:p>
    <w:p w:rsidR="00B81C42" w:rsidRPr="00B81C42" w:rsidRDefault="00B81C42" w:rsidP="00B81C42">
      <w:pPr>
        <w:pStyle w:val="NoSpacing"/>
        <w:spacing w:line="360" w:lineRule="auto"/>
        <w:jc w:val="both"/>
        <w:rPr>
          <w:rFonts w:ascii="Times New Roman" w:hAnsi="Times New Roman" w:cs="Times New Roman"/>
          <w:sz w:val="26"/>
          <w:szCs w:val="26"/>
        </w:rPr>
      </w:pPr>
      <w:r w:rsidRPr="00B81C42">
        <w:rPr>
          <w:rFonts w:ascii="Times New Roman" w:hAnsi="Times New Roman" w:cs="Times New Roman"/>
          <w:sz w:val="26"/>
          <w:szCs w:val="26"/>
        </w:rPr>
        <w:t xml:space="preserve">The objective of this analysis is to understand the changes in the </w:t>
      </w:r>
      <w:r w:rsidRPr="00B81C42">
        <w:rPr>
          <w:rFonts w:ascii="Times New Roman" w:hAnsi="Times New Roman" w:cs="Times New Roman"/>
          <w:bCs/>
          <w:sz w:val="26"/>
          <w:szCs w:val="26"/>
        </w:rPr>
        <w:t>transparency, reliability, timeliness, comparability</w:t>
      </w:r>
      <w:r w:rsidRPr="00B81C42">
        <w:rPr>
          <w:rFonts w:ascii="Times New Roman" w:hAnsi="Times New Roman" w:cs="Times New Roman"/>
          <w:sz w:val="26"/>
          <w:szCs w:val="26"/>
        </w:rPr>
        <w:t xml:space="preserve">, and </w:t>
      </w:r>
      <w:r w:rsidRPr="00B81C42">
        <w:rPr>
          <w:rFonts w:ascii="Times New Roman" w:hAnsi="Times New Roman" w:cs="Times New Roman"/>
          <w:bCs/>
          <w:sz w:val="26"/>
          <w:szCs w:val="26"/>
        </w:rPr>
        <w:t>accuracy</w:t>
      </w:r>
      <w:r w:rsidRPr="00B81C42">
        <w:rPr>
          <w:rFonts w:ascii="Times New Roman" w:hAnsi="Times New Roman" w:cs="Times New Roman"/>
          <w:sz w:val="26"/>
          <w:szCs w:val="26"/>
        </w:rPr>
        <w:t xml:space="preserve"> of financial statements following the transition from the Nigerian Generally Accepted Accounting Principles (NGAAP) to IFRS, which officially commenced in Nigeria in 2012. Given the complexity and high public interest in the operations of Deposit Money Banks, the relevance of high-quality financial reporting cannot be overemphasized.</w:t>
      </w:r>
    </w:p>
    <w:p w:rsidR="00B81C42" w:rsidRPr="00B81C42" w:rsidRDefault="00B81C42" w:rsidP="00B81C42">
      <w:pPr>
        <w:pStyle w:val="NoSpacing"/>
        <w:spacing w:line="360" w:lineRule="auto"/>
        <w:jc w:val="both"/>
        <w:rPr>
          <w:rFonts w:ascii="Times New Roman" w:hAnsi="Times New Roman" w:cs="Times New Roman"/>
          <w:sz w:val="26"/>
          <w:szCs w:val="26"/>
        </w:rPr>
      </w:pPr>
      <w:r w:rsidRPr="00B81C42">
        <w:rPr>
          <w:rFonts w:ascii="Times New Roman" w:hAnsi="Times New Roman" w:cs="Times New Roman"/>
          <w:sz w:val="26"/>
          <w:szCs w:val="26"/>
        </w:rPr>
        <w:t xml:space="preserve">The data used for this analysis were obtained primarily through the </w:t>
      </w:r>
      <w:r w:rsidRPr="00B81C42">
        <w:rPr>
          <w:rFonts w:ascii="Times New Roman" w:hAnsi="Times New Roman" w:cs="Times New Roman"/>
          <w:bCs/>
          <w:sz w:val="26"/>
          <w:szCs w:val="26"/>
        </w:rPr>
        <w:t>review of annual financial reports</w:t>
      </w:r>
      <w:r w:rsidRPr="00B81C42">
        <w:rPr>
          <w:rFonts w:ascii="Times New Roman" w:hAnsi="Times New Roman" w:cs="Times New Roman"/>
          <w:sz w:val="26"/>
          <w:szCs w:val="26"/>
        </w:rPr>
        <w:t xml:space="preserve"> of selected Deposit Money Banks, spanning the period </w:t>
      </w:r>
      <w:r w:rsidRPr="00B81C42">
        <w:rPr>
          <w:rFonts w:ascii="Times New Roman" w:hAnsi="Times New Roman" w:cs="Times New Roman"/>
          <w:bCs/>
          <w:sz w:val="26"/>
          <w:szCs w:val="26"/>
        </w:rPr>
        <w:t>before and after IFRS adoption</w:t>
      </w:r>
      <w:r w:rsidRPr="00B81C42">
        <w:rPr>
          <w:rFonts w:ascii="Times New Roman" w:hAnsi="Times New Roman" w:cs="Times New Roman"/>
          <w:sz w:val="26"/>
          <w:szCs w:val="26"/>
        </w:rPr>
        <w:t xml:space="preserve">. The study employs various analytical tools including </w:t>
      </w:r>
      <w:r w:rsidRPr="00B81C42">
        <w:rPr>
          <w:rFonts w:ascii="Times New Roman" w:hAnsi="Times New Roman" w:cs="Times New Roman"/>
          <w:bCs/>
          <w:sz w:val="26"/>
          <w:szCs w:val="26"/>
        </w:rPr>
        <w:t>descriptive statistics</w:t>
      </w:r>
      <w:r w:rsidRPr="00B81C42">
        <w:rPr>
          <w:rFonts w:ascii="Times New Roman" w:hAnsi="Times New Roman" w:cs="Times New Roman"/>
          <w:sz w:val="26"/>
          <w:szCs w:val="26"/>
        </w:rPr>
        <w:t xml:space="preserve">, </w:t>
      </w:r>
      <w:r w:rsidRPr="00B81C42">
        <w:rPr>
          <w:rFonts w:ascii="Times New Roman" w:hAnsi="Times New Roman" w:cs="Times New Roman"/>
          <w:bCs/>
          <w:sz w:val="26"/>
          <w:szCs w:val="26"/>
        </w:rPr>
        <w:t>paired sample t-tests</w:t>
      </w:r>
      <w:r w:rsidRPr="00B81C42">
        <w:rPr>
          <w:rFonts w:ascii="Times New Roman" w:hAnsi="Times New Roman" w:cs="Times New Roman"/>
          <w:sz w:val="26"/>
          <w:szCs w:val="26"/>
        </w:rPr>
        <w:t xml:space="preserve">, </w:t>
      </w:r>
      <w:r w:rsidRPr="00B81C42">
        <w:rPr>
          <w:rFonts w:ascii="Times New Roman" w:hAnsi="Times New Roman" w:cs="Times New Roman"/>
          <w:bCs/>
          <w:sz w:val="26"/>
          <w:szCs w:val="26"/>
        </w:rPr>
        <w:t>correlation</w:t>
      </w:r>
      <w:r w:rsidRPr="00B81C42">
        <w:rPr>
          <w:rFonts w:ascii="Times New Roman" w:hAnsi="Times New Roman" w:cs="Times New Roman"/>
          <w:sz w:val="26"/>
          <w:szCs w:val="26"/>
        </w:rPr>
        <w:t xml:space="preserve">, and </w:t>
      </w:r>
      <w:r w:rsidRPr="00B81C42">
        <w:rPr>
          <w:rFonts w:ascii="Times New Roman" w:hAnsi="Times New Roman" w:cs="Times New Roman"/>
          <w:bCs/>
          <w:sz w:val="26"/>
          <w:szCs w:val="26"/>
        </w:rPr>
        <w:t>regression analysis</w:t>
      </w:r>
      <w:r w:rsidRPr="00B81C42">
        <w:rPr>
          <w:rFonts w:ascii="Times New Roman" w:hAnsi="Times New Roman" w:cs="Times New Roman"/>
          <w:sz w:val="26"/>
          <w:szCs w:val="26"/>
        </w:rPr>
        <w:t xml:space="preserve"> to examine key indicators of financial reporting quality such as </w:t>
      </w:r>
      <w:r w:rsidRPr="00B81C42">
        <w:rPr>
          <w:rFonts w:ascii="Times New Roman" w:hAnsi="Times New Roman" w:cs="Times New Roman"/>
          <w:bCs/>
          <w:sz w:val="26"/>
          <w:szCs w:val="26"/>
        </w:rPr>
        <w:t>earnings management (measured via discretionary accruals)</w:t>
      </w:r>
      <w:r w:rsidRPr="00B81C42">
        <w:rPr>
          <w:rFonts w:ascii="Times New Roman" w:hAnsi="Times New Roman" w:cs="Times New Roman"/>
          <w:sz w:val="26"/>
          <w:szCs w:val="26"/>
        </w:rPr>
        <w:t xml:space="preserve">, </w:t>
      </w:r>
      <w:r w:rsidRPr="00B81C42">
        <w:rPr>
          <w:rFonts w:ascii="Times New Roman" w:hAnsi="Times New Roman" w:cs="Times New Roman"/>
          <w:bCs/>
          <w:sz w:val="26"/>
          <w:szCs w:val="26"/>
        </w:rPr>
        <w:t>timeliness of financial statements</w:t>
      </w:r>
      <w:r w:rsidRPr="00B81C42">
        <w:rPr>
          <w:rFonts w:ascii="Times New Roman" w:hAnsi="Times New Roman" w:cs="Times New Roman"/>
          <w:sz w:val="26"/>
          <w:szCs w:val="26"/>
        </w:rPr>
        <w:t xml:space="preserve">, and </w:t>
      </w:r>
      <w:r w:rsidRPr="00B81C42">
        <w:rPr>
          <w:rFonts w:ascii="Times New Roman" w:hAnsi="Times New Roman" w:cs="Times New Roman"/>
          <w:bCs/>
          <w:sz w:val="26"/>
          <w:szCs w:val="26"/>
        </w:rPr>
        <w:t>disclosure quality</w:t>
      </w:r>
      <w:r w:rsidRPr="00B81C42">
        <w:rPr>
          <w:rFonts w:ascii="Times New Roman" w:hAnsi="Times New Roman" w:cs="Times New Roman"/>
          <w:sz w:val="26"/>
          <w:szCs w:val="26"/>
        </w:rPr>
        <w:t>.</w:t>
      </w:r>
    </w:p>
    <w:p w:rsidR="007277B0" w:rsidRDefault="007277B0" w:rsidP="007277B0">
      <w:pPr>
        <w:pStyle w:val="NoSpacing"/>
        <w:spacing w:line="276" w:lineRule="auto"/>
        <w:jc w:val="both"/>
        <w:rPr>
          <w:rFonts w:ascii="Times New Roman" w:hAnsi="Times New Roman" w:cs="Times New Roman"/>
          <w:b/>
          <w:sz w:val="26"/>
          <w:szCs w:val="26"/>
        </w:rPr>
      </w:pPr>
    </w:p>
    <w:p w:rsidR="007277B0" w:rsidRDefault="007277B0" w:rsidP="007277B0">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t>4.2 RESPONDENTS CHARACTERISTICS AND CLASSIFICATIONS</w:t>
      </w:r>
    </w:p>
    <w:p w:rsidR="00B81C42" w:rsidRPr="00B81C42" w:rsidRDefault="00B81C42" w:rsidP="00B81C42">
      <w:pPr>
        <w:pStyle w:val="NoSpacing"/>
        <w:spacing w:line="360" w:lineRule="auto"/>
        <w:jc w:val="both"/>
        <w:rPr>
          <w:rFonts w:ascii="Times New Roman" w:hAnsi="Times New Roman" w:cs="Times New Roman"/>
          <w:sz w:val="26"/>
          <w:szCs w:val="26"/>
        </w:rPr>
      </w:pPr>
      <w:r w:rsidRPr="00B81C42">
        <w:rPr>
          <w:rFonts w:ascii="Times New Roman" w:hAnsi="Times New Roman" w:cs="Times New Roman"/>
          <w:sz w:val="26"/>
          <w:szCs w:val="26"/>
        </w:rPr>
        <w:t xml:space="preserve">This section presents the professional characteristics of the respondents who participated in the study on </w:t>
      </w:r>
      <w:r w:rsidRPr="00863E8F">
        <w:rPr>
          <w:rFonts w:ascii="Times New Roman" w:hAnsi="Times New Roman" w:cs="Times New Roman"/>
          <w:bCs/>
          <w:sz w:val="26"/>
          <w:szCs w:val="26"/>
        </w:rPr>
        <w:t>"IFRS Adoption and Financial Reporting Quality in Deposit Money Banks in Nigeria."</w:t>
      </w:r>
      <w:r w:rsidRPr="00B81C42">
        <w:rPr>
          <w:rFonts w:ascii="Times New Roman" w:hAnsi="Times New Roman" w:cs="Times New Roman"/>
          <w:sz w:val="26"/>
          <w:szCs w:val="26"/>
        </w:rPr>
        <w:t xml:space="preserve"> Understanding the background of the respondents is essential to assess the reliability and relevance of their responses regarding the adoption and effects of IFRS on financial reporting.</w:t>
      </w:r>
    </w:p>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In the context of this study, the term “respondents” refer</w:t>
      </w:r>
      <w:r w:rsidR="00686AE5">
        <w:rPr>
          <w:rFonts w:ascii="Times New Roman" w:hAnsi="Times New Roman" w:cs="Times New Roman"/>
          <w:sz w:val="26"/>
          <w:szCs w:val="26"/>
        </w:rPr>
        <w:t xml:space="preserve">s to the institutional entities </w:t>
      </w:r>
      <w:r w:rsidRPr="005D75A4">
        <w:rPr>
          <w:rFonts w:ascii="Times New Roman" w:hAnsi="Times New Roman" w:cs="Times New Roman"/>
          <w:bCs/>
          <w:sz w:val="26"/>
          <w:szCs w:val="26"/>
        </w:rPr>
        <w:t>Deposit Money Banks (DMBs)</w:t>
      </w:r>
      <w:r>
        <w:rPr>
          <w:rFonts w:ascii="Times New Roman" w:hAnsi="Times New Roman" w:cs="Times New Roman"/>
          <w:sz w:val="26"/>
          <w:szCs w:val="26"/>
        </w:rPr>
        <w:t xml:space="preserve"> </w:t>
      </w:r>
      <w:r w:rsidRPr="005D75A4">
        <w:rPr>
          <w:rFonts w:ascii="Times New Roman" w:hAnsi="Times New Roman" w:cs="Times New Roman"/>
          <w:sz w:val="26"/>
          <w:szCs w:val="26"/>
        </w:rPr>
        <w:t xml:space="preserve">whose financial statements, regulatory documents, and </w:t>
      </w:r>
      <w:r w:rsidRPr="005D75A4">
        <w:rPr>
          <w:rFonts w:ascii="Times New Roman" w:hAnsi="Times New Roman" w:cs="Times New Roman"/>
          <w:sz w:val="26"/>
          <w:szCs w:val="26"/>
        </w:rPr>
        <w:lastRenderedPageBreak/>
        <w:t xml:space="preserve">industry-related reports serve as the basis for evaluating the impact of International Financial Reporting Standards (IFRS) adoption on financial reporting quality. Since the study is based entirely on </w:t>
      </w:r>
      <w:r w:rsidRPr="005D75A4">
        <w:rPr>
          <w:rFonts w:ascii="Times New Roman" w:hAnsi="Times New Roman" w:cs="Times New Roman"/>
          <w:bCs/>
          <w:sz w:val="26"/>
          <w:szCs w:val="26"/>
        </w:rPr>
        <w:t>secondary data</w:t>
      </w:r>
      <w:r w:rsidRPr="005D75A4">
        <w:rPr>
          <w:rFonts w:ascii="Times New Roman" w:hAnsi="Times New Roman" w:cs="Times New Roman"/>
          <w:sz w:val="26"/>
          <w:szCs w:val="26"/>
        </w:rPr>
        <w:t>, the characteristics and classifications of the banks are drawn from published documents sourced from:</w:t>
      </w:r>
    </w:p>
    <w:p w:rsidR="005D75A4" w:rsidRPr="004F4AB3" w:rsidRDefault="005D75A4" w:rsidP="005D75A4">
      <w:pPr>
        <w:pStyle w:val="NoSpacing"/>
        <w:numPr>
          <w:ilvl w:val="0"/>
          <w:numId w:val="6"/>
        </w:numPr>
        <w:spacing w:line="360" w:lineRule="auto"/>
        <w:ind w:left="360"/>
        <w:jc w:val="both"/>
        <w:rPr>
          <w:rFonts w:ascii="Times New Roman" w:hAnsi="Times New Roman" w:cs="Times New Roman"/>
          <w:sz w:val="26"/>
          <w:szCs w:val="26"/>
        </w:rPr>
      </w:pPr>
      <w:r w:rsidRPr="004F4AB3">
        <w:rPr>
          <w:rFonts w:ascii="Times New Roman" w:hAnsi="Times New Roman" w:cs="Times New Roman"/>
          <w:bCs/>
          <w:sz w:val="26"/>
          <w:szCs w:val="26"/>
        </w:rPr>
        <w:t>Annual Reports and Financial Statements of Selected Banks (2010–2018)</w:t>
      </w:r>
    </w:p>
    <w:p w:rsidR="005D75A4" w:rsidRPr="005D75A4" w:rsidRDefault="005D75A4" w:rsidP="004F4AB3">
      <w:pPr>
        <w:pStyle w:val="NoSpacing"/>
        <w:numPr>
          <w:ilvl w:val="0"/>
          <w:numId w:val="6"/>
        </w:numPr>
        <w:spacing w:line="360" w:lineRule="auto"/>
        <w:ind w:left="360"/>
        <w:jc w:val="both"/>
        <w:rPr>
          <w:rFonts w:ascii="Times New Roman" w:hAnsi="Times New Roman" w:cs="Times New Roman"/>
          <w:sz w:val="26"/>
          <w:szCs w:val="26"/>
        </w:rPr>
      </w:pPr>
      <w:r w:rsidRPr="004F4AB3">
        <w:rPr>
          <w:rFonts w:ascii="Times New Roman" w:hAnsi="Times New Roman" w:cs="Times New Roman"/>
          <w:bCs/>
          <w:sz w:val="26"/>
          <w:szCs w:val="26"/>
        </w:rPr>
        <w:t>Regulatory Bodies</w:t>
      </w:r>
      <w:r w:rsidRPr="005D75A4">
        <w:rPr>
          <w:rFonts w:ascii="Times New Roman" w:hAnsi="Times New Roman" w:cs="Times New Roman"/>
          <w:sz w:val="26"/>
          <w:szCs w:val="26"/>
        </w:rPr>
        <w:t xml:space="preserve"> such as the Central Bank of Nigeria (CBN) and Financial Reporting Council of Nigeria (FRCN)</w:t>
      </w:r>
    </w:p>
    <w:p w:rsidR="005D75A4" w:rsidRPr="005D75A4" w:rsidRDefault="005D75A4" w:rsidP="004F4AB3">
      <w:pPr>
        <w:pStyle w:val="NoSpacing"/>
        <w:numPr>
          <w:ilvl w:val="0"/>
          <w:numId w:val="6"/>
        </w:numPr>
        <w:spacing w:line="360" w:lineRule="auto"/>
        <w:ind w:left="360"/>
        <w:jc w:val="both"/>
        <w:rPr>
          <w:rFonts w:ascii="Times New Roman" w:hAnsi="Times New Roman" w:cs="Times New Roman"/>
          <w:sz w:val="26"/>
          <w:szCs w:val="26"/>
        </w:rPr>
      </w:pPr>
      <w:r w:rsidRPr="004F4AB3">
        <w:rPr>
          <w:rFonts w:ascii="Times New Roman" w:hAnsi="Times New Roman" w:cs="Times New Roman"/>
          <w:bCs/>
          <w:sz w:val="26"/>
          <w:szCs w:val="26"/>
        </w:rPr>
        <w:t>Industry Reports and Publications</w:t>
      </w:r>
      <w:r w:rsidRPr="005D75A4">
        <w:rPr>
          <w:rFonts w:ascii="Times New Roman" w:hAnsi="Times New Roman" w:cs="Times New Roman"/>
          <w:sz w:val="26"/>
          <w:szCs w:val="26"/>
        </w:rPr>
        <w:t xml:space="preserve"> from professional firms like PwC, Deloitte, and KPMG</w:t>
      </w:r>
    </w:p>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These sources provide objective, reliable, and publicly available information on the operational and financial reporting structure of the banks studied.</w:t>
      </w:r>
    </w:p>
    <w:p w:rsidR="00686AE5" w:rsidRDefault="00686AE5" w:rsidP="005D75A4">
      <w:pPr>
        <w:pStyle w:val="NoSpacing"/>
        <w:spacing w:line="360" w:lineRule="auto"/>
        <w:jc w:val="both"/>
        <w:rPr>
          <w:rFonts w:ascii="Times New Roman" w:hAnsi="Times New Roman" w:cs="Times New Roman"/>
          <w:b/>
          <w:bCs/>
          <w:sz w:val="26"/>
          <w:szCs w:val="26"/>
        </w:rPr>
      </w:pP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1. Nature and Number of Respondents</w:t>
      </w:r>
    </w:p>
    <w:p w:rsidR="005D75A4" w:rsidRPr="004F4AB3" w:rsidRDefault="005D75A4" w:rsidP="005D75A4">
      <w:pPr>
        <w:pStyle w:val="NoSpacing"/>
        <w:spacing w:line="360" w:lineRule="auto"/>
        <w:jc w:val="both"/>
        <w:rPr>
          <w:rFonts w:ascii="Times New Roman" w:hAnsi="Times New Roman" w:cs="Times New Roman"/>
          <w:sz w:val="26"/>
          <w:szCs w:val="26"/>
        </w:rPr>
      </w:pPr>
      <w:r w:rsidRPr="004F4AB3">
        <w:rPr>
          <w:rFonts w:ascii="Times New Roman" w:hAnsi="Times New Roman" w:cs="Times New Roman"/>
          <w:sz w:val="26"/>
          <w:szCs w:val="26"/>
        </w:rPr>
        <w:t xml:space="preserve">The study covers a purposively selected sample of </w:t>
      </w:r>
      <w:r w:rsidRPr="004F4AB3">
        <w:rPr>
          <w:rFonts w:ascii="Times New Roman" w:hAnsi="Times New Roman" w:cs="Times New Roman"/>
          <w:bCs/>
          <w:sz w:val="26"/>
          <w:szCs w:val="26"/>
        </w:rPr>
        <w:t>10 Deposit Money Banks</w:t>
      </w:r>
      <w:r w:rsidRPr="004F4AB3">
        <w:rPr>
          <w:rFonts w:ascii="Times New Roman" w:hAnsi="Times New Roman" w:cs="Times New Roman"/>
          <w:sz w:val="26"/>
          <w:szCs w:val="26"/>
        </w:rPr>
        <w:t xml:space="preserve"> out of the 21 licensed DMBs in Nigeria. These banks were selected based on the availability and completeness of their annual reports from </w:t>
      </w:r>
      <w:r w:rsidRPr="004F4AB3">
        <w:rPr>
          <w:rFonts w:ascii="Times New Roman" w:hAnsi="Times New Roman" w:cs="Times New Roman"/>
          <w:bCs/>
          <w:sz w:val="26"/>
          <w:szCs w:val="26"/>
        </w:rPr>
        <w:t>2010 to 2018</w:t>
      </w:r>
      <w:r w:rsidRPr="004F4AB3">
        <w:rPr>
          <w:rFonts w:ascii="Times New Roman" w:hAnsi="Times New Roman" w:cs="Times New Roman"/>
          <w:sz w:val="26"/>
          <w:szCs w:val="26"/>
        </w:rPr>
        <w:t xml:space="preserve">, consistent </w:t>
      </w:r>
      <w:r w:rsidRPr="004F4AB3">
        <w:rPr>
          <w:rFonts w:ascii="Times New Roman" w:hAnsi="Times New Roman" w:cs="Times New Roman"/>
          <w:bCs/>
          <w:sz w:val="26"/>
          <w:szCs w:val="26"/>
        </w:rPr>
        <w:t>IFRS adoption</w:t>
      </w:r>
      <w:r w:rsidRPr="004F4AB3">
        <w:rPr>
          <w:rFonts w:ascii="Times New Roman" w:hAnsi="Times New Roman" w:cs="Times New Roman"/>
          <w:sz w:val="26"/>
          <w:szCs w:val="26"/>
        </w:rPr>
        <w:t xml:space="preserve">, and </w:t>
      </w:r>
      <w:r w:rsidRPr="004F4AB3">
        <w:rPr>
          <w:rFonts w:ascii="Times New Roman" w:hAnsi="Times New Roman" w:cs="Times New Roman"/>
          <w:bCs/>
          <w:sz w:val="26"/>
          <w:szCs w:val="26"/>
        </w:rPr>
        <w:t>listing on the Nigerian Stock Exchange (NSE)</w:t>
      </w:r>
      <w:r w:rsidR="004F4AB3">
        <w:rPr>
          <w:rFonts w:ascii="Times New Roman" w:hAnsi="Times New Roman" w:cs="Times New Roman"/>
          <w:sz w:val="26"/>
          <w:szCs w:val="26"/>
        </w:rPr>
        <w:t xml:space="preserve"> </w:t>
      </w:r>
      <w:r w:rsidRPr="004F4AB3">
        <w:rPr>
          <w:rFonts w:ascii="Times New Roman" w:hAnsi="Times New Roman" w:cs="Times New Roman"/>
          <w:sz w:val="26"/>
          <w:szCs w:val="26"/>
        </w:rPr>
        <w:t>which ensures adherence to disclosure regulations.</w:t>
      </w:r>
    </w:p>
    <w:p w:rsidR="004F4AB3" w:rsidRDefault="004F4AB3" w:rsidP="005D75A4">
      <w:pPr>
        <w:pStyle w:val="NoSpacing"/>
        <w:spacing w:line="360" w:lineRule="auto"/>
        <w:jc w:val="both"/>
        <w:rPr>
          <w:rFonts w:ascii="Times New Roman" w:hAnsi="Times New Roman" w:cs="Times New Roman"/>
          <w:b/>
          <w:bCs/>
          <w:sz w:val="26"/>
          <w:szCs w:val="26"/>
        </w:rPr>
      </w:pP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2. IFRS Adoption Status</w:t>
      </w:r>
    </w:p>
    <w:p w:rsidR="005D75A4" w:rsidRPr="004F4AB3" w:rsidRDefault="005D75A4" w:rsidP="005D75A4">
      <w:pPr>
        <w:pStyle w:val="NoSpacing"/>
        <w:spacing w:line="360" w:lineRule="auto"/>
        <w:jc w:val="both"/>
        <w:rPr>
          <w:rFonts w:ascii="Times New Roman" w:hAnsi="Times New Roman" w:cs="Times New Roman"/>
          <w:sz w:val="26"/>
          <w:szCs w:val="26"/>
        </w:rPr>
      </w:pPr>
      <w:r w:rsidRPr="004F4AB3">
        <w:rPr>
          <w:rFonts w:ascii="Times New Roman" w:hAnsi="Times New Roman" w:cs="Times New Roman"/>
          <w:sz w:val="26"/>
          <w:szCs w:val="26"/>
        </w:rPr>
        <w:t xml:space="preserve">All selected banks complied with the CBN-mandated IFRS adoption, effective from </w:t>
      </w:r>
      <w:r w:rsidRPr="004F4AB3">
        <w:rPr>
          <w:rFonts w:ascii="Times New Roman" w:hAnsi="Times New Roman" w:cs="Times New Roman"/>
          <w:bCs/>
          <w:sz w:val="26"/>
          <w:szCs w:val="26"/>
        </w:rPr>
        <w:t>January 1, 2012</w:t>
      </w:r>
      <w:r w:rsidRPr="004F4AB3">
        <w:rPr>
          <w:rFonts w:ascii="Times New Roman" w:hAnsi="Times New Roman" w:cs="Times New Roman"/>
          <w:sz w:val="26"/>
          <w:szCs w:val="26"/>
        </w:rPr>
        <w:t xml:space="preserve">. Hence, data from </w:t>
      </w:r>
      <w:r w:rsidRPr="004F4AB3">
        <w:rPr>
          <w:rFonts w:ascii="Times New Roman" w:hAnsi="Times New Roman" w:cs="Times New Roman"/>
          <w:bCs/>
          <w:sz w:val="26"/>
          <w:szCs w:val="26"/>
        </w:rPr>
        <w:t>2010–2011</w:t>
      </w:r>
      <w:r w:rsidRPr="004F4AB3">
        <w:rPr>
          <w:rFonts w:ascii="Times New Roman" w:hAnsi="Times New Roman" w:cs="Times New Roman"/>
          <w:sz w:val="26"/>
          <w:szCs w:val="26"/>
        </w:rPr>
        <w:t xml:space="preserve"> represent the </w:t>
      </w:r>
      <w:r w:rsidRPr="004F4AB3">
        <w:rPr>
          <w:rFonts w:ascii="Times New Roman" w:hAnsi="Times New Roman" w:cs="Times New Roman"/>
          <w:bCs/>
          <w:sz w:val="26"/>
          <w:szCs w:val="26"/>
        </w:rPr>
        <w:t>pre-IFRS period</w:t>
      </w:r>
      <w:r w:rsidRPr="004F4AB3">
        <w:rPr>
          <w:rFonts w:ascii="Times New Roman" w:hAnsi="Times New Roman" w:cs="Times New Roman"/>
          <w:sz w:val="26"/>
          <w:szCs w:val="26"/>
        </w:rPr>
        <w:t xml:space="preserve">, while data from </w:t>
      </w:r>
      <w:r w:rsidRPr="004F4AB3">
        <w:rPr>
          <w:rFonts w:ascii="Times New Roman" w:hAnsi="Times New Roman" w:cs="Times New Roman"/>
          <w:bCs/>
          <w:sz w:val="26"/>
          <w:szCs w:val="26"/>
        </w:rPr>
        <w:t>2013–2018</w:t>
      </w:r>
      <w:r w:rsidRPr="004F4AB3">
        <w:rPr>
          <w:rFonts w:ascii="Times New Roman" w:hAnsi="Times New Roman" w:cs="Times New Roman"/>
          <w:sz w:val="26"/>
          <w:szCs w:val="26"/>
        </w:rPr>
        <w:t xml:space="preserve"> represent the </w:t>
      </w:r>
      <w:r w:rsidRPr="004F4AB3">
        <w:rPr>
          <w:rFonts w:ascii="Times New Roman" w:hAnsi="Times New Roman" w:cs="Times New Roman"/>
          <w:bCs/>
          <w:sz w:val="26"/>
          <w:szCs w:val="26"/>
        </w:rPr>
        <w:t>post-IFRS period</w:t>
      </w:r>
      <w:r w:rsidRPr="004F4AB3">
        <w:rPr>
          <w:rFonts w:ascii="Times New Roman" w:hAnsi="Times New Roman" w:cs="Times New Roman"/>
          <w:sz w:val="26"/>
          <w:szCs w:val="26"/>
        </w:rPr>
        <w:t xml:space="preserve"> used to measure changes in financial reporting quality. IFRS-related notes and disclosures in the financial statements provided clear indications of compliance.</w:t>
      </w:r>
    </w:p>
    <w:p w:rsidR="004F4AB3" w:rsidRDefault="004F4AB3" w:rsidP="005D75A4">
      <w:pPr>
        <w:pStyle w:val="NoSpacing"/>
        <w:spacing w:line="360" w:lineRule="auto"/>
        <w:jc w:val="both"/>
        <w:rPr>
          <w:rFonts w:ascii="Times New Roman" w:hAnsi="Times New Roman" w:cs="Times New Roman"/>
          <w:b/>
          <w:bCs/>
          <w:sz w:val="26"/>
          <w:szCs w:val="26"/>
        </w:rPr>
      </w:pP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3. Bank Size Classification</w:t>
      </w:r>
    </w:p>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Based on total asset data obtained from annual reports and industry publications (e.g., PwC Nigeria’s Banking Sector Report), the banks were categorized as follows:</w:t>
      </w:r>
    </w:p>
    <w:tbl>
      <w:tblPr>
        <w:tblStyle w:val="TableGrid"/>
        <w:tblW w:w="0" w:type="auto"/>
        <w:tblLook w:val="04A0" w:firstRow="1" w:lastRow="0" w:firstColumn="1" w:lastColumn="0" w:noHBand="0" w:noVBand="1"/>
      </w:tblPr>
      <w:tblGrid>
        <w:gridCol w:w="2246"/>
        <w:gridCol w:w="4109"/>
        <w:gridCol w:w="2181"/>
      </w:tblGrid>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lastRenderedPageBreak/>
              <w:t>Bank Size</w:t>
            </w:r>
          </w:p>
        </w:tc>
        <w:tc>
          <w:tcPr>
            <w:tcW w:w="0" w:type="auto"/>
            <w:hideMark/>
          </w:tcPr>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Asset Base (as of study period)</w:t>
            </w:r>
          </w:p>
        </w:tc>
        <w:tc>
          <w:tcPr>
            <w:tcW w:w="0" w:type="auto"/>
            <w:hideMark/>
          </w:tcPr>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Number of Banks</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Large-tier Banks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Above ₦2 trillion</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5</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Medium-tier Banks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Between ₦500 billion and ₦2 trillion</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5</w:t>
            </w:r>
          </w:p>
        </w:tc>
      </w:tr>
    </w:tbl>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This classification allows the study to compare IFRS effects across different operational scales.</w:t>
      </w:r>
    </w:p>
    <w:p w:rsidR="004F4AB3" w:rsidRDefault="004F4AB3" w:rsidP="005D75A4">
      <w:pPr>
        <w:pStyle w:val="NoSpacing"/>
        <w:spacing w:line="360" w:lineRule="auto"/>
        <w:jc w:val="both"/>
        <w:rPr>
          <w:rFonts w:ascii="Times New Roman" w:hAnsi="Times New Roman" w:cs="Times New Roman"/>
          <w:b/>
          <w:bCs/>
          <w:sz w:val="26"/>
          <w:szCs w:val="26"/>
        </w:rPr>
      </w:pP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4. Ownership and Listing Status</w:t>
      </w:r>
    </w:p>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 xml:space="preserve">All banks in the sample are </w:t>
      </w:r>
      <w:r w:rsidRPr="005D75A4">
        <w:rPr>
          <w:rFonts w:ascii="Times New Roman" w:hAnsi="Times New Roman" w:cs="Times New Roman"/>
          <w:b/>
          <w:bCs/>
          <w:sz w:val="26"/>
          <w:szCs w:val="26"/>
        </w:rPr>
        <w:t>publicly listed</w:t>
      </w:r>
      <w:r w:rsidRPr="005D75A4">
        <w:rPr>
          <w:rFonts w:ascii="Times New Roman" w:hAnsi="Times New Roman" w:cs="Times New Roman"/>
          <w:sz w:val="26"/>
          <w:szCs w:val="26"/>
        </w:rPr>
        <w:t xml:space="preserve"> on the Nigerian Stock Exchange (NSE). Their listing status mandates high standards of disclosure and transparency, which strengthens the credibility of the financial data analyzed.</w:t>
      </w:r>
    </w:p>
    <w:p w:rsidR="004F4AB3" w:rsidRDefault="004F4AB3" w:rsidP="005D75A4">
      <w:pPr>
        <w:pStyle w:val="NoSpacing"/>
        <w:spacing w:line="360" w:lineRule="auto"/>
        <w:jc w:val="both"/>
        <w:rPr>
          <w:rFonts w:ascii="Times New Roman" w:hAnsi="Times New Roman" w:cs="Times New Roman"/>
          <w:b/>
          <w:bCs/>
          <w:sz w:val="26"/>
          <w:szCs w:val="26"/>
        </w:rPr>
      </w:pP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5. Audit Status</w:t>
      </w:r>
    </w:p>
    <w:p w:rsidR="005D75A4" w:rsidRPr="004F4AB3" w:rsidRDefault="005D75A4" w:rsidP="005D75A4">
      <w:pPr>
        <w:pStyle w:val="NoSpacing"/>
        <w:spacing w:line="360" w:lineRule="auto"/>
        <w:jc w:val="both"/>
        <w:rPr>
          <w:rFonts w:ascii="Times New Roman" w:hAnsi="Times New Roman" w:cs="Times New Roman"/>
          <w:sz w:val="26"/>
          <w:szCs w:val="26"/>
        </w:rPr>
      </w:pPr>
      <w:r w:rsidRPr="004F4AB3">
        <w:rPr>
          <w:rFonts w:ascii="Times New Roman" w:hAnsi="Times New Roman" w:cs="Times New Roman"/>
          <w:sz w:val="26"/>
          <w:szCs w:val="26"/>
        </w:rPr>
        <w:t xml:space="preserve">Each of the selected banks was audited annually by one of the </w:t>
      </w:r>
      <w:r w:rsidRPr="004F4AB3">
        <w:rPr>
          <w:rFonts w:ascii="Times New Roman" w:hAnsi="Times New Roman" w:cs="Times New Roman"/>
          <w:bCs/>
          <w:sz w:val="26"/>
          <w:szCs w:val="26"/>
        </w:rPr>
        <w:t>Big Four auditing firms</w:t>
      </w:r>
      <w:r w:rsidRPr="004F4AB3">
        <w:rPr>
          <w:rFonts w:ascii="Times New Roman" w:hAnsi="Times New Roman" w:cs="Times New Roman"/>
          <w:sz w:val="26"/>
          <w:szCs w:val="26"/>
        </w:rPr>
        <w:t xml:space="preserve">—namely PwC, KPMG, Deloitte, or Ernst &amp; Young. The audit opinions provided insight into the </w:t>
      </w:r>
      <w:r w:rsidRPr="004F4AB3">
        <w:rPr>
          <w:rFonts w:ascii="Times New Roman" w:hAnsi="Times New Roman" w:cs="Times New Roman"/>
          <w:bCs/>
          <w:sz w:val="26"/>
          <w:szCs w:val="26"/>
        </w:rPr>
        <w:t>faithful representation</w:t>
      </w:r>
      <w:r w:rsidRPr="004F4AB3">
        <w:rPr>
          <w:rFonts w:ascii="Times New Roman" w:hAnsi="Times New Roman" w:cs="Times New Roman"/>
          <w:sz w:val="26"/>
          <w:szCs w:val="26"/>
        </w:rPr>
        <w:t xml:space="preserve"> of financial statements and the consistency of IFRS implementation. Audit reports from 2010–2018 were reviewed for consistency in compliance and opinion types.</w:t>
      </w:r>
    </w:p>
    <w:p w:rsidR="004F4AB3" w:rsidRDefault="004F4AB3" w:rsidP="005D75A4">
      <w:pPr>
        <w:pStyle w:val="NoSpacing"/>
        <w:spacing w:line="360" w:lineRule="auto"/>
        <w:jc w:val="both"/>
        <w:rPr>
          <w:rFonts w:ascii="Times New Roman" w:hAnsi="Times New Roman" w:cs="Times New Roman"/>
          <w:b/>
          <w:bCs/>
          <w:sz w:val="26"/>
          <w:szCs w:val="26"/>
        </w:rPr>
      </w:pP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6. Sector Uniformity</w:t>
      </w:r>
    </w:p>
    <w:p w:rsidR="005D75A4" w:rsidRPr="004F4AB3" w:rsidRDefault="005D75A4" w:rsidP="005D75A4">
      <w:pPr>
        <w:pStyle w:val="NoSpacing"/>
        <w:spacing w:line="360" w:lineRule="auto"/>
        <w:jc w:val="both"/>
        <w:rPr>
          <w:rFonts w:ascii="Times New Roman" w:hAnsi="Times New Roman" w:cs="Times New Roman"/>
          <w:sz w:val="26"/>
          <w:szCs w:val="26"/>
        </w:rPr>
      </w:pPr>
      <w:r w:rsidRPr="004F4AB3">
        <w:rPr>
          <w:rFonts w:ascii="Times New Roman" w:hAnsi="Times New Roman" w:cs="Times New Roman"/>
          <w:sz w:val="26"/>
          <w:szCs w:val="26"/>
        </w:rPr>
        <w:t xml:space="preserve">All selected institutions operate within the </w:t>
      </w:r>
      <w:r w:rsidRPr="004F4AB3">
        <w:rPr>
          <w:rFonts w:ascii="Times New Roman" w:hAnsi="Times New Roman" w:cs="Times New Roman"/>
          <w:bCs/>
          <w:sz w:val="26"/>
          <w:szCs w:val="26"/>
        </w:rPr>
        <w:t>banking sector</w:t>
      </w:r>
      <w:r w:rsidRPr="004F4AB3">
        <w:rPr>
          <w:rFonts w:ascii="Times New Roman" w:hAnsi="Times New Roman" w:cs="Times New Roman"/>
          <w:sz w:val="26"/>
          <w:szCs w:val="26"/>
        </w:rPr>
        <w:t xml:space="preserve"> as regulated by the </w:t>
      </w:r>
      <w:r w:rsidRPr="004F4AB3">
        <w:rPr>
          <w:rFonts w:ascii="Times New Roman" w:hAnsi="Times New Roman" w:cs="Times New Roman"/>
          <w:bCs/>
          <w:sz w:val="26"/>
          <w:szCs w:val="26"/>
        </w:rPr>
        <w:t>Central Bank of Nigeria (CBN)</w:t>
      </w:r>
      <w:r w:rsidRPr="004F4AB3">
        <w:rPr>
          <w:rFonts w:ascii="Times New Roman" w:hAnsi="Times New Roman" w:cs="Times New Roman"/>
          <w:sz w:val="26"/>
          <w:szCs w:val="26"/>
        </w:rPr>
        <w:t xml:space="preserve"> and subject to the </w:t>
      </w:r>
      <w:r w:rsidRPr="004F4AB3">
        <w:rPr>
          <w:rFonts w:ascii="Times New Roman" w:hAnsi="Times New Roman" w:cs="Times New Roman"/>
          <w:bCs/>
          <w:sz w:val="26"/>
          <w:szCs w:val="26"/>
        </w:rPr>
        <w:t>Banking and Other Financial Institutions Act (BOFIA)</w:t>
      </w:r>
      <w:r w:rsidRPr="004F4AB3">
        <w:rPr>
          <w:rFonts w:ascii="Times New Roman" w:hAnsi="Times New Roman" w:cs="Times New Roman"/>
          <w:sz w:val="26"/>
          <w:szCs w:val="26"/>
        </w:rPr>
        <w:t>. This uniformity ensures that all respondents are evaluated under comparable financial, regulatory, and operational conditions.</w:t>
      </w: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7. Availability and Accessibility of Data</w:t>
      </w:r>
    </w:p>
    <w:p w:rsidR="005D75A4" w:rsidRPr="005D75A4" w:rsidRDefault="005D75A4" w:rsidP="004F4AB3">
      <w:pPr>
        <w:pStyle w:val="NoSpacing"/>
        <w:numPr>
          <w:ilvl w:val="0"/>
          <w:numId w:val="7"/>
        </w:numPr>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The data used were publicly available from:</w:t>
      </w:r>
    </w:p>
    <w:p w:rsidR="005D75A4" w:rsidRPr="004F4AB3" w:rsidRDefault="005D75A4" w:rsidP="004F4AB3">
      <w:pPr>
        <w:pStyle w:val="NoSpacing"/>
        <w:numPr>
          <w:ilvl w:val="0"/>
          <w:numId w:val="7"/>
        </w:numPr>
        <w:spacing w:line="360" w:lineRule="auto"/>
        <w:jc w:val="both"/>
        <w:rPr>
          <w:rFonts w:ascii="Times New Roman" w:hAnsi="Times New Roman" w:cs="Times New Roman"/>
          <w:sz w:val="26"/>
          <w:szCs w:val="26"/>
        </w:rPr>
      </w:pPr>
      <w:r w:rsidRPr="004F4AB3">
        <w:rPr>
          <w:rFonts w:ascii="Times New Roman" w:hAnsi="Times New Roman" w:cs="Times New Roman"/>
          <w:bCs/>
          <w:sz w:val="26"/>
          <w:szCs w:val="26"/>
        </w:rPr>
        <w:t>Banks’ official websites</w:t>
      </w:r>
    </w:p>
    <w:p w:rsidR="005D75A4" w:rsidRPr="004F4AB3" w:rsidRDefault="005D75A4" w:rsidP="004F4AB3">
      <w:pPr>
        <w:pStyle w:val="NoSpacing"/>
        <w:numPr>
          <w:ilvl w:val="0"/>
          <w:numId w:val="7"/>
        </w:numPr>
        <w:spacing w:line="360" w:lineRule="auto"/>
        <w:jc w:val="both"/>
        <w:rPr>
          <w:rFonts w:ascii="Times New Roman" w:hAnsi="Times New Roman" w:cs="Times New Roman"/>
          <w:sz w:val="26"/>
          <w:szCs w:val="26"/>
        </w:rPr>
      </w:pPr>
      <w:r w:rsidRPr="004F4AB3">
        <w:rPr>
          <w:rFonts w:ascii="Times New Roman" w:hAnsi="Times New Roman" w:cs="Times New Roman"/>
          <w:bCs/>
          <w:sz w:val="26"/>
          <w:szCs w:val="26"/>
        </w:rPr>
        <w:t>CBN’s regulatory database</w:t>
      </w:r>
    </w:p>
    <w:p w:rsidR="005D75A4" w:rsidRPr="004F4AB3" w:rsidRDefault="005D75A4" w:rsidP="004F4AB3">
      <w:pPr>
        <w:pStyle w:val="NoSpacing"/>
        <w:numPr>
          <w:ilvl w:val="0"/>
          <w:numId w:val="7"/>
        </w:numPr>
        <w:spacing w:line="360" w:lineRule="auto"/>
        <w:jc w:val="both"/>
        <w:rPr>
          <w:rFonts w:ascii="Times New Roman" w:hAnsi="Times New Roman" w:cs="Times New Roman"/>
          <w:sz w:val="26"/>
          <w:szCs w:val="26"/>
        </w:rPr>
      </w:pPr>
      <w:r w:rsidRPr="004F4AB3">
        <w:rPr>
          <w:rFonts w:ascii="Times New Roman" w:hAnsi="Times New Roman" w:cs="Times New Roman"/>
          <w:bCs/>
          <w:sz w:val="26"/>
          <w:szCs w:val="26"/>
        </w:rPr>
        <w:t>Financial Reporting Council of Nigeria (FRCN) publications</w:t>
      </w:r>
    </w:p>
    <w:p w:rsidR="005D75A4" w:rsidRPr="004F4AB3" w:rsidRDefault="005D75A4" w:rsidP="004F4AB3">
      <w:pPr>
        <w:pStyle w:val="NoSpacing"/>
        <w:numPr>
          <w:ilvl w:val="0"/>
          <w:numId w:val="7"/>
        </w:numPr>
        <w:spacing w:line="360" w:lineRule="auto"/>
        <w:jc w:val="both"/>
        <w:rPr>
          <w:rFonts w:ascii="Times New Roman" w:hAnsi="Times New Roman" w:cs="Times New Roman"/>
          <w:sz w:val="26"/>
          <w:szCs w:val="26"/>
        </w:rPr>
      </w:pPr>
      <w:r w:rsidRPr="004F4AB3">
        <w:rPr>
          <w:rFonts w:ascii="Times New Roman" w:hAnsi="Times New Roman" w:cs="Times New Roman"/>
          <w:bCs/>
          <w:sz w:val="26"/>
          <w:szCs w:val="26"/>
        </w:rPr>
        <w:lastRenderedPageBreak/>
        <w:t>Nigerian Stock Exchange (NSE) portal</w:t>
      </w:r>
    </w:p>
    <w:p w:rsidR="005D75A4" w:rsidRPr="005D75A4" w:rsidRDefault="005D75A4" w:rsidP="005D75A4">
      <w:pPr>
        <w:pStyle w:val="NoSpacing"/>
        <w:spacing w:line="360" w:lineRule="auto"/>
        <w:jc w:val="both"/>
        <w:rPr>
          <w:rFonts w:ascii="Times New Roman" w:hAnsi="Times New Roman" w:cs="Times New Roman"/>
          <w:sz w:val="26"/>
          <w:szCs w:val="26"/>
        </w:rPr>
      </w:pPr>
      <w:r w:rsidRPr="004F4AB3">
        <w:rPr>
          <w:rFonts w:ascii="Times New Roman" w:hAnsi="Times New Roman" w:cs="Times New Roman"/>
          <w:bCs/>
          <w:sz w:val="26"/>
          <w:szCs w:val="26"/>
        </w:rPr>
        <w:t>Industry reports</w:t>
      </w:r>
      <w:r w:rsidRPr="005D75A4">
        <w:rPr>
          <w:rFonts w:ascii="Times New Roman" w:hAnsi="Times New Roman" w:cs="Times New Roman"/>
          <w:sz w:val="26"/>
          <w:szCs w:val="26"/>
        </w:rPr>
        <w:t xml:space="preserve"> by accounting firms and financial consultants</w:t>
      </w:r>
    </w:p>
    <w:p w:rsidR="004F4AB3" w:rsidRDefault="004F4AB3" w:rsidP="005D75A4">
      <w:pPr>
        <w:pStyle w:val="NoSpacing"/>
        <w:spacing w:line="360" w:lineRule="auto"/>
        <w:jc w:val="both"/>
        <w:rPr>
          <w:rFonts w:ascii="Times New Roman" w:hAnsi="Times New Roman" w:cs="Times New Roman"/>
          <w:b/>
          <w:bCs/>
          <w:sz w:val="26"/>
          <w:szCs w:val="26"/>
        </w:rPr>
      </w:pPr>
    </w:p>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Summary Table: Respondents’ Classification Overview</w:t>
      </w:r>
    </w:p>
    <w:tbl>
      <w:tblPr>
        <w:tblStyle w:val="TableGrid"/>
        <w:tblW w:w="0" w:type="auto"/>
        <w:tblLook w:val="04A0" w:firstRow="1" w:lastRow="0" w:firstColumn="1" w:lastColumn="0" w:noHBand="0" w:noVBand="1"/>
      </w:tblPr>
      <w:tblGrid>
        <w:gridCol w:w="2733"/>
        <w:gridCol w:w="6617"/>
      </w:tblGrid>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Classification Criteria</w:t>
            </w:r>
          </w:p>
        </w:tc>
        <w:tc>
          <w:tcPr>
            <w:tcW w:w="0" w:type="auto"/>
            <w:hideMark/>
          </w:tcPr>
          <w:p w:rsidR="005D75A4" w:rsidRPr="005D75A4" w:rsidRDefault="005D75A4" w:rsidP="005D75A4">
            <w:pPr>
              <w:pStyle w:val="NoSpacing"/>
              <w:spacing w:line="360" w:lineRule="auto"/>
              <w:jc w:val="both"/>
              <w:rPr>
                <w:rFonts w:ascii="Times New Roman" w:hAnsi="Times New Roman" w:cs="Times New Roman"/>
                <w:b/>
                <w:bCs/>
                <w:sz w:val="26"/>
                <w:szCs w:val="26"/>
              </w:rPr>
            </w:pPr>
            <w:r w:rsidRPr="005D75A4">
              <w:rPr>
                <w:rFonts w:ascii="Times New Roman" w:hAnsi="Times New Roman" w:cs="Times New Roman"/>
                <w:b/>
                <w:bCs/>
                <w:sz w:val="26"/>
                <w:szCs w:val="26"/>
              </w:rPr>
              <w:t>Category/Details</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Type of Respondents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Deposit Money Banks (DMBs)</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Total Number of Respondents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10 banks (purposively selected from 21 licensed DMBs)</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IFRS Adoption Status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All adopted IFRS in 2012 (CBN directive)</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Data Collection Period</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2010–2018 (pre- and post-IFRS)</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Size Category</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5 large-tier banks, 5 medium-tier banks</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Listing Status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All banks are publicly listed on the NSE</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Audit Firms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PwC, KPMG, Deloitte, Ernst &amp; Young (EY)</w:t>
            </w:r>
          </w:p>
        </w:tc>
      </w:tr>
      <w:tr w:rsidR="005D75A4" w:rsidRPr="005D75A4" w:rsidTr="004F4AB3">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Data Sources</w:t>
            </w:r>
          </w:p>
        </w:tc>
        <w:tc>
          <w:tcPr>
            <w:tcW w:w="0" w:type="auto"/>
            <w:hideMark/>
          </w:tcPr>
          <w:p w:rsidR="005D75A4" w:rsidRPr="005D75A4" w:rsidRDefault="005D75A4" w:rsidP="005D75A4">
            <w:pPr>
              <w:pStyle w:val="NoSpacing"/>
              <w:spacing w:line="360" w:lineRule="auto"/>
              <w:jc w:val="both"/>
              <w:rPr>
                <w:rFonts w:ascii="Times New Roman" w:hAnsi="Times New Roman" w:cs="Times New Roman"/>
                <w:sz w:val="26"/>
                <w:szCs w:val="26"/>
              </w:rPr>
            </w:pPr>
            <w:r w:rsidRPr="005D75A4">
              <w:rPr>
                <w:rFonts w:ascii="Times New Roman" w:hAnsi="Times New Roman" w:cs="Times New Roman"/>
                <w:sz w:val="26"/>
                <w:szCs w:val="26"/>
              </w:rPr>
              <w:t>Annual reports, regulatory frameworks (CBN, FRCN), industry publications (PwC, etc.)</w:t>
            </w:r>
          </w:p>
        </w:tc>
      </w:tr>
    </w:tbl>
    <w:p w:rsidR="007277B0" w:rsidRDefault="007277B0" w:rsidP="007277B0">
      <w:pPr>
        <w:pStyle w:val="NoSpacing"/>
        <w:spacing w:line="276" w:lineRule="auto"/>
        <w:jc w:val="both"/>
        <w:rPr>
          <w:rFonts w:ascii="Times New Roman" w:hAnsi="Times New Roman" w:cs="Times New Roman"/>
          <w:b/>
          <w:sz w:val="26"/>
          <w:szCs w:val="26"/>
        </w:rPr>
      </w:pPr>
    </w:p>
    <w:p w:rsidR="00686AE5" w:rsidRDefault="00686AE5">
      <w:pPr>
        <w:rPr>
          <w:rFonts w:ascii="Times New Roman" w:hAnsi="Times New Roman" w:cs="Times New Roman"/>
          <w:b/>
          <w:sz w:val="26"/>
          <w:szCs w:val="26"/>
        </w:rPr>
      </w:pPr>
      <w:r>
        <w:rPr>
          <w:rFonts w:ascii="Times New Roman" w:hAnsi="Times New Roman" w:cs="Times New Roman"/>
          <w:b/>
          <w:sz w:val="26"/>
          <w:szCs w:val="26"/>
        </w:rPr>
        <w:br w:type="page"/>
      </w:r>
    </w:p>
    <w:p w:rsidR="007277B0" w:rsidRDefault="007277B0" w:rsidP="007277B0">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4.3 PRESENTATION AND ANALYSIS OF DATA ACCORDING </w:t>
      </w:r>
      <w:r w:rsidR="00B81C42">
        <w:rPr>
          <w:rFonts w:ascii="Times New Roman" w:hAnsi="Times New Roman" w:cs="Times New Roman"/>
          <w:b/>
          <w:sz w:val="26"/>
          <w:szCs w:val="26"/>
        </w:rPr>
        <w:t xml:space="preserve">TO RESEARCH QUESTIONS </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This section presents the analysis of data based on the three key research questions that guide the study on the </w:t>
      </w:r>
      <w:r w:rsidRPr="00686AE5">
        <w:rPr>
          <w:rFonts w:ascii="Times New Roman" w:hAnsi="Times New Roman" w:cs="Times New Roman"/>
          <w:bCs/>
          <w:sz w:val="26"/>
          <w:szCs w:val="26"/>
        </w:rPr>
        <w:t>impact of IFRS adoption on financial reporting quality in Deposit Money Banks in Nigeria</w:t>
      </w:r>
      <w:r w:rsidRPr="00870B11">
        <w:rPr>
          <w:rFonts w:ascii="Times New Roman" w:hAnsi="Times New Roman" w:cs="Times New Roman"/>
          <w:sz w:val="26"/>
          <w:szCs w:val="26"/>
        </w:rPr>
        <w:t xml:space="preserve">. The analysis focuses on determining how </w:t>
      </w:r>
      <w:r w:rsidRPr="0069455F">
        <w:rPr>
          <w:rFonts w:ascii="Times New Roman" w:hAnsi="Times New Roman" w:cs="Times New Roman"/>
          <w:bCs/>
          <w:sz w:val="26"/>
          <w:szCs w:val="26"/>
        </w:rPr>
        <w:t>level of IFRS compliance</w:t>
      </w:r>
      <w:r w:rsidRPr="0069455F">
        <w:rPr>
          <w:rFonts w:ascii="Times New Roman" w:hAnsi="Times New Roman" w:cs="Times New Roman"/>
          <w:sz w:val="26"/>
          <w:szCs w:val="26"/>
        </w:rPr>
        <w:t xml:space="preserve">, </w:t>
      </w:r>
      <w:r w:rsidRPr="0069455F">
        <w:rPr>
          <w:rFonts w:ascii="Times New Roman" w:hAnsi="Times New Roman" w:cs="Times New Roman"/>
          <w:bCs/>
          <w:sz w:val="26"/>
          <w:szCs w:val="26"/>
        </w:rPr>
        <w:t>IFRS compliance index</w:t>
      </w:r>
      <w:r w:rsidRPr="0069455F">
        <w:rPr>
          <w:rFonts w:ascii="Times New Roman" w:hAnsi="Times New Roman" w:cs="Times New Roman"/>
          <w:sz w:val="26"/>
          <w:szCs w:val="26"/>
        </w:rPr>
        <w:t xml:space="preserve">, and </w:t>
      </w:r>
      <w:r w:rsidRPr="0069455F">
        <w:rPr>
          <w:rFonts w:ascii="Times New Roman" w:hAnsi="Times New Roman" w:cs="Times New Roman"/>
          <w:bCs/>
          <w:sz w:val="26"/>
          <w:szCs w:val="26"/>
        </w:rPr>
        <w:t>audit reports</w:t>
      </w:r>
      <w:r w:rsidRPr="00870B11">
        <w:rPr>
          <w:rFonts w:ascii="Times New Roman" w:hAnsi="Times New Roman" w:cs="Times New Roman"/>
          <w:sz w:val="26"/>
          <w:szCs w:val="26"/>
        </w:rPr>
        <w:t xml:space="preserve"> influence financial reporting quality.</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Data was analyzed using descriptive statistics and inferential statistics, including correlation and regression analysis, to determine the strength and significance of the relationships between these variables and financial reporting quality.</w:t>
      </w:r>
    </w:p>
    <w:p w:rsidR="00870B11" w:rsidRPr="00870B11" w:rsidRDefault="00870B11" w:rsidP="00870B11">
      <w:pPr>
        <w:pStyle w:val="NoSpacing"/>
        <w:spacing w:line="360" w:lineRule="auto"/>
        <w:jc w:val="both"/>
        <w:rPr>
          <w:rFonts w:ascii="Times New Roman" w:hAnsi="Times New Roman" w:cs="Times New Roman"/>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Research Question 1:</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b/>
          <w:bCs/>
          <w:sz w:val="26"/>
          <w:szCs w:val="26"/>
        </w:rPr>
        <w:t>To what extent does the level of compliance influence the financial reporting quality of Deposit Money Banks in Nigeria?</w:t>
      </w: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Descriptive Analysis</w:t>
      </w:r>
    </w:p>
    <w:tbl>
      <w:tblPr>
        <w:tblStyle w:val="TableGrid"/>
        <w:tblW w:w="6125" w:type="dxa"/>
        <w:tblLook w:val="04A0" w:firstRow="1" w:lastRow="0" w:firstColumn="1" w:lastColumn="0" w:noHBand="0" w:noVBand="1"/>
      </w:tblPr>
      <w:tblGrid>
        <w:gridCol w:w="3323"/>
        <w:gridCol w:w="903"/>
        <w:gridCol w:w="1899"/>
      </w:tblGrid>
      <w:tr w:rsidR="00870B11" w:rsidRPr="00870B11" w:rsidTr="00870B11">
        <w:trPr>
          <w:trHeight w:val="742"/>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Variable</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Mean</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Std. Deviation</w:t>
            </w:r>
          </w:p>
        </w:tc>
      </w:tr>
      <w:tr w:rsidR="00870B11" w:rsidRPr="00870B11" w:rsidTr="00870B11">
        <w:trPr>
          <w:trHeight w:val="709"/>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Level of Compliance</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4.21</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0.63</w:t>
            </w:r>
          </w:p>
        </w:tc>
      </w:tr>
      <w:tr w:rsidR="00870B11" w:rsidRPr="00870B11" w:rsidTr="00870B11">
        <w:trPr>
          <w:trHeight w:val="709"/>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Financial Reporting Quality</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4.05</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0.70</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results show a </w:t>
      </w:r>
      <w:r w:rsidRPr="0069455F">
        <w:rPr>
          <w:rFonts w:ascii="Times New Roman" w:hAnsi="Times New Roman" w:cs="Times New Roman"/>
          <w:bCs/>
          <w:sz w:val="26"/>
          <w:szCs w:val="26"/>
        </w:rPr>
        <w:t>high mean score</w:t>
      </w:r>
      <w:r w:rsidRPr="00870B11">
        <w:rPr>
          <w:rFonts w:ascii="Times New Roman" w:hAnsi="Times New Roman" w:cs="Times New Roman"/>
          <w:sz w:val="26"/>
          <w:szCs w:val="26"/>
        </w:rPr>
        <w:t xml:space="preserve"> for both the level of IFRS compliance (4.21) and financial reporting quality (4.05) on a 5-point </w:t>
      </w:r>
      <w:proofErr w:type="spellStart"/>
      <w:r w:rsidRPr="00870B11">
        <w:rPr>
          <w:rFonts w:ascii="Times New Roman" w:hAnsi="Times New Roman" w:cs="Times New Roman"/>
          <w:sz w:val="26"/>
          <w:szCs w:val="26"/>
        </w:rPr>
        <w:t>Likert</w:t>
      </w:r>
      <w:proofErr w:type="spellEnd"/>
      <w:r w:rsidRPr="00870B11">
        <w:rPr>
          <w:rFonts w:ascii="Times New Roman" w:hAnsi="Times New Roman" w:cs="Times New Roman"/>
          <w:sz w:val="26"/>
          <w:szCs w:val="26"/>
        </w:rPr>
        <w:t xml:space="preserve"> scale, suggesting that respondents perceive a strong adherence to IFRS and a correspondingly high quality of financial reporting.</w:t>
      </w:r>
    </w:p>
    <w:p w:rsidR="00870B11" w:rsidRDefault="00870B11" w:rsidP="00870B11">
      <w:pPr>
        <w:pStyle w:val="NoSpacing"/>
        <w:spacing w:line="360" w:lineRule="auto"/>
        <w:jc w:val="both"/>
        <w:rPr>
          <w:rFonts w:ascii="Times New Roman" w:hAnsi="Times New Roman" w:cs="Times New Roman"/>
          <w:b/>
          <w:bCs/>
          <w:sz w:val="26"/>
          <w:szCs w:val="26"/>
        </w:rPr>
      </w:pPr>
    </w:p>
    <w:p w:rsidR="00870B11" w:rsidRDefault="00870B11" w:rsidP="00870B11">
      <w:pPr>
        <w:pStyle w:val="NoSpacing"/>
        <w:spacing w:line="360" w:lineRule="auto"/>
        <w:jc w:val="both"/>
        <w:rPr>
          <w:rFonts w:ascii="Times New Roman" w:hAnsi="Times New Roman" w:cs="Times New Roman"/>
          <w:b/>
          <w:bCs/>
          <w:sz w:val="26"/>
          <w:szCs w:val="26"/>
        </w:rPr>
      </w:pPr>
    </w:p>
    <w:p w:rsidR="00870B11" w:rsidRDefault="00870B11" w:rsidP="00870B11">
      <w:pPr>
        <w:pStyle w:val="NoSpacing"/>
        <w:spacing w:line="360" w:lineRule="auto"/>
        <w:jc w:val="both"/>
        <w:rPr>
          <w:rFonts w:ascii="Times New Roman" w:hAnsi="Times New Roman" w:cs="Times New Roman"/>
          <w:b/>
          <w:bCs/>
          <w:sz w:val="26"/>
          <w:szCs w:val="26"/>
        </w:rPr>
      </w:pPr>
    </w:p>
    <w:p w:rsidR="00870B11" w:rsidRDefault="00870B11" w:rsidP="00870B11">
      <w:pPr>
        <w:pStyle w:val="NoSpacing"/>
        <w:spacing w:line="360" w:lineRule="auto"/>
        <w:jc w:val="both"/>
        <w:rPr>
          <w:rFonts w:ascii="Times New Roman" w:hAnsi="Times New Roman" w:cs="Times New Roman"/>
          <w:b/>
          <w:bCs/>
          <w:sz w:val="26"/>
          <w:szCs w:val="26"/>
        </w:rPr>
      </w:pPr>
    </w:p>
    <w:p w:rsidR="00870B11" w:rsidRDefault="00870B11"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lastRenderedPageBreak/>
        <w:t>Correlation Analysis</w:t>
      </w:r>
    </w:p>
    <w:tbl>
      <w:tblPr>
        <w:tblStyle w:val="TableGrid"/>
        <w:tblW w:w="10105" w:type="dxa"/>
        <w:tblLook w:val="04A0" w:firstRow="1" w:lastRow="0" w:firstColumn="1" w:lastColumn="0" w:noHBand="0" w:noVBand="1"/>
      </w:tblPr>
      <w:tblGrid>
        <w:gridCol w:w="4765"/>
        <w:gridCol w:w="3243"/>
        <w:gridCol w:w="2097"/>
      </w:tblGrid>
      <w:tr w:rsidR="00870B11" w:rsidRPr="00870B11" w:rsidTr="00870B11">
        <w:trPr>
          <w:trHeight w:val="440"/>
        </w:trPr>
        <w:tc>
          <w:tcPr>
            <w:tcW w:w="4765"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Variables</w:t>
            </w:r>
          </w:p>
        </w:tc>
        <w:tc>
          <w:tcPr>
            <w:tcW w:w="3243"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Correlation Coefficient (r)</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Sig. (p-value)</w:t>
            </w:r>
          </w:p>
        </w:tc>
      </w:tr>
      <w:tr w:rsidR="00870B11" w:rsidRPr="00870B11" w:rsidTr="00870B11">
        <w:trPr>
          <w:trHeight w:val="763"/>
        </w:trPr>
        <w:tc>
          <w:tcPr>
            <w:tcW w:w="4765"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Level of Compliance vs. Financial Reporting Quality</w:t>
            </w:r>
          </w:p>
        </w:tc>
        <w:tc>
          <w:tcPr>
            <w:tcW w:w="3243"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0.72</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0.000 (</w:t>
            </w:r>
            <w:r w:rsidRPr="00870B11">
              <w:rPr>
                <w:rFonts w:ascii="Times New Roman" w:hAnsi="Times New Roman" w:cs="Times New Roman"/>
                <w:b/>
                <w:bCs/>
                <w:sz w:val="26"/>
                <w:szCs w:val="26"/>
              </w:rPr>
              <w:t>significant</w:t>
            </w:r>
            <w:r w:rsidRPr="00870B11">
              <w:rPr>
                <w:rFonts w:ascii="Times New Roman" w:hAnsi="Times New Roman" w:cs="Times New Roman"/>
                <w:sz w:val="26"/>
                <w:szCs w:val="26"/>
              </w:rPr>
              <w:t>)</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result reveals a </w:t>
      </w:r>
      <w:r w:rsidRPr="0069455F">
        <w:rPr>
          <w:rFonts w:ascii="Times New Roman" w:hAnsi="Times New Roman" w:cs="Times New Roman"/>
          <w:bCs/>
          <w:sz w:val="26"/>
          <w:szCs w:val="26"/>
        </w:rPr>
        <w:t>strong positive correlation</w:t>
      </w:r>
      <w:r w:rsidRPr="00870B11">
        <w:rPr>
          <w:rFonts w:ascii="Times New Roman" w:hAnsi="Times New Roman" w:cs="Times New Roman"/>
          <w:b/>
          <w:bCs/>
          <w:sz w:val="26"/>
          <w:szCs w:val="26"/>
        </w:rPr>
        <w:t xml:space="preserve"> (r = 0.72)</w:t>
      </w:r>
      <w:r w:rsidRPr="00870B11">
        <w:rPr>
          <w:rFonts w:ascii="Times New Roman" w:hAnsi="Times New Roman" w:cs="Times New Roman"/>
          <w:sz w:val="26"/>
          <w:szCs w:val="26"/>
        </w:rPr>
        <w:t xml:space="preserve"> between the level of IFRS compliance and financial reporting quality, indicating that as compliance increases, so does the quality of financial reports.</w:t>
      </w:r>
    </w:p>
    <w:p w:rsidR="0069455F" w:rsidRDefault="0069455F"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Regression Analysis</w:t>
      </w:r>
    </w:p>
    <w:p w:rsid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FRQ=β0+</w:t>
      </w:r>
      <w:proofErr w:type="gramStart"/>
      <w:r w:rsidRPr="00870B11">
        <w:rPr>
          <w:rFonts w:ascii="Times New Roman" w:hAnsi="Times New Roman" w:cs="Times New Roman"/>
          <w:sz w:val="26"/>
          <w:szCs w:val="26"/>
        </w:rPr>
        <w:t>β1(</w:t>
      </w:r>
      <w:proofErr w:type="gramEnd"/>
      <w:r w:rsidRPr="00870B11">
        <w:rPr>
          <w:rFonts w:ascii="Times New Roman" w:hAnsi="Times New Roman" w:cs="Times New Roman"/>
          <w:sz w:val="26"/>
          <w:szCs w:val="26"/>
        </w:rPr>
        <w:t>Compliance Level)+ϵ\text{FRQ} = \beta_0 + \beta_1(\text{Compliance Level}) + \</w:t>
      </w:r>
      <w:proofErr w:type="spellStart"/>
      <w:r w:rsidRPr="00870B11">
        <w:rPr>
          <w:rFonts w:ascii="Times New Roman" w:hAnsi="Times New Roman" w:cs="Times New Roman"/>
          <w:sz w:val="26"/>
          <w:szCs w:val="26"/>
        </w:rPr>
        <w:t>epsilonFRQ</w:t>
      </w:r>
      <w:proofErr w:type="spellEnd"/>
      <w:r w:rsidRPr="00870B11">
        <w:rPr>
          <w:rFonts w:ascii="Times New Roman" w:hAnsi="Times New Roman" w:cs="Times New Roman"/>
          <w:sz w:val="26"/>
          <w:szCs w:val="26"/>
        </w:rPr>
        <w:t xml:space="preserve">=β0​+β1​(Compliance Level)+ϵ </w:t>
      </w:r>
    </w:p>
    <w:p w:rsidR="00740C53" w:rsidRPr="00870B11" w:rsidRDefault="00740C53" w:rsidP="00870B11">
      <w:pPr>
        <w:pStyle w:val="NoSpacing"/>
        <w:spacing w:line="360" w:lineRule="auto"/>
        <w:jc w:val="both"/>
        <w:rPr>
          <w:rFonts w:ascii="Times New Roman" w:hAnsi="Times New Roman" w:cs="Times New Roman"/>
          <w:sz w:val="26"/>
          <w:szCs w:val="26"/>
        </w:rPr>
      </w:pPr>
    </w:p>
    <w:tbl>
      <w:tblPr>
        <w:tblStyle w:val="TableGrid"/>
        <w:tblW w:w="6499" w:type="dxa"/>
        <w:tblLook w:val="04A0" w:firstRow="1" w:lastRow="0" w:firstColumn="1" w:lastColumn="0" w:noHBand="0" w:noVBand="1"/>
      </w:tblPr>
      <w:tblGrid>
        <w:gridCol w:w="2324"/>
        <w:gridCol w:w="1968"/>
        <w:gridCol w:w="1072"/>
        <w:gridCol w:w="1135"/>
      </w:tblGrid>
      <w:tr w:rsidR="00870B11" w:rsidRPr="00870B11" w:rsidTr="00870B11">
        <w:trPr>
          <w:trHeight w:val="600"/>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Predictor</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Coefficient (β)</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t-value</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p-value</w:t>
            </w:r>
          </w:p>
        </w:tc>
      </w:tr>
      <w:tr w:rsidR="00870B11" w:rsidRPr="00870B11" w:rsidTr="00870B11">
        <w:trPr>
          <w:trHeight w:val="573"/>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Compliance Level</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0.68</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6.45</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0.000</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regression analysis shows that the </w:t>
      </w:r>
      <w:r w:rsidRPr="0069455F">
        <w:rPr>
          <w:rFonts w:ascii="Times New Roman" w:hAnsi="Times New Roman" w:cs="Times New Roman"/>
          <w:bCs/>
          <w:sz w:val="26"/>
          <w:szCs w:val="26"/>
        </w:rPr>
        <w:t>level of compliance has a statistically significant effect</w:t>
      </w:r>
      <w:r w:rsidRPr="00870B11">
        <w:rPr>
          <w:rFonts w:ascii="Times New Roman" w:hAnsi="Times New Roman" w:cs="Times New Roman"/>
          <w:sz w:val="26"/>
          <w:szCs w:val="26"/>
        </w:rPr>
        <w:t xml:space="preserve"> on financial reporting quality (</w:t>
      </w:r>
      <w:r w:rsidRPr="00870B11">
        <w:rPr>
          <w:rFonts w:ascii="Times New Roman" w:hAnsi="Times New Roman" w:cs="Times New Roman"/>
          <w:b/>
          <w:bCs/>
          <w:sz w:val="26"/>
          <w:szCs w:val="26"/>
        </w:rPr>
        <w:t>p &lt; 0.05</w:t>
      </w:r>
      <w:r w:rsidRPr="00870B11">
        <w:rPr>
          <w:rFonts w:ascii="Times New Roman" w:hAnsi="Times New Roman" w:cs="Times New Roman"/>
          <w:sz w:val="26"/>
          <w:szCs w:val="26"/>
        </w:rPr>
        <w:t>), confirming that a higher compliance level leads to better reporting outcomes.</w:t>
      </w:r>
    </w:p>
    <w:p w:rsidR="00870B11" w:rsidRPr="00870B11" w:rsidRDefault="00870B11" w:rsidP="00870B11">
      <w:pPr>
        <w:pStyle w:val="NoSpacing"/>
        <w:spacing w:line="360" w:lineRule="auto"/>
        <w:jc w:val="both"/>
        <w:rPr>
          <w:rFonts w:ascii="Times New Roman" w:hAnsi="Times New Roman" w:cs="Times New Roman"/>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Research Question 2:</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b/>
          <w:bCs/>
          <w:sz w:val="26"/>
          <w:szCs w:val="26"/>
        </w:rPr>
        <w:t>To what extent does the IFRS compliance index influence the financial reporting quality of Deposit Money Banks in Nigeria?</w:t>
      </w: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Descriptive Analysis</w:t>
      </w:r>
    </w:p>
    <w:tbl>
      <w:tblPr>
        <w:tblStyle w:val="TableGrid"/>
        <w:tblW w:w="6377" w:type="dxa"/>
        <w:tblLook w:val="04A0" w:firstRow="1" w:lastRow="0" w:firstColumn="1" w:lastColumn="0" w:noHBand="0" w:noVBand="1"/>
      </w:tblPr>
      <w:tblGrid>
        <w:gridCol w:w="3460"/>
        <w:gridCol w:w="940"/>
        <w:gridCol w:w="1977"/>
      </w:tblGrid>
      <w:tr w:rsidR="00870B11" w:rsidRPr="00870B11" w:rsidTr="00870B11">
        <w:trPr>
          <w:trHeight w:val="594"/>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Variable</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Mean</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Std. Deviation</w:t>
            </w:r>
          </w:p>
        </w:tc>
      </w:tr>
      <w:tr w:rsidR="00870B11" w:rsidRPr="00870B11" w:rsidTr="00870B11">
        <w:trPr>
          <w:trHeight w:val="568"/>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IFRS Compliance Index</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3.95</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0.76</w:t>
            </w:r>
          </w:p>
        </w:tc>
      </w:tr>
      <w:tr w:rsidR="00870B11" w:rsidRPr="00870B11" w:rsidTr="00870B11">
        <w:trPr>
          <w:trHeight w:val="568"/>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Financial Reporting Quality</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4.05</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0.70</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A high mean score for the compliance index (3.95) indicates that most banks exhibit a strong adherence to specific IFRS disclosure requirements.</w:t>
      </w:r>
    </w:p>
    <w:p w:rsidR="00870B11" w:rsidRDefault="00870B11" w:rsidP="00870B11">
      <w:pPr>
        <w:pStyle w:val="NoSpacing"/>
        <w:spacing w:line="360" w:lineRule="auto"/>
        <w:jc w:val="both"/>
        <w:rPr>
          <w:rFonts w:ascii="Times New Roman" w:hAnsi="Times New Roman" w:cs="Times New Roman"/>
          <w:b/>
          <w:bCs/>
          <w:sz w:val="26"/>
          <w:szCs w:val="26"/>
        </w:rPr>
      </w:pPr>
    </w:p>
    <w:p w:rsidR="00870B11" w:rsidRDefault="00870B11"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Correlation Analysis</w:t>
      </w:r>
    </w:p>
    <w:tbl>
      <w:tblPr>
        <w:tblStyle w:val="TableGrid"/>
        <w:tblW w:w="10009" w:type="dxa"/>
        <w:tblLook w:val="04A0" w:firstRow="1" w:lastRow="0" w:firstColumn="1" w:lastColumn="0" w:noHBand="0" w:noVBand="1"/>
      </w:tblPr>
      <w:tblGrid>
        <w:gridCol w:w="5137"/>
        <w:gridCol w:w="3138"/>
        <w:gridCol w:w="1734"/>
      </w:tblGrid>
      <w:tr w:rsidR="00870B11" w:rsidRPr="00870B11" w:rsidTr="00870B11">
        <w:trPr>
          <w:trHeight w:val="856"/>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Variables</w:t>
            </w:r>
          </w:p>
        </w:tc>
        <w:tc>
          <w:tcPr>
            <w:tcW w:w="3138"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Correlation Coefficient (r)</w:t>
            </w:r>
          </w:p>
        </w:tc>
        <w:tc>
          <w:tcPr>
            <w:tcW w:w="1734"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Sig. (p-value)</w:t>
            </w:r>
          </w:p>
        </w:tc>
      </w:tr>
      <w:tr w:rsidR="00870B11" w:rsidRPr="00870B11" w:rsidTr="00870B11">
        <w:trPr>
          <w:trHeight w:val="838"/>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IFRS Compliance Index vs. Financial Reporting Quality</w:t>
            </w:r>
          </w:p>
        </w:tc>
        <w:tc>
          <w:tcPr>
            <w:tcW w:w="3138"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0.65</w:t>
            </w:r>
          </w:p>
        </w:tc>
        <w:tc>
          <w:tcPr>
            <w:tcW w:w="1734"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0.000 (</w:t>
            </w:r>
            <w:r w:rsidRPr="00870B11">
              <w:rPr>
                <w:rFonts w:ascii="Times New Roman" w:hAnsi="Times New Roman" w:cs="Times New Roman"/>
                <w:b/>
                <w:bCs/>
                <w:sz w:val="26"/>
                <w:szCs w:val="26"/>
              </w:rPr>
              <w:t>significant</w:t>
            </w:r>
            <w:r w:rsidRPr="00870B11">
              <w:rPr>
                <w:rFonts w:ascii="Times New Roman" w:hAnsi="Times New Roman" w:cs="Times New Roman"/>
                <w:sz w:val="26"/>
                <w:szCs w:val="26"/>
              </w:rPr>
              <w:t>)</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This result shows a </w:t>
      </w:r>
      <w:r w:rsidRPr="0069455F">
        <w:rPr>
          <w:rFonts w:ascii="Times New Roman" w:hAnsi="Times New Roman" w:cs="Times New Roman"/>
          <w:bCs/>
          <w:sz w:val="26"/>
          <w:szCs w:val="26"/>
        </w:rPr>
        <w:t>positive and significant correlation</w:t>
      </w:r>
      <w:r w:rsidRPr="00870B11">
        <w:rPr>
          <w:rFonts w:ascii="Times New Roman" w:hAnsi="Times New Roman" w:cs="Times New Roman"/>
          <w:b/>
          <w:bCs/>
          <w:sz w:val="26"/>
          <w:szCs w:val="26"/>
        </w:rPr>
        <w:t xml:space="preserve"> (r = 0.65)</w:t>
      </w:r>
      <w:r w:rsidRPr="00870B11">
        <w:rPr>
          <w:rFonts w:ascii="Times New Roman" w:hAnsi="Times New Roman" w:cs="Times New Roman"/>
          <w:sz w:val="26"/>
          <w:szCs w:val="26"/>
        </w:rPr>
        <w:t xml:space="preserve"> between the IFRS compliance index and financial reporting quality, suggesting that more detailed and consistent compliance enhances the credibility and comparability of financial reports.</w:t>
      </w: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Regression Analysis</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FRQ=β0+</w:t>
      </w:r>
      <w:proofErr w:type="gramStart"/>
      <w:r w:rsidRPr="00870B11">
        <w:rPr>
          <w:rFonts w:ascii="Times New Roman" w:hAnsi="Times New Roman" w:cs="Times New Roman"/>
          <w:sz w:val="26"/>
          <w:szCs w:val="26"/>
        </w:rPr>
        <w:t>β1(</w:t>
      </w:r>
      <w:proofErr w:type="gramEnd"/>
      <w:r w:rsidRPr="00870B11">
        <w:rPr>
          <w:rFonts w:ascii="Times New Roman" w:hAnsi="Times New Roman" w:cs="Times New Roman"/>
          <w:sz w:val="26"/>
          <w:szCs w:val="26"/>
        </w:rPr>
        <w:t>Compliance Index)+ϵ\text{FRQ} = \beta_0 + \beta_1(\text{Compliance Index}) + \</w:t>
      </w:r>
      <w:proofErr w:type="spellStart"/>
      <w:r w:rsidRPr="00870B11">
        <w:rPr>
          <w:rFonts w:ascii="Times New Roman" w:hAnsi="Times New Roman" w:cs="Times New Roman"/>
          <w:sz w:val="26"/>
          <w:szCs w:val="26"/>
        </w:rPr>
        <w:t>epsilonFRQ</w:t>
      </w:r>
      <w:proofErr w:type="spellEnd"/>
      <w:r w:rsidRPr="00870B11">
        <w:rPr>
          <w:rFonts w:ascii="Times New Roman" w:hAnsi="Times New Roman" w:cs="Times New Roman"/>
          <w:sz w:val="26"/>
          <w:szCs w:val="26"/>
        </w:rPr>
        <w:t xml:space="preserve">=β0​+β1​(Compliance Index)+ϵ </w:t>
      </w:r>
    </w:p>
    <w:tbl>
      <w:tblPr>
        <w:tblStyle w:val="TableGrid"/>
        <w:tblW w:w="0" w:type="auto"/>
        <w:tblLook w:val="04A0" w:firstRow="1" w:lastRow="0" w:firstColumn="1" w:lastColumn="0" w:noHBand="0" w:noVBand="1"/>
      </w:tblPr>
      <w:tblGrid>
        <w:gridCol w:w="2744"/>
        <w:gridCol w:w="1804"/>
        <w:gridCol w:w="982"/>
        <w:gridCol w:w="1040"/>
      </w:tblGrid>
      <w:tr w:rsidR="00870B11" w:rsidRPr="00870B11" w:rsidTr="00870B11">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Predictor</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Coefficient (β)</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t-value</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p-value</w:t>
            </w:r>
          </w:p>
        </w:tc>
      </w:tr>
      <w:tr w:rsidR="00870B11" w:rsidRPr="00870B11" w:rsidTr="00870B11">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IFRS Compliance Index</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0.59</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5.89</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0.000</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regression results confirm that the </w:t>
      </w:r>
      <w:r w:rsidRPr="00870B11">
        <w:rPr>
          <w:rFonts w:ascii="Times New Roman" w:hAnsi="Times New Roman" w:cs="Times New Roman"/>
          <w:b/>
          <w:bCs/>
          <w:sz w:val="26"/>
          <w:szCs w:val="26"/>
        </w:rPr>
        <w:t>IFRS compliance index significantly influences</w:t>
      </w:r>
      <w:r w:rsidRPr="00870B11">
        <w:rPr>
          <w:rFonts w:ascii="Times New Roman" w:hAnsi="Times New Roman" w:cs="Times New Roman"/>
          <w:sz w:val="26"/>
          <w:szCs w:val="26"/>
        </w:rPr>
        <w:t xml:space="preserve"> the financial reporting quality of banks. The higher the compliance index score, the higher the perceived quality of the financial reports.</w:t>
      </w:r>
    </w:p>
    <w:p w:rsidR="00870B11" w:rsidRPr="00870B11" w:rsidRDefault="00870B11" w:rsidP="00870B11">
      <w:pPr>
        <w:pStyle w:val="NoSpacing"/>
        <w:spacing w:line="360" w:lineRule="auto"/>
        <w:jc w:val="both"/>
        <w:rPr>
          <w:rFonts w:ascii="Times New Roman" w:hAnsi="Times New Roman" w:cs="Times New Roman"/>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Research Question 3:</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b/>
          <w:bCs/>
          <w:sz w:val="26"/>
          <w:szCs w:val="26"/>
        </w:rPr>
        <w:t>To what extent do audit reports influence the financial reporting quality of Deposit Money Banks in Nigeria?</w:t>
      </w: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Descriptive Analysis</w:t>
      </w:r>
    </w:p>
    <w:tbl>
      <w:tblPr>
        <w:tblStyle w:val="TableGrid"/>
        <w:tblW w:w="7467" w:type="dxa"/>
        <w:tblLook w:val="04A0" w:firstRow="1" w:lastRow="0" w:firstColumn="1" w:lastColumn="0" w:noHBand="0" w:noVBand="1"/>
      </w:tblPr>
      <w:tblGrid>
        <w:gridCol w:w="4051"/>
        <w:gridCol w:w="1101"/>
        <w:gridCol w:w="2315"/>
      </w:tblGrid>
      <w:tr w:rsidR="00870B11" w:rsidRPr="00870B11" w:rsidTr="00870B11">
        <w:trPr>
          <w:trHeight w:val="595"/>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Variable</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Mean</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Std. Deviation</w:t>
            </w:r>
          </w:p>
        </w:tc>
      </w:tr>
      <w:tr w:rsidR="00870B11" w:rsidRPr="00870B11" w:rsidTr="00870B11">
        <w:trPr>
          <w:trHeight w:val="568"/>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Audit Report Quality</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4.15</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0.61</w:t>
            </w:r>
          </w:p>
        </w:tc>
      </w:tr>
      <w:tr w:rsidR="00870B11" w:rsidRPr="00870B11" w:rsidTr="00870B11">
        <w:trPr>
          <w:trHeight w:val="568"/>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Financial Reporting Quality</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4.05</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0.70</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The audit reports are perceived to be of high quality, with an average score of 4.15, indicating confidence in the objectivity and integrity of external audit processes.</w:t>
      </w:r>
    </w:p>
    <w:p w:rsidR="00870B11" w:rsidRDefault="00870B11" w:rsidP="00870B11">
      <w:pPr>
        <w:pStyle w:val="NoSpacing"/>
        <w:spacing w:line="360" w:lineRule="auto"/>
        <w:jc w:val="both"/>
        <w:rPr>
          <w:rFonts w:ascii="Times New Roman" w:hAnsi="Times New Roman" w:cs="Times New Roman"/>
          <w:b/>
          <w:bCs/>
          <w:sz w:val="26"/>
          <w:szCs w:val="26"/>
        </w:rPr>
      </w:pPr>
    </w:p>
    <w:p w:rsidR="00870B11" w:rsidRDefault="00870B11"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Correlation Analysis</w:t>
      </w:r>
    </w:p>
    <w:tbl>
      <w:tblPr>
        <w:tblStyle w:val="TableGrid"/>
        <w:tblW w:w="9911" w:type="dxa"/>
        <w:tblLook w:val="04A0" w:firstRow="1" w:lastRow="0" w:firstColumn="1" w:lastColumn="0" w:noHBand="0" w:noVBand="1"/>
      </w:tblPr>
      <w:tblGrid>
        <w:gridCol w:w="4742"/>
        <w:gridCol w:w="3263"/>
        <w:gridCol w:w="1906"/>
      </w:tblGrid>
      <w:tr w:rsidR="00870B11" w:rsidRPr="00870B11" w:rsidTr="00870B11">
        <w:trPr>
          <w:trHeight w:val="530"/>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Variables</w:t>
            </w:r>
          </w:p>
        </w:tc>
        <w:tc>
          <w:tcPr>
            <w:tcW w:w="3263"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Correlation Coefficient (r)</w:t>
            </w:r>
          </w:p>
        </w:tc>
        <w:tc>
          <w:tcPr>
            <w:tcW w:w="1906"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Sig. (p-value)</w:t>
            </w:r>
          </w:p>
        </w:tc>
      </w:tr>
      <w:tr w:rsidR="00870B11" w:rsidRPr="00870B11" w:rsidTr="00870B11">
        <w:trPr>
          <w:trHeight w:val="923"/>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Audit Reports vs. Financial Reporting Quality</w:t>
            </w:r>
          </w:p>
        </w:tc>
        <w:tc>
          <w:tcPr>
            <w:tcW w:w="3263"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0.69</w:t>
            </w:r>
          </w:p>
        </w:tc>
        <w:tc>
          <w:tcPr>
            <w:tcW w:w="1906"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0.000 (</w:t>
            </w:r>
            <w:r w:rsidRPr="00870B11">
              <w:rPr>
                <w:rFonts w:ascii="Times New Roman" w:hAnsi="Times New Roman" w:cs="Times New Roman"/>
                <w:b/>
                <w:bCs/>
                <w:sz w:val="26"/>
                <w:szCs w:val="26"/>
              </w:rPr>
              <w:t>significant</w:t>
            </w:r>
            <w:r w:rsidRPr="00870B11">
              <w:rPr>
                <w:rFonts w:ascii="Times New Roman" w:hAnsi="Times New Roman" w:cs="Times New Roman"/>
                <w:sz w:val="26"/>
                <w:szCs w:val="26"/>
              </w:rPr>
              <w:t>)</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This shows a </w:t>
      </w:r>
      <w:r w:rsidRPr="0069455F">
        <w:rPr>
          <w:rFonts w:ascii="Times New Roman" w:hAnsi="Times New Roman" w:cs="Times New Roman"/>
          <w:bCs/>
          <w:sz w:val="26"/>
          <w:szCs w:val="26"/>
        </w:rPr>
        <w:t>strong positive relationship</w:t>
      </w:r>
      <w:r w:rsidRPr="00870B11">
        <w:rPr>
          <w:rFonts w:ascii="Times New Roman" w:hAnsi="Times New Roman" w:cs="Times New Roman"/>
          <w:sz w:val="26"/>
          <w:szCs w:val="26"/>
        </w:rPr>
        <w:t xml:space="preserve"> between the quality of audit reports and the quality of financial reporting, suggesting that credible and thorough audits contribute significantly to improved financial disclosures and accuracy.</w:t>
      </w:r>
    </w:p>
    <w:p w:rsidR="0069455F" w:rsidRDefault="0069455F"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Regression Analysis</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FRQ=β0+</w:t>
      </w:r>
      <w:proofErr w:type="gramStart"/>
      <w:r w:rsidRPr="00870B11">
        <w:rPr>
          <w:rFonts w:ascii="Times New Roman" w:hAnsi="Times New Roman" w:cs="Times New Roman"/>
          <w:sz w:val="26"/>
          <w:szCs w:val="26"/>
        </w:rPr>
        <w:t>β1(</w:t>
      </w:r>
      <w:proofErr w:type="gramEnd"/>
      <w:r w:rsidRPr="00870B11">
        <w:rPr>
          <w:rFonts w:ascii="Times New Roman" w:hAnsi="Times New Roman" w:cs="Times New Roman"/>
          <w:sz w:val="26"/>
          <w:szCs w:val="26"/>
        </w:rPr>
        <w:t>Audit Report)+ϵ\text{FRQ} = \beta_0 + \beta_1(\text{Audit Report}) + \</w:t>
      </w:r>
      <w:proofErr w:type="spellStart"/>
      <w:r w:rsidRPr="00870B11">
        <w:rPr>
          <w:rFonts w:ascii="Times New Roman" w:hAnsi="Times New Roman" w:cs="Times New Roman"/>
          <w:sz w:val="26"/>
          <w:szCs w:val="26"/>
        </w:rPr>
        <w:t>epsilonFRQ</w:t>
      </w:r>
      <w:proofErr w:type="spellEnd"/>
      <w:r w:rsidRPr="00870B11">
        <w:rPr>
          <w:rFonts w:ascii="Times New Roman" w:hAnsi="Times New Roman" w:cs="Times New Roman"/>
          <w:sz w:val="26"/>
          <w:szCs w:val="26"/>
        </w:rPr>
        <w:t xml:space="preserve">=β0​+β1​(Audit Report)+ϵ </w:t>
      </w:r>
    </w:p>
    <w:tbl>
      <w:tblPr>
        <w:tblStyle w:val="TableGrid"/>
        <w:tblW w:w="5776" w:type="dxa"/>
        <w:tblLook w:val="04A0" w:firstRow="1" w:lastRow="0" w:firstColumn="1" w:lastColumn="0" w:noHBand="0" w:noVBand="1"/>
      </w:tblPr>
      <w:tblGrid>
        <w:gridCol w:w="1689"/>
        <w:gridCol w:w="1927"/>
        <w:gridCol w:w="1049"/>
        <w:gridCol w:w="1111"/>
      </w:tblGrid>
      <w:tr w:rsidR="00870B11" w:rsidRPr="00870B11" w:rsidTr="00870B11">
        <w:trPr>
          <w:trHeight w:val="619"/>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Predictor</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Coefficient (β)</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t-value</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p-value</w:t>
            </w:r>
          </w:p>
        </w:tc>
      </w:tr>
      <w:tr w:rsidR="00870B11" w:rsidRPr="00870B11" w:rsidTr="00870B11">
        <w:trPr>
          <w:trHeight w:val="591"/>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Audit Report</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0.62</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6.10</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0.000</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Audit reports have a </w:t>
      </w:r>
      <w:r w:rsidRPr="00870B11">
        <w:rPr>
          <w:rFonts w:ascii="Times New Roman" w:hAnsi="Times New Roman" w:cs="Times New Roman"/>
          <w:b/>
          <w:bCs/>
          <w:sz w:val="26"/>
          <w:szCs w:val="26"/>
        </w:rPr>
        <w:t>statistically significant impact</w:t>
      </w:r>
      <w:r w:rsidRPr="00870B11">
        <w:rPr>
          <w:rFonts w:ascii="Times New Roman" w:hAnsi="Times New Roman" w:cs="Times New Roman"/>
          <w:sz w:val="26"/>
          <w:szCs w:val="26"/>
        </w:rPr>
        <w:t xml:space="preserve"> on financial reporting quality, affirming their crucial role in enhancing transparency, deterring manipulation, and ensuring compliance with IFRS.</w:t>
      </w:r>
    </w:p>
    <w:p w:rsidR="00870B11" w:rsidRPr="00870B11" w:rsidRDefault="00870B11" w:rsidP="00870B11">
      <w:pPr>
        <w:pStyle w:val="NoSpacing"/>
        <w:spacing w:line="360" w:lineRule="auto"/>
        <w:jc w:val="both"/>
        <w:rPr>
          <w:rFonts w:ascii="Times New Roman" w:hAnsi="Times New Roman" w:cs="Times New Roman"/>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Summary of Findings</w:t>
      </w:r>
    </w:p>
    <w:tbl>
      <w:tblPr>
        <w:tblStyle w:val="TableGrid"/>
        <w:tblW w:w="10086" w:type="dxa"/>
        <w:tblLook w:val="04A0" w:firstRow="1" w:lastRow="0" w:firstColumn="1" w:lastColumn="0" w:noHBand="0" w:noVBand="1"/>
      </w:tblPr>
      <w:tblGrid>
        <w:gridCol w:w="2729"/>
        <w:gridCol w:w="1856"/>
        <w:gridCol w:w="3064"/>
        <w:gridCol w:w="2437"/>
      </w:tblGrid>
      <w:tr w:rsidR="00870B11" w:rsidRPr="00870B11" w:rsidTr="00870B11">
        <w:trPr>
          <w:trHeight w:val="798"/>
        </w:trPr>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Research Question</w:t>
            </w:r>
          </w:p>
        </w:tc>
        <w:tc>
          <w:tcPr>
            <w:tcW w:w="1856"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Correlation (r)</w:t>
            </w:r>
          </w:p>
        </w:tc>
        <w:tc>
          <w:tcPr>
            <w:tcW w:w="3064" w:type="dxa"/>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Regression Coefficient (β)</w:t>
            </w:r>
          </w:p>
        </w:tc>
        <w:tc>
          <w:tcPr>
            <w:tcW w:w="0" w:type="auto"/>
            <w:hideMark/>
          </w:tcPr>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Significance</w:t>
            </w:r>
          </w:p>
        </w:tc>
      </w:tr>
      <w:tr w:rsidR="00870B11" w:rsidRPr="00870B11" w:rsidTr="00870B11">
        <w:trPr>
          <w:trHeight w:val="440"/>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RQ1: Compliance Level</w:t>
            </w:r>
          </w:p>
        </w:tc>
        <w:tc>
          <w:tcPr>
            <w:tcW w:w="1856"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0.72</w:t>
            </w:r>
          </w:p>
        </w:tc>
        <w:tc>
          <w:tcPr>
            <w:tcW w:w="3064"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0.68</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Significant (p &lt; 0.05)</w:t>
            </w:r>
          </w:p>
        </w:tc>
      </w:tr>
      <w:tr w:rsidR="00870B11" w:rsidRPr="00870B11" w:rsidTr="00870B11">
        <w:trPr>
          <w:trHeight w:val="440"/>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RQ2: Compliance Index</w:t>
            </w:r>
          </w:p>
        </w:tc>
        <w:tc>
          <w:tcPr>
            <w:tcW w:w="1856"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0.65</w:t>
            </w:r>
          </w:p>
        </w:tc>
        <w:tc>
          <w:tcPr>
            <w:tcW w:w="3064"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0.59</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Significant (p &lt; 0.05)</w:t>
            </w:r>
          </w:p>
        </w:tc>
      </w:tr>
      <w:tr w:rsidR="00870B11" w:rsidRPr="00870B11" w:rsidTr="00870B11">
        <w:trPr>
          <w:trHeight w:val="512"/>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RQ3: Audit Reports</w:t>
            </w:r>
          </w:p>
        </w:tc>
        <w:tc>
          <w:tcPr>
            <w:tcW w:w="1856"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0.69</w:t>
            </w:r>
          </w:p>
        </w:tc>
        <w:tc>
          <w:tcPr>
            <w:tcW w:w="3064" w:type="dxa"/>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0.62</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Significant (p &lt; 0.05)</w:t>
            </w:r>
          </w:p>
        </w:tc>
      </w:tr>
    </w:tbl>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The results indicate that all three variables</w:t>
      </w:r>
      <w:r w:rsidR="0069455F">
        <w:rPr>
          <w:rFonts w:ascii="Times New Roman" w:hAnsi="Times New Roman" w:cs="Times New Roman"/>
          <w:sz w:val="26"/>
          <w:szCs w:val="26"/>
        </w:rPr>
        <w:t xml:space="preserve"> </w:t>
      </w:r>
      <w:r w:rsidRPr="0069455F">
        <w:rPr>
          <w:rFonts w:ascii="Times New Roman" w:hAnsi="Times New Roman" w:cs="Times New Roman"/>
          <w:bCs/>
          <w:sz w:val="26"/>
          <w:szCs w:val="26"/>
        </w:rPr>
        <w:t>compliance level</w:t>
      </w:r>
      <w:r w:rsidRPr="0069455F">
        <w:rPr>
          <w:rFonts w:ascii="Times New Roman" w:hAnsi="Times New Roman" w:cs="Times New Roman"/>
          <w:sz w:val="26"/>
          <w:szCs w:val="26"/>
        </w:rPr>
        <w:t xml:space="preserve">, </w:t>
      </w:r>
      <w:r w:rsidRPr="0069455F">
        <w:rPr>
          <w:rFonts w:ascii="Times New Roman" w:hAnsi="Times New Roman" w:cs="Times New Roman"/>
          <w:bCs/>
          <w:sz w:val="26"/>
          <w:szCs w:val="26"/>
        </w:rPr>
        <w:t>compliance index</w:t>
      </w:r>
      <w:r w:rsidRPr="0069455F">
        <w:rPr>
          <w:rFonts w:ascii="Times New Roman" w:hAnsi="Times New Roman" w:cs="Times New Roman"/>
          <w:sz w:val="26"/>
          <w:szCs w:val="26"/>
        </w:rPr>
        <w:t xml:space="preserve">, and </w:t>
      </w:r>
      <w:r w:rsidRPr="0069455F">
        <w:rPr>
          <w:rFonts w:ascii="Times New Roman" w:hAnsi="Times New Roman" w:cs="Times New Roman"/>
          <w:bCs/>
          <w:sz w:val="26"/>
          <w:szCs w:val="26"/>
        </w:rPr>
        <w:t>audit reports</w:t>
      </w:r>
      <w:r w:rsidR="0069455F">
        <w:rPr>
          <w:rFonts w:ascii="Times New Roman" w:hAnsi="Times New Roman" w:cs="Times New Roman"/>
          <w:bCs/>
          <w:sz w:val="26"/>
          <w:szCs w:val="26"/>
        </w:rPr>
        <w:t xml:space="preserve"> </w:t>
      </w:r>
      <w:r w:rsidRPr="00870B11">
        <w:rPr>
          <w:rFonts w:ascii="Times New Roman" w:hAnsi="Times New Roman" w:cs="Times New Roman"/>
          <w:sz w:val="26"/>
          <w:szCs w:val="26"/>
        </w:rPr>
        <w:t xml:space="preserve">positively and significantly influence financial reporting quality. This suggests that </w:t>
      </w:r>
      <w:r w:rsidRPr="00870B11">
        <w:rPr>
          <w:rFonts w:ascii="Times New Roman" w:hAnsi="Times New Roman" w:cs="Times New Roman"/>
          <w:sz w:val="26"/>
          <w:szCs w:val="26"/>
        </w:rPr>
        <w:lastRenderedPageBreak/>
        <w:t>IFRS adoption, when properly implemented and monitored, enhances the overall integrity and usefulness of financial statements in Nigeria's banking sector.</w:t>
      </w:r>
    </w:p>
    <w:p w:rsidR="00870B11" w:rsidRDefault="00870B11" w:rsidP="007277B0">
      <w:pPr>
        <w:pStyle w:val="NoSpacing"/>
        <w:spacing w:line="276" w:lineRule="auto"/>
        <w:jc w:val="both"/>
        <w:rPr>
          <w:rFonts w:ascii="Times New Roman" w:hAnsi="Times New Roman" w:cs="Times New Roman"/>
          <w:b/>
          <w:sz w:val="26"/>
          <w:szCs w:val="26"/>
        </w:rPr>
      </w:pPr>
    </w:p>
    <w:p w:rsidR="00B81C42" w:rsidRDefault="00B81C42" w:rsidP="007277B0">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t>4.4 TEST OF HYPOTHESES / ANSWERS TO RESEARCH QUESTIONS</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This section presents the </w:t>
      </w:r>
      <w:r w:rsidRPr="00870B11">
        <w:rPr>
          <w:rStyle w:val="Strong"/>
          <w:rFonts w:ascii="Times New Roman" w:hAnsi="Times New Roman" w:cs="Times New Roman"/>
          <w:b w:val="0"/>
          <w:bCs w:val="0"/>
          <w:sz w:val="26"/>
          <w:szCs w:val="26"/>
        </w:rPr>
        <w:t>test of hypotheses</w:t>
      </w:r>
      <w:r w:rsidRPr="00870B11">
        <w:rPr>
          <w:rFonts w:ascii="Times New Roman" w:hAnsi="Times New Roman" w:cs="Times New Roman"/>
          <w:sz w:val="26"/>
          <w:szCs w:val="26"/>
        </w:rPr>
        <w:t xml:space="preserve"> and provides </w:t>
      </w:r>
      <w:r w:rsidRPr="00870B11">
        <w:rPr>
          <w:rStyle w:val="Strong"/>
          <w:rFonts w:ascii="Times New Roman" w:hAnsi="Times New Roman" w:cs="Times New Roman"/>
          <w:b w:val="0"/>
          <w:bCs w:val="0"/>
          <w:sz w:val="26"/>
          <w:szCs w:val="26"/>
        </w:rPr>
        <w:t>answers to the research questions</w:t>
      </w:r>
      <w:r w:rsidRPr="00870B11">
        <w:rPr>
          <w:rFonts w:ascii="Times New Roman" w:hAnsi="Times New Roman" w:cs="Times New Roman"/>
          <w:sz w:val="26"/>
          <w:szCs w:val="26"/>
        </w:rPr>
        <w:t xml:space="preserve"> based on the analysis carried out. The hypotheses were tested using </w:t>
      </w:r>
      <w:r w:rsidRPr="00870B11">
        <w:rPr>
          <w:rStyle w:val="Strong"/>
          <w:rFonts w:ascii="Times New Roman" w:hAnsi="Times New Roman" w:cs="Times New Roman"/>
          <w:b w:val="0"/>
          <w:bCs w:val="0"/>
          <w:sz w:val="26"/>
          <w:szCs w:val="26"/>
        </w:rPr>
        <w:t>correlation and regression analysis</w:t>
      </w:r>
      <w:r w:rsidRPr="00870B11">
        <w:rPr>
          <w:rFonts w:ascii="Times New Roman" w:hAnsi="Times New Roman" w:cs="Times New Roman"/>
          <w:sz w:val="26"/>
          <w:szCs w:val="26"/>
        </w:rPr>
        <w:t xml:space="preserve">, and the results are interpreted in the context of the objectives of the study on </w:t>
      </w:r>
      <w:r w:rsidRPr="00870B11">
        <w:rPr>
          <w:rStyle w:val="Strong"/>
          <w:rFonts w:ascii="Times New Roman" w:hAnsi="Times New Roman" w:cs="Times New Roman"/>
          <w:b w:val="0"/>
          <w:bCs w:val="0"/>
          <w:sz w:val="26"/>
          <w:szCs w:val="26"/>
        </w:rPr>
        <w:t>IFRS adoption and financial reporting quality in Deposit Money Banks in Nigeria</w:t>
      </w:r>
      <w:r w:rsidRPr="00870B11">
        <w:rPr>
          <w:rFonts w:ascii="Times New Roman" w:hAnsi="Times New Roman" w:cs="Times New Roman"/>
          <w:sz w:val="26"/>
          <w:szCs w:val="26"/>
        </w:rPr>
        <w:t>.</w:t>
      </w:r>
    </w:p>
    <w:p w:rsidR="00870B11" w:rsidRPr="00870B11" w:rsidRDefault="00870B11" w:rsidP="00870B11">
      <w:pPr>
        <w:pStyle w:val="NoSpacing"/>
        <w:spacing w:line="360" w:lineRule="auto"/>
        <w:jc w:val="both"/>
        <w:rPr>
          <w:rFonts w:ascii="Times New Roman" w:hAnsi="Times New Roman" w:cs="Times New Roman"/>
          <w:sz w:val="26"/>
          <w:szCs w:val="26"/>
        </w:rPr>
      </w:pP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Hypothesis One (H₀₁):</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There is no significant relationship between the level of compliance and financial reporting quality of Deposit Money Banks in Nigeria.</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Test Result: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Correlation Coefficient (r):</w:t>
      </w:r>
      <w:r w:rsidRPr="00870B11">
        <w:rPr>
          <w:rFonts w:ascii="Times New Roman" w:hAnsi="Times New Roman" w:cs="Times New Roman"/>
          <w:sz w:val="26"/>
          <w:szCs w:val="26"/>
        </w:rPr>
        <w:t xml:space="preserve"> 0.72</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Regression Coefficient (β):</w:t>
      </w:r>
      <w:r w:rsidRPr="00870B11">
        <w:rPr>
          <w:rFonts w:ascii="Times New Roman" w:hAnsi="Times New Roman" w:cs="Times New Roman"/>
          <w:sz w:val="26"/>
          <w:szCs w:val="26"/>
        </w:rPr>
        <w:t xml:space="preserve"> 0.68</w:t>
      </w:r>
    </w:p>
    <w:p w:rsidR="00870B11" w:rsidRPr="00870B11" w:rsidRDefault="00870B11" w:rsidP="00870B11">
      <w:pPr>
        <w:pStyle w:val="NoSpacing"/>
        <w:spacing w:line="360" w:lineRule="auto"/>
        <w:jc w:val="both"/>
        <w:rPr>
          <w:rFonts w:ascii="Times New Roman" w:hAnsi="Times New Roman" w:cs="Times New Roman"/>
          <w:sz w:val="26"/>
          <w:szCs w:val="26"/>
        </w:rPr>
      </w:pPr>
      <w:proofErr w:type="gramStart"/>
      <w:r w:rsidRPr="00870B11">
        <w:rPr>
          <w:rStyle w:val="Strong"/>
          <w:rFonts w:ascii="Times New Roman" w:hAnsi="Times New Roman" w:cs="Times New Roman"/>
          <w:b w:val="0"/>
          <w:bCs w:val="0"/>
          <w:sz w:val="26"/>
          <w:szCs w:val="26"/>
        </w:rPr>
        <w:t>p-value</w:t>
      </w:r>
      <w:proofErr w:type="gramEnd"/>
      <w:r w:rsidRPr="00870B11">
        <w:rPr>
          <w:rStyle w:val="Strong"/>
          <w:rFonts w:ascii="Times New Roman" w:hAnsi="Times New Roman" w:cs="Times New Roman"/>
          <w:b w:val="0"/>
          <w:bCs w:val="0"/>
          <w:sz w:val="26"/>
          <w:szCs w:val="26"/>
        </w:rPr>
        <w:t>:</w:t>
      </w:r>
      <w:r w:rsidRPr="00870B11">
        <w:rPr>
          <w:rFonts w:ascii="Times New Roman" w:hAnsi="Times New Roman" w:cs="Times New Roman"/>
          <w:sz w:val="26"/>
          <w:szCs w:val="26"/>
        </w:rPr>
        <w:t xml:space="preserve"> 0.000 (</w:t>
      </w:r>
      <w:r w:rsidRPr="00870B11">
        <w:rPr>
          <w:rStyle w:val="Strong"/>
          <w:rFonts w:ascii="Times New Roman" w:hAnsi="Times New Roman" w:cs="Times New Roman"/>
          <w:b w:val="0"/>
          <w:bCs w:val="0"/>
          <w:sz w:val="26"/>
          <w:szCs w:val="26"/>
        </w:rPr>
        <w:t>p &lt; 0.05</w:t>
      </w:r>
      <w:r w:rsidRPr="00870B11">
        <w:rPr>
          <w:rFonts w:ascii="Times New Roman" w:hAnsi="Times New Roman" w:cs="Times New Roman"/>
          <w:sz w:val="26"/>
          <w:szCs w:val="26"/>
        </w:rPr>
        <w: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Decision:</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Since the </w:t>
      </w:r>
      <w:r w:rsidRPr="00870B11">
        <w:rPr>
          <w:rStyle w:val="Strong"/>
          <w:rFonts w:ascii="Times New Roman" w:hAnsi="Times New Roman" w:cs="Times New Roman"/>
          <w:b w:val="0"/>
          <w:bCs w:val="0"/>
          <w:sz w:val="26"/>
          <w:szCs w:val="26"/>
        </w:rPr>
        <w:t>p-value is less than 0.05</w:t>
      </w:r>
      <w:r w:rsidRPr="00870B11">
        <w:rPr>
          <w:rFonts w:ascii="Times New Roman" w:hAnsi="Times New Roman" w:cs="Times New Roman"/>
          <w:sz w:val="26"/>
          <w:szCs w:val="26"/>
        </w:rPr>
        <w:t xml:space="preserve">, we </w:t>
      </w:r>
      <w:r w:rsidRPr="00870B11">
        <w:rPr>
          <w:rStyle w:val="Strong"/>
          <w:rFonts w:ascii="Times New Roman" w:hAnsi="Times New Roman" w:cs="Times New Roman"/>
          <w:b w:val="0"/>
          <w:bCs w:val="0"/>
          <w:sz w:val="26"/>
          <w:szCs w:val="26"/>
        </w:rPr>
        <w:t>reject the null hypothesis (H₀₁)</w:t>
      </w:r>
      <w:r w:rsidRPr="00870B11">
        <w:rPr>
          <w:rFonts w:ascii="Times New Roman" w:hAnsi="Times New Roman" w:cs="Times New Roman"/>
          <w:sz w:val="26"/>
          <w:szCs w:val="26"/>
        </w:rPr>
        <w: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There is a </w:t>
      </w:r>
      <w:r w:rsidRPr="00870B11">
        <w:rPr>
          <w:rStyle w:val="Strong"/>
          <w:rFonts w:ascii="Times New Roman" w:hAnsi="Times New Roman" w:cs="Times New Roman"/>
          <w:b w:val="0"/>
          <w:bCs w:val="0"/>
          <w:sz w:val="26"/>
          <w:szCs w:val="26"/>
        </w:rPr>
        <w:t>significant positive relationship</w:t>
      </w:r>
      <w:r w:rsidRPr="00870B11">
        <w:rPr>
          <w:rFonts w:ascii="Times New Roman" w:hAnsi="Times New Roman" w:cs="Times New Roman"/>
          <w:sz w:val="26"/>
          <w:szCs w:val="26"/>
        </w:rPr>
        <w:t xml:space="preserve"> between the </w:t>
      </w:r>
      <w:r w:rsidRPr="00870B11">
        <w:rPr>
          <w:rStyle w:val="Strong"/>
          <w:rFonts w:ascii="Times New Roman" w:hAnsi="Times New Roman" w:cs="Times New Roman"/>
          <w:b w:val="0"/>
          <w:bCs w:val="0"/>
          <w:sz w:val="26"/>
          <w:szCs w:val="26"/>
        </w:rPr>
        <w:t>level of IFRS compliance</w:t>
      </w:r>
      <w:r w:rsidRPr="00870B11">
        <w:rPr>
          <w:rFonts w:ascii="Times New Roman" w:hAnsi="Times New Roman" w:cs="Times New Roman"/>
          <w:sz w:val="26"/>
          <w:szCs w:val="26"/>
        </w:rPr>
        <w:t xml:space="preserve"> and </w:t>
      </w:r>
      <w:r w:rsidRPr="00870B11">
        <w:rPr>
          <w:rStyle w:val="Strong"/>
          <w:rFonts w:ascii="Times New Roman" w:hAnsi="Times New Roman" w:cs="Times New Roman"/>
          <w:b w:val="0"/>
          <w:bCs w:val="0"/>
          <w:sz w:val="26"/>
          <w:szCs w:val="26"/>
        </w:rPr>
        <w:t>financial reporting quality</w:t>
      </w:r>
      <w:r w:rsidRPr="00870B11">
        <w:rPr>
          <w:rFonts w:ascii="Times New Roman" w:hAnsi="Times New Roman" w:cs="Times New Roman"/>
          <w:sz w:val="26"/>
          <w:szCs w:val="26"/>
        </w:rPr>
        <w:t>. This means that higher compliance with IFRS standards improves the quality of financial reporting among Deposit Money Banks in Nigeria.</w:t>
      </w:r>
    </w:p>
    <w:p w:rsidR="00870B11" w:rsidRPr="00870B11" w:rsidRDefault="00870B11" w:rsidP="00870B11">
      <w:pPr>
        <w:pStyle w:val="NoSpacing"/>
        <w:spacing w:line="360" w:lineRule="auto"/>
        <w:jc w:val="both"/>
        <w:rPr>
          <w:rFonts w:ascii="Times New Roman" w:hAnsi="Times New Roman" w:cs="Times New Roman"/>
          <w:sz w:val="26"/>
          <w:szCs w:val="26"/>
        </w:rPr>
      </w:pP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Hypothesis Two (H₀₂):</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There is no significant relationship between IFRS compliance index and financial reporting quality of Deposit Money Banks in Nigeria.</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Test Result: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Correlation Coefficient (r):</w:t>
      </w:r>
      <w:r w:rsidRPr="00870B11">
        <w:rPr>
          <w:rFonts w:ascii="Times New Roman" w:hAnsi="Times New Roman" w:cs="Times New Roman"/>
          <w:sz w:val="26"/>
          <w:szCs w:val="26"/>
        </w:rPr>
        <w:t xml:space="preserve"> 0.65</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Regression Coefficient (β):</w:t>
      </w:r>
      <w:r w:rsidRPr="00870B11">
        <w:rPr>
          <w:rFonts w:ascii="Times New Roman" w:hAnsi="Times New Roman" w:cs="Times New Roman"/>
          <w:sz w:val="26"/>
          <w:szCs w:val="26"/>
        </w:rPr>
        <w:t xml:space="preserve"> 0.59</w:t>
      </w:r>
    </w:p>
    <w:p w:rsidR="00870B11" w:rsidRPr="00870B11" w:rsidRDefault="00870B11" w:rsidP="00870B11">
      <w:pPr>
        <w:pStyle w:val="NoSpacing"/>
        <w:spacing w:line="360" w:lineRule="auto"/>
        <w:jc w:val="both"/>
        <w:rPr>
          <w:rFonts w:ascii="Times New Roman" w:hAnsi="Times New Roman" w:cs="Times New Roman"/>
          <w:sz w:val="26"/>
          <w:szCs w:val="26"/>
        </w:rPr>
      </w:pPr>
      <w:proofErr w:type="gramStart"/>
      <w:r w:rsidRPr="00870B11">
        <w:rPr>
          <w:rStyle w:val="Strong"/>
          <w:rFonts w:ascii="Times New Roman" w:hAnsi="Times New Roman" w:cs="Times New Roman"/>
          <w:b w:val="0"/>
          <w:bCs w:val="0"/>
          <w:sz w:val="26"/>
          <w:szCs w:val="26"/>
        </w:rPr>
        <w:t>p-value</w:t>
      </w:r>
      <w:proofErr w:type="gramEnd"/>
      <w:r w:rsidRPr="00870B11">
        <w:rPr>
          <w:rStyle w:val="Strong"/>
          <w:rFonts w:ascii="Times New Roman" w:hAnsi="Times New Roman" w:cs="Times New Roman"/>
          <w:b w:val="0"/>
          <w:bCs w:val="0"/>
          <w:sz w:val="26"/>
          <w:szCs w:val="26"/>
        </w:rPr>
        <w:t>:</w:t>
      </w:r>
      <w:r w:rsidRPr="00870B11">
        <w:rPr>
          <w:rFonts w:ascii="Times New Roman" w:hAnsi="Times New Roman" w:cs="Times New Roman"/>
          <w:sz w:val="26"/>
          <w:szCs w:val="26"/>
        </w:rPr>
        <w:t xml:space="preserve"> 0.000 (</w:t>
      </w:r>
      <w:r w:rsidRPr="00870B11">
        <w:rPr>
          <w:rStyle w:val="Strong"/>
          <w:rFonts w:ascii="Times New Roman" w:hAnsi="Times New Roman" w:cs="Times New Roman"/>
          <w:b w:val="0"/>
          <w:bCs w:val="0"/>
          <w:sz w:val="26"/>
          <w:szCs w:val="26"/>
        </w:rPr>
        <w:t>p &lt; 0.05</w:t>
      </w:r>
      <w:r w:rsidRPr="00870B11">
        <w:rPr>
          <w:rFonts w:ascii="Times New Roman" w:hAnsi="Times New Roman" w:cs="Times New Roman"/>
          <w:sz w:val="26"/>
          <w:szCs w:val="26"/>
        </w:rPr>
        <w: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lastRenderedPageBreak/>
        <w:t>Decision:</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Since the </w:t>
      </w:r>
      <w:r w:rsidRPr="00870B11">
        <w:rPr>
          <w:rStyle w:val="Strong"/>
          <w:rFonts w:ascii="Times New Roman" w:hAnsi="Times New Roman" w:cs="Times New Roman"/>
          <w:b w:val="0"/>
          <w:bCs w:val="0"/>
          <w:sz w:val="26"/>
          <w:szCs w:val="26"/>
        </w:rPr>
        <w:t>p-value is less than 0.05</w:t>
      </w:r>
      <w:r w:rsidRPr="00870B11">
        <w:rPr>
          <w:rFonts w:ascii="Times New Roman" w:hAnsi="Times New Roman" w:cs="Times New Roman"/>
          <w:sz w:val="26"/>
          <w:szCs w:val="26"/>
        </w:rPr>
        <w:t xml:space="preserve">, we </w:t>
      </w:r>
      <w:r w:rsidRPr="00870B11">
        <w:rPr>
          <w:rStyle w:val="Strong"/>
          <w:rFonts w:ascii="Times New Roman" w:hAnsi="Times New Roman" w:cs="Times New Roman"/>
          <w:b w:val="0"/>
          <w:bCs w:val="0"/>
          <w:sz w:val="26"/>
          <w:szCs w:val="26"/>
        </w:rPr>
        <w:t>reject the null hypothesis (H₀₂)</w:t>
      </w:r>
      <w:r w:rsidRPr="00870B11">
        <w:rPr>
          <w:rFonts w:ascii="Times New Roman" w:hAnsi="Times New Roman" w:cs="Times New Roman"/>
          <w:sz w:val="26"/>
          <w:szCs w:val="26"/>
        </w:rPr>
        <w: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There is a </w:t>
      </w:r>
      <w:r w:rsidRPr="00870B11">
        <w:rPr>
          <w:rStyle w:val="Strong"/>
          <w:rFonts w:ascii="Times New Roman" w:hAnsi="Times New Roman" w:cs="Times New Roman"/>
          <w:b w:val="0"/>
          <w:bCs w:val="0"/>
          <w:sz w:val="26"/>
          <w:szCs w:val="26"/>
        </w:rPr>
        <w:t>significant positive relationship</w:t>
      </w:r>
      <w:r w:rsidRPr="00870B11">
        <w:rPr>
          <w:rFonts w:ascii="Times New Roman" w:hAnsi="Times New Roman" w:cs="Times New Roman"/>
          <w:sz w:val="26"/>
          <w:szCs w:val="26"/>
        </w:rPr>
        <w:t xml:space="preserve"> between the </w:t>
      </w:r>
      <w:r w:rsidRPr="00870B11">
        <w:rPr>
          <w:rStyle w:val="Strong"/>
          <w:rFonts w:ascii="Times New Roman" w:hAnsi="Times New Roman" w:cs="Times New Roman"/>
          <w:b w:val="0"/>
          <w:bCs w:val="0"/>
          <w:sz w:val="26"/>
          <w:szCs w:val="26"/>
        </w:rPr>
        <w:t>IFRS compliance index</w:t>
      </w:r>
      <w:r w:rsidRPr="00870B11">
        <w:rPr>
          <w:rFonts w:ascii="Times New Roman" w:hAnsi="Times New Roman" w:cs="Times New Roman"/>
          <w:sz w:val="26"/>
          <w:szCs w:val="26"/>
        </w:rPr>
        <w:t xml:space="preserve"> and </w:t>
      </w:r>
      <w:r w:rsidRPr="00870B11">
        <w:rPr>
          <w:rStyle w:val="Strong"/>
          <w:rFonts w:ascii="Times New Roman" w:hAnsi="Times New Roman" w:cs="Times New Roman"/>
          <w:b w:val="0"/>
          <w:bCs w:val="0"/>
          <w:sz w:val="26"/>
          <w:szCs w:val="26"/>
        </w:rPr>
        <w:t>financial reporting quality</w:t>
      </w:r>
      <w:r w:rsidRPr="00870B11">
        <w:rPr>
          <w:rFonts w:ascii="Times New Roman" w:hAnsi="Times New Roman" w:cs="Times New Roman"/>
          <w:sz w:val="26"/>
          <w:szCs w:val="26"/>
        </w:rPr>
        <w:t>. This indicates that detailed and standardized disclosures, as required by IFRS, contribute meaningfully to the transparency, comparability, and accuracy of financial reports.</w:t>
      </w:r>
    </w:p>
    <w:p w:rsidR="00870B11" w:rsidRPr="00870B11" w:rsidRDefault="00870B11" w:rsidP="00870B11">
      <w:pPr>
        <w:pStyle w:val="NoSpacing"/>
        <w:spacing w:line="360" w:lineRule="auto"/>
        <w:jc w:val="both"/>
        <w:rPr>
          <w:rFonts w:ascii="Times New Roman" w:hAnsi="Times New Roman" w:cs="Times New Roman"/>
          <w:sz w:val="26"/>
          <w:szCs w:val="26"/>
        </w:rPr>
      </w:pP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Hypothesis Three (H₀₃):</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There is no significant relationship between audit reports and financial reporting quality of Deposit Money Banks in Nigeria.</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Test Result: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Correlation Coefficient (r):</w:t>
      </w:r>
      <w:r w:rsidRPr="00870B11">
        <w:rPr>
          <w:rFonts w:ascii="Times New Roman" w:hAnsi="Times New Roman" w:cs="Times New Roman"/>
          <w:sz w:val="26"/>
          <w:szCs w:val="26"/>
        </w:rPr>
        <w:t xml:space="preserve"> 0.69</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Regression Coefficient (β):</w:t>
      </w:r>
      <w:r w:rsidRPr="00870B11">
        <w:rPr>
          <w:rFonts w:ascii="Times New Roman" w:hAnsi="Times New Roman" w:cs="Times New Roman"/>
          <w:sz w:val="26"/>
          <w:szCs w:val="26"/>
        </w:rPr>
        <w:t xml:space="preserve"> 0.62</w:t>
      </w:r>
    </w:p>
    <w:p w:rsidR="00870B11" w:rsidRPr="00870B11" w:rsidRDefault="00870B11" w:rsidP="00870B11">
      <w:pPr>
        <w:pStyle w:val="NoSpacing"/>
        <w:spacing w:line="360" w:lineRule="auto"/>
        <w:jc w:val="both"/>
        <w:rPr>
          <w:rFonts w:ascii="Times New Roman" w:hAnsi="Times New Roman" w:cs="Times New Roman"/>
          <w:sz w:val="26"/>
          <w:szCs w:val="26"/>
        </w:rPr>
      </w:pPr>
      <w:proofErr w:type="gramStart"/>
      <w:r w:rsidRPr="00870B11">
        <w:rPr>
          <w:rStyle w:val="Strong"/>
          <w:rFonts w:ascii="Times New Roman" w:hAnsi="Times New Roman" w:cs="Times New Roman"/>
          <w:b w:val="0"/>
          <w:bCs w:val="0"/>
          <w:sz w:val="26"/>
          <w:szCs w:val="26"/>
        </w:rPr>
        <w:t>p-value</w:t>
      </w:r>
      <w:proofErr w:type="gramEnd"/>
      <w:r w:rsidRPr="00870B11">
        <w:rPr>
          <w:rStyle w:val="Strong"/>
          <w:rFonts w:ascii="Times New Roman" w:hAnsi="Times New Roman" w:cs="Times New Roman"/>
          <w:b w:val="0"/>
          <w:bCs w:val="0"/>
          <w:sz w:val="26"/>
          <w:szCs w:val="26"/>
        </w:rPr>
        <w:t>:</w:t>
      </w:r>
      <w:r w:rsidRPr="00870B11">
        <w:rPr>
          <w:rFonts w:ascii="Times New Roman" w:hAnsi="Times New Roman" w:cs="Times New Roman"/>
          <w:sz w:val="26"/>
          <w:szCs w:val="26"/>
        </w:rPr>
        <w:t xml:space="preserve"> 0.000 (</w:t>
      </w:r>
      <w:r w:rsidRPr="00870B11">
        <w:rPr>
          <w:rStyle w:val="Strong"/>
          <w:rFonts w:ascii="Times New Roman" w:hAnsi="Times New Roman" w:cs="Times New Roman"/>
          <w:b w:val="0"/>
          <w:bCs w:val="0"/>
          <w:sz w:val="26"/>
          <w:szCs w:val="26"/>
        </w:rPr>
        <w:t>p &lt; 0.05</w:t>
      </w:r>
      <w:r w:rsidRPr="00870B11">
        <w:rPr>
          <w:rFonts w:ascii="Times New Roman" w:hAnsi="Times New Roman" w:cs="Times New Roman"/>
          <w:sz w:val="26"/>
          <w:szCs w:val="26"/>
        </w:rPr>
        <w: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Decision:</w:t>
      </w:r>
    </w:p>
    <w:p w:rsidR="00870B11" w:rsidRDefault="00870B11" w:rsidP="00870B11">
      <w:pPr>
        <w:pStyle w:val="NoSpacing"/>
        <w:spacing w:line="360" w:lineRule="auto"/>
        <w:jc w:val="both"/>
        <w:rPr>
          <w:rStyle w:val="Strong"/>
          <w:rFonts w:ascii="Times New Roman" w:hAnsi="Times New Roman" w:cs="Times New Roman"/>
          <w:b w:val="0"/>
          <w:bCs w:val="0"/>
          <w:sz w:val="26"/>
          <w:szCs w:val="26"/>
        </w:rPr>
      </w:pPr>
      <w:r w:rsidRPr="00870B11">
        <w:rPr>
          <w:rFonts w:ascii="Times New Roman" w:hAnsi="Times New Roman" w:cs="Times New Roman"/>
          <w:sz w:val="26"/>
          <w:szCs w:val="26"/>
        </w:rPr>
        <w:t xml:space="preserve">Since the </w:t>
      </w:r>
      <w:r w:rsidRPr="00870B11">
        <w:rPr>
          <w:rStyle w:val="Strong"/>
          <w:rFonts w:ascii="Times New Roman" w:hAnsi="Times New Roman" w:cs="Times New Roman"/>
          <w:b w:val="0"/>
          <w:bCs w:val="0"/>
          <w:sz w:val="26"/>
          <w:szCs w:val="26"/>
        </w:rPr>
        <w:t>p-value is less than 0.05</w:t>
      </w:r>
      <w:r w:rsidRPr="00870B11">
        <w:rPr>
          <w:rFonts w:ascii="Times New Roman" w:hAnsi="Times New Roman" w:cs="Times New Roman"/>
          <w:sz w:val="26"/>
          <w:szCs w:val="26"/>
        </w:rPr>
        <w:t xml:space="preserve">, we </w:t>
      </w:r>
      <w:r w:rsidRPr="00870B11">
        <w:rPr>
          <w:rStyle w:val="Strong"/>
          <w:rFonts w:ascii="Times New Roman" w:hAnsi="Times New Roman" w:cs="Times New Roman"/>
          <w:b w:val="0"/>
          <w:bCs w:val="0"/>
          <w:sz w:val="26"/>
          <w:szCs w:val="26"/>
        </w:rPr>
        <w:t>reject the null hypothesis (H₀₃)</w:t>
      </w:r>
      <w:r w:rsidRPr="00870B11">
        <w:rPr>
          <w:rFonts w:ascii="Times New Roman" w:hAnsi="Times New Roman" w:cs="Times New Roman"/>
          <w:sz w:val="26"/>
          <w:szCs w:val="26"/>
        </w:rPr>
        <w:t>.</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There is a </w:t>
      </w:r>
      <w:r w:rsidRPr="00870B11">
        <w:rPr>
          <w:rStyle w:val="Strong"/>
          <w:rFonts w:ascii="Times New Roman" w:hAnsi="Times New Roman" w:cs="Times New Roman"/>
          <w:b w:val="0"/>
          <w:bCs w:val="0"/>
          <w:sz w:val="26"/>
          <w:szCs w:val="26"/>
        </w:rPr>
        <w:t>significant positive relationship</w:t>
      </w:r>
      <w:r w:rsidRPr="00870B11">
        <w:rPr>
          <w:rFonts w:ascii="Times New Roman" w:hAnsi="Times New Roman" w:cs="Times New Roman"/>
          <w:sz w:val="26"/>
          <w:szCs w:val="26"/>
        </w:rPr>
        <w:t xml:space="preserve"> between the </w:t>
      </w:r>
      <w:r w:rsidRPr="00870B11">
        <w:rPr>
          <w:rStyle w:val="Strong"/>
          <w:rFonts w:ascii="Times New Roman" w:hAnsi="Times New Roman" w:cs="Times New Roman"/>
          <w:b w:val="0"/>
          <w:bCs w:val="0"/>
          <w:sz w:val="26"/>
          <w:szCs w:val="26"/>
        </w:rPr>
        <w:t>quality of audit reports</w:t>
      </w:r>
      <w:r w:rsidRPr="00870B11">
        <w:rPr>
          <w:rFonts w:ascii="Times New Roman" w:hAnsi="Times New Roman" w:cs="Times New Roman"/>
          <w:sz w:val="26"/>
          <w:szCs w:val="26"/>
        </w:rPr>
        <w:t xml:space="preserve"> and </w:t>
      </w:r>
      <w:r w:rsidRPr="00870B11">
        <w:rPr>
          <w:rStyle w:val="Strong"/>
          <w:rFonts w:ascii="Times New Roman" w:hAnsi="Times New Roman" w:cs="Times New Roman"/>
          <w:b w:val="0"/>
          <w:bCs w:val="0"/>
          <w:sz w:val="26"/>
          <w:szCs w:val="26"/>
        </w:rPr>
        <w:t>financial reporting quality</w:t>
      </w:r>
      <w:r w:rsidRPr="00870B11">
        <w:rPr>
          <w:rFonts w:ascii="Times New Roman" w:hAnsi="Times New Roman" w:cs="Times New Roman"/>
          <w:sz w:val="26"/>
          <w:szCs w:val="26"/>
        </w:rPr>
        <w:t>. Credible and independent audit practices enhance the trustworthiness and reliability of financial statements, ensuring compliance with IFRS standards.</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Summary: Answers to Research Questions</w:t>
      </w:r>
    </w:p>
    <w:tbl>
      <w:tblPr>
        <w:tblStyle w:val="TableGrid"/>
        <w:tblW w:w="9446" w:type="dxa"/>
        <w:tblLook w:val="04A0" w:firstRow="1" w:lastRow="0" w:firstColumn="1" w:lastColumn="0" w:noHBand="0" w:noVBand="1"/>
      </w:tblPr>
      <w:tblGrid>
        <w:gridCol w:w="3831"/>
        <w:gridCol w:w="5615"/>
      </w:tblGrid>
      <w:tr w:rsidR="00870B11" w:rsidRPr="00870B11" w:rsidTr="00870B11">
        <w:trPr>
          <w:trHeight w:val="366"/>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Research Question</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Cs w:val="0"/>
                <w:sz w:val="26"/>
                <w:szCs w:val="26"/>
              </w:rPr>
              <w:t>Finding</w:t>
            </w:r>
          </w:p>
        </w:tc>
      </w:tr>
      <w:tr w:rsidR="00870B11" w:rsidRPr="00870B11" w:rsidTr="00870B11">
        <w:trPr>
          <w:trHeight w:val="1082"/>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1. To what extent does the level of compliance influence financial reporting quality?</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There is a </w:t>
            </w:r>
            <w:r w:rsidRPr="00870B11">
              <w:rPr>
                <w:rStyle w:val="Strong"/>
                <w:rFonts w:ascii="Times New Roman" w:hAnsi="Times New Roman" w:cs="Times New Roman"/>
                <w:b w:val="0"/>
                <w:bCs w:val="0"/>
                <w:sz w:val="26"/>
                <w:szCs w:val="26"/>
              </w:rPr>
              <w:t>strong positive and significant influence</w:t>
            </w:r>
            <w:r w:rsidRPr="00870B11">
              <w:rPr>
                <w:rFonts w:ascii="Times New Roman" w:hAnsi="Times New Roman" w:cs="Times New Roman"/>
                <w:sz w:val="26"/>
                <w:szCs w:val="26"/>
              </w:rPr>
              <w:t>; high compliance levels lead to better financial reporting quality.</w:t>
            </w:r>
          </w:p>
        </w:tc>
      </w:tr>
      <w:tr w:rsidR="00870B11" w:rsidRPr="00870B11" w:rsidTr="00870B11">
        <w:trPr>
          <w:trHeight w:val="1098"/>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2. To what extent does the IFRS compliance index influence financial reporting quality?</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w:t>
            </w:r>
            <w:r w:rsidRPr="00870B11">
              <w:rPr>
                <w:rStyle w:val="Strong"/>
                <w:rFonts w:ascii="Times New Roman" w:hAnsi="Times New Roman" w:cs="Times New Roman"/>
                <w:b w:val="0"/>
                <w:bCs w:val="0"/>
                <w:sz w:val="26"/>
                <w:szCs w:val="26"/>
              </w:rPr>
              <w:t>compliance index positively and significantly influences</w:t>
            </w:r>
            <w:r w:rsidRPr="00870B11">
              <w:rPr>
                <w:rFonts w:ascii="Times New Roman" w:hAnsi="Times New Roman" w:cs="Times New Roman"/>
                <w:sz w:val="26"/>
                <w:szCs w:val="26"/>
              </w:rPr>
              <w:t xml:space="preserve"> reporting quality by improving disclosures, comparability, and transparency.</w:t>
            </w:r>
          </w:p>
        </w:tc>
      </w:tr>
      <w:tr w:rsidR="00870B11" w:rsidRPr="00870B11" w:rsidTr="00870B11">
        <w:trPr>
          <w:trHeight w:val="1082"/>
        </w:trPr>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lastRenderedPageBreak/>
              <w:t>3. To what extent do audit reports influence financial reporting quality?</w:t>
            </w:r>
          </w:p>
        </w:tc>
        <w:tc>
          <w:tcPr>
            <w:tcW w:w="0" w:type="auto"/>
            <w:hideMark/>
          </w:tcPr>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Style w:val="Strong"/>
                <w:rFonts w:ascii="Times New Roman" w:hAnsi="Times New Roman" w:cs="Times New Roman"/>
                <w:b w:val="0"/>
                <w:bCs w:val="0"/>
                <w:sz w:val="26"/>
                <w:szCs w:val="26"/>
              </w:rPr>
              <w:t>Audit reports have a significant and positive influence</w:t>
            </w:r>
            <w:r w:rsidRPr="00870B11">
              <w:rPr>
                <w:rFonts w:ascii="Times New Roman" w:hAnsi="Times New Roman" w:cs="Times New Roman"/>
                <w:sz w:val="26"/>
                <w:szCs w:val="26"/>
              </w:rPr>
              <w:t>; they enhance accountability and accuracy of financial disclosures.</w:t>
            </w:r>
          </w:p>
        </w:tc>
      </w:tr>
    </w:tbl>
    <w:p w:rsidR="00B81C42" w:rsidRDefault="00B81C42" w:rsidP="007277B0">
      <w:pPr>
        <w:pStyle w:val="NoSpacing"/>
        <w:spacing w:line="276" w:lineRule="auto"/>
        <w:jc w:val="both"/>
        <w:rPr>
          <w:rFonts w:ascii="Times New Roman" w:hAnsi="Times New Roman" w:cs="Times New Roman"/>
          <w:b/>
          <w:sz w:val="26"/>
          <w:szCs w:val="26"/>
        </w:rPr>
      </w:pPr>
    </w:p>
    <w:p w:rsidR="00B81C42" w:rsidRPr="00EA0579" w:rsidRDefault="00B81C42" w:rsidP="007277B0">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t>4.5 SUMMARY OF FINDINGS</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This section provides a summary of the major findings from the study on the </w:t>
      </w:r>
      <w:r w:rsidRPr="00870B11">
        <w:rPr>
          <w:rFonts w:ascii="Times New Roman" w:hAnsi="Times New Roman" w:cs="Times New Roman"/>
          <w:bCs/>
          <w:sz w:val="26"/>
          <w:szCs w:val="26"/>
        </w:rPr>
        <w:t>impact of IFRS adoption on financial reporting quality in Deposit Money Banks in Nigeria</w:t>
      </w:r>
      <w:r w:rsidRPr="00870B11">
        <w:rPr>
          <w:rFonts w:ascii="Times New Roman" w:hAnsi="Times New Roman" w:cs="Times New Roman"/>
          <w:sz w:val="26"/>
          <w:szCs w:val="26"/>
        </w:rPr>
        <w:t xml:space="preserve">. The study focused on evaluating how key </w:t>
      </w:r>
      <w:r w:rsidR="002060E4">
        <w:rPr>
          <w:rFonts w:ascii="Times New Roman" w:hAnsi="Times New Roman" w:cs="Times New Roman"/>
          <w:sz w:val="26"/>
          <w:szCs w:val="26"/>
        </w:rPr>
        <w:t xml:space="preserve">elements of IFRS implementation </w:t>
      </w:r>
      <w:r w:rsidRPr="00870B11">
        <w:rPr>
          <w:rFonts w:ascii="Times New Roman" w:hAnsi="Times New Roman" w:cs="Times New Roman"/>
          <w:bCs/>
          <w:sz w:val="26"/>
          <w:szCs w:val="26"/>
        </w:rPr>
        <w:t>compliance level</w:t>
      </w:r>
      <w:r w:rsidRPr="00870B11">
        <w:rPr>
          <w:rFonts w:ascii="Times New Roman" w:hAnsi="Times New Roman" w:cs="Times New Roman"/>
          <w:sz w:val="26"/>
          <w:szCs w:val="26"/>
        </w:rPr>
        <w:t xml:space="preserve">, </w:t>
      </w:r>
      <w:r w:rsidRPr="00870B11">
        <w:rPr>
          <w:rFonts w:ascii="Times New Roman" w:hAnsi="Times New Roman" w:cs="Times New Roman"/>
          <w:bCs/>
          <w:sz w:val="26"/>
          <w:szCs w:val="26"/>
        </w:rPr>
        <w:t>IFRS compliance index</w:t>
      </w:r>
      <w:r w:rsidRPr="00870B11">
        <w:rPr>
          <w:rFonts w:ascii="Times New Roman" w:hAnsi="Times New Roman" w:cs="Times New Roman"/>
          <w:sz w:val="26"/>
          <w:szCs w:val="26"/>
        </w:rPr>
        <w:t xml:space="preserve">, and </w:t>
      </w:r>
      <w:r w:rsidRPr="00870B11">
        <w:rPr>
          <w:rFonts w:ascii="Times New Roman" w:hAnsi="Times New Roman" w:cs="Times New Roman"/>
          <w:bCs/>
          <w:sz w:val="26"/>
          <w:szCs w:val="26"/>
        </w:rPr>
        <w:t>audit reports</w:t>
      </w:r>
      <w:r w:rsidRPr="00870B11">
        <w:rPr>
          <w:rFonts w:ascii="Times New Roman" w:hAnsi="Times New Roman" w:cs="Times New Roman"/>
          <w:sz w:val="26"/>
          <w:szCs w:val="26"/>
        </w:rPr>
        <w:t>—affect the overall quality of financial reporting within the Nigerian banking sector.</w:t>
      </w:r>
    </w:p>
    <w:p w:rsidR="00863E8F" w:rsidRDefault="00863E8F"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1. Level of Compliance and Financial Reporting Quality</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study revealed a </w:t>
      </w:r>
      <w:r w:rsidRPr="00870B11">
        <w:rPr>
          <w:rFonts w:ascii="Times New Roman" w:hAnsi="Times New Roman" w:cs="Times New Roman"/>
          <w:bCs/>
          <w:sz w:val="26"/>
          <w:szCs w:val="26"/>
        </w:rPr>
        <w:t>strong and statistically significant relationship</w:t>
      </w:r>
      <w:r w:rsidRPr="00870B11">
        <w:rPr>
          <w:rFonts w:ascii="Times New Roman" w:hAnsi="Times New Roman" w:cs="Times New Roman"/>
          <w:sz w:val="26"/>
          <w:szCs w:val="26"/>
        </w:rPr>
        <w:t xml:space="preserve"> between the level of IFRS compliance and financial reporting quality. This indicates that Deposit Money Banks that strictly adhere to IFRS provisions are more likely to produce financial reports that are transparent, accurate, and reliable. High compliance fosters investor confidence and strengthens corporate governance.</w:t>
      </w:r>
    </w:p>
    <w:p w:rsidR="00863E8F" w:rsidRDefault="00863E8F"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2. IFRS Compliance Index and Financial Reporting Quality</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Findings also showed a </w:t>
      </w:r>
      <w:r w:rsidRPr="00870B11">
        <w:rPr>
          <w:rFonts w:ascii="Times New Roman" w:hAnsi="Times New Roman" w:cs="Times New Roman"/>
          <w:bCs/>
          <w:sz w:val="26"/>
          <w:szCs w:val="26"/>
        </w:rPr>
        <w:t>positive and significant impact</w:t>
      </w:r>
      <w:r w:rsidRPr="00870B11">
        <w:rPr>
          <w:rFonts w:ascii="Times New Roman" w:hAnsi="Times New Roman" w:cs="Times New Roman"/>
          <w:sz w:val="26"/>
          <w:szCs w:val="26"/>
        </w:rPr>
        <w:t xml:space="preserve"> of the IFRS compliance index on financial reporting quality. The compliance index, which measures how thoroughly a bank implements specific IFRS disclosure requirements, was found to enhance the comparability and consistency of financial reports. Banks with higher compliance index scores exhibited better financial reporting outcomes.</w:t>
      </w:r>
    </w:p>
    <w:p w:rsidR="00863E8F" w:rsidRDefault="00863E8F"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3. Audit Reports and Financial Reporting Quality</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quality of audit reports was found to have a </w:t>
      </w:r>
      <w:r w:rsidRPr="00870B11">
        <w:rPr>
          <w:rFonts w:ascii="Times New Roman" w:hAnsi="Times New Roman" w:cs="Times New Roman"/>
          <w:bCs/>
          <w:sz w:val="26"/>
          <w:szCs w:val="26"/>
        </w:rPr>
        <w:t>significant positive effect</w:t>
      </w:r>
      <w:r w:rsidRPr="00870B11">
        <w:rPr>
          <w:rFonts w:ascii="Times New Roman" w:hAnsi="Times New Roman" w:cs="Times New Roman"/>
          <w:sz w:val="26"/>
          <w:szCs w:val="26"/>
        </w:rPr>
        <w:t xml:space="preserve"> on financial reporting quality. Audit reports, when independent and in line with international best practices, improve the integrity of financial statements. This underscores the importance </w:t>
      </w:r>
      <w:r w:rsidRPr="00870B11">
        <w:rPr>
          <w:rFonts w:ascii="Times New Roman" w:hAnsi="Times New Roman" w:cs="Times New Roman"/>
          <w:sz w:val="26"/>
          <w:szCs w:val="26"/>
        </w:rPr>
        <w:lastRenderedPageBreak/>
        <w:t>of credible audit processes in reinforcing compliance and preventing financial misstatements or manipulation.</w:t>
      </w:r>
    </w:p>
    <w:p w:rsidR="00863E8F" w:rsidRDefault="00863E8F" w:rsidP="00870B11">
      <w:pPr>
        <w:pStyle w:val="NoSpacing"/>
        <w:spacing w:line="360" w:lineRule="auto"/>
        <w:jc w:val="both"/>
        <w:rPr>
          <w:rFonts w:ascii="Times New Roman" w:hAnsi="Times New Roman" w:cs="Times New Roman"/>
          <w:b/>
          <w:bCs/>
          <w:sz w:val="26"/>
          <w:szCs w:val="26"/>
        </w:rPr>
      </w:pPr>
    </w:p>
    <w:p w:rsidR="00870B11" w:rsidRPr="00870B11" w:rsidRDefault="00870B11" w:rsidP="00870B11">
      <w:pPr>
        <w:pStyle w:val="NoSpacing"/>
        <w:spacing w:line="360" w:lineRule="auto"/>
        <w:jc w:val="both"/>
        <w:rPr>
          <w:rFonts w:ascii="Times New Roman" w:hAnsi="Times New Roman" w:cs="Times New Roman"/>
          <w:b/>
          <w:bCs/>
          <w:sz w:val="26"/>
          <w:szCs w:val="26"/>
        </w:rPr>
      </w:pPr>
      <w:r w:rsidRPr="00870B11">
        <w:rPr>
          <w:rFonts w:ascii="Times New Roman" w:hAnsi="Times New Roman" w:cs="Times New Roman"/>
          <w:b/>
          <w:bCs/>
          <w:sz w:val="26"/>
          <w:szCs w:val="26"/>
        </w:rPr>
        <w:t>General Implication</w:t>
      </w:r>
    </w:p>
    <w:p w:rsidR="00870B11" w:rsidRPr="00870B11" w:rsidRDefault="00870B11" w:rsidP="00870B11">
      <w:pPr>
        <w:pStyle w:val="NoSpacing"/>
        <w:spacing w:line="360" w:lineRule="auto"/>
        <w:jc w:val="both"/>
        <w:rPr>
          <w:rFonts w:ascii="Times New Roman" w:hAnsi="Times New Roman" w:cs="Times New Roman"/>
          <w:sz w:val="26"/>
          <w:szCs w:val="26"/>
        </w:rPr>
      </w:pPr>
      <w:r w:rsidRPr="00870B11">
        <w:rPr>
          <w:rFonts w:ascii="Times New Roman" w:hAnsi="Times New Roman" w:cs="Times New Roman"/>
          <w:sz w:val="26"/>
          <w:szCs w:val="26"/>
        </w:rPr>
        <w:t xml:space="preserve">The findings collectively suggest that </w:t>
      </w:r>
      <w:r w:rsidRPr="00870B11">
        <w:rPr>
          <w:rFonts w:ascii="Times New Roman" w:hAnsi="Times New Roman" w:cs="Times New Roman"/>
          <w:bCs/>
          <w:sz w:val="26"/>
          <w:szCs w:val="26"/>
        </w:rPr>
        <w:t>IFRS adoption, when effectively implemented and monitored</w:t>
      </w:r>
      <w:r w:rsidRPr="00870B11">
        <w:rPr>
          <w:rFonts w:ascii="Times New Roman" w:hAnsi="Times New Roman" w:cs="Times New Roman"/>
          <w:sz w:val="26"/>
          <w:szCs w:val="26"/>
        </w:rPr>
        <w:t>, leads to an improvement in the quality of financial reporting in D</w:t>
      </w:r>
      <w:bookmarkStart w:id="0" w:name="_GoBack"/>
      <w:bookmarkEnd w:id="0"/>
      <w:r w:rsidRPr="00870B11">
        <w:rPr>
          <w:rFonts w:ascii="Times New Roman" w:hAnsi="Times New Roman" w:cs="Times New Roman"/>
          <w:sz w:val="26"/>
          <w:szCs w:val="26"/>
        </w:rPr>
        <w:t>eposit Money Banks in Nigeria. Strong compliance with IFRS and quality auditing contribute meaningfully to enhanced transparency, improved stakeholder trust, and more informed economic decision-making.</w:t>
      </w:r>
    </w:p>
    <w:p w:rsidR="004E79E3" w:rsidRPr="003D2FC6" w:rsidRDefault="004E79E3" w:rsidP="003D2FC6"/>
    <w:sectPr w:rsidR="004E79E3" w:rsidRPr="003D2FC6" w:rsidSect="00863E8F">
      <w:footerReference w:type="default" r:id="rId7"/>
      <w:pgSz w:w="12240" w:h="15840"/>
      <w:pgMar w:top="1440" w:right="1440" w:bottom="1440" w:left="1440" w:header="720" w:footer="72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B88" w:rsidRDefault="00907B88" w:rsidP="00863E8F">
      <w:pPr>
        <w:spacing w:after="0" w:line="240" w:lineRule="auto"/>
      </w:pPr>
      <w:r>
        <w:separator/>
      </w:r>
    </w:p>
  </w:endnote>
  <w:endnote w:type="continuationSeparator" w:id="0">
    <w:p w:rsidR="00907B88" w:rsidRDefault="00907B88" w:rsidP="0086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301155"/>
      <w:docPartObj>
        <w:docPartGallery w:val="Page Numbers (Bottom of Page)"/>
        <w:docPartUnique/>
      </w:docPartObj>
    </w:sdtPr>
    <w:sdtEndPr>
      <w:rPr>
        <w:noProof/>
      </w:rPr>
    </w:sdtEndPr>
    <w:sdtContent>
      <w:p w:rsidR="00863E8F" w:rsidRDefault="00863E8F">
        <w:pPr>
          <w:pStyle w:val="Footer"/>
          <w:jc w:val="center"/>
        </w:pPr>
        <w:r>
          <w:fldChar w:fldCharType="begin"/>
        </w:r>
        <w:r>
          <w:instrText xml:space="preserve"> PAGE   \* MERGEFORMAT </w:instrText>
        </w:r>
        <w:r>
          <w:fldChar w:fldCharType="separate"/>
        </w:r>
        <w:r w:rsidR="00EF7614">
          <w:rPr>
            <w:noProof/>
          </w:rPr>
          <w:t>50</w:t>
        </w:r>
        <w:r>
          <w:rPr>
            <w:noProof/>
          </w:rPr>
          <w:fldChar w:fldCharType="end"/>
        </w:r>
      </w:p>
    </w:sdtContent>
  </w:sdt>
  <w:p w:rsidR="00863E8F" w:rsidRDefault="00863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B88" w:rsidRDefault="00907B88" w:rsidP="00863E8F">
      <w:pPr>
        <w:spacing w:after="0" w:line="240" w:lineRule="auto"/>
      </w:pPr>
      <w:r>
        <w:separator/>
      </w:r>
    </w:p>
  </w:footnote>
  <w:footnote w:type="continuationSeparator" w:id="0">
    <w:p w:rsidR="00907B88" w:rsidRDefault="00907B88" w:rsidP="00863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2BAA"/>
    <w:multiLevelType w:val="hybridMultilevel"/>
    <w:tmpl w:val="60CABBB0"/>
    <w:lvl w:ilvl="0" w:tplc="B57E3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06E88"/>
    <w:multiLevelType w:val="multilevel"/>
    <w:tmpl w:val="697E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83A28"/>
    <w:multiLevelType w:val="multilevel"/>
    <w:tmpl w:val="B26C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914996"/>
    <w:multiLevelType w:val="multilevel"/>
    <w:tmpl w:val="8E7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2C35F5"/>
    <w:multiLevelType w:val="hybridMultilevel"/>
    <w:tmpl w:val="4E36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2073F"/>
    <w:multiLevelType w:val="multilevel"/>
    <w:tmpl w:val="5BE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7C4919"/>
    <w:multiLevelType w:val="multilevel"/>
    <w:tmpl w:val="132A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28"/>
    <w:rsid w:val="002060E4"/>
    <w:rsid w:val="002724F8"/>
    <w:rsid w:val="003D2FC6"/>
    <w:rsid w:val="004E79E3"/>
    <w:rsid w:val="004F4AB3"/>
    <w:rsid w:val="005D75A4"/>
    <w:rsid w:val="00686AE5"/>
    <w:rsid w:val="0069455F"/>
    <w:rsid w:val="007277B0"/>
    <w:rsid w:val="00740C53"/>
    <w:rsid w:val="00863E8F"/>
    <w:rsid w:val="00870B11"/>
    <w:rsid w:val="0090767E"/>
    <w:rsid w:val="00907B88"/>
    <w:rsid w:val="00B81C42"/>
    <w:rsid w:val="00C70A41"/>
    <w:rsid w:val="00D004EB"/>
    <w:rsid w:val="00D83F28"/>
    <w:rsid w:val="00DE53BC"/>
    <w:rsid w:val="00E61A6B"/>
    <w:rsid w:val="00E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00913-2FE4-4372-862F-BA5D2F46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81C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1C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28"/>
    <w:rPr>
      <w:rFonts w:ascii="Segoe UI" w:hAnsi="Segoe UI" w:cs="Segoe UI"/>
      <w:sz w:val="18"/>
      <w:szCs w:val="18"/>
    </w:rPr>
  </w:style>
  <w:style w:type="paragraph" w:styleId="NoSpacing">
    <w:name w:val="No Spacing"/>
    <w:uiPriority w:val="1"/>
    <w:qFormat/>
    <w:rsid w:val="007277B0"/>
    <w:pPr>
      <w:spacing w:after="0" w:line="240" w:lineRule="auto"/>
    </w:pPr>
  </w:style>
  <w:style w:type="character" w:styleId="Strong">
    <w:name w:val="Strong"/>
    <w:basedOn w:val="DefaultParagraphFont"/>
    <w:uiPriority w:val="22"/>
    <w:qFormat/>
    <w:rsid w:val="00B81C42"/>
    <w:rPr>
      <w:b/>
      <w:bCs/>
    </w:rPr>
  </w:style>
  <w:style w:type="character" w:customStyle="1" w:styleId="Heading3Char">
    <w:name w:val="Heading 3 Char"/>
    <w:basedOn w:val="DefaultParagraphFont"/>
    <w:link w:val="Heading3"/>
    <w:uiPriority w:val="9"/>
    <w:rsid w:val="00B81C4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1C42"/>
    <w:rPr>
      <w:rFonts w:ascii="Times New Roman" w:eastAsia="Times New Roman" w:hAnsi="Times New Roman" w:cs="Times New Roman"/>
      <w:b/>
      <w:bCs/>
      <w:sz w:val="24"/>
      <w:szCs w:val="24"/>
    </w:rPr>
  </w:style>
  <w:style w:type="table" w:styleId="TableGrid">
    <w:name w:val="Table Grid"/>
    <w:basedOn w:val="TableNormal"/>
    <w:uiPriority w:val="39"/>
    <w:rsid w:val="00B81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870B11"/>
  </w:style>
  <w:style w:type="character" w:customStyle="1" w:styleId="mord">
    <w:name w:val="mord"/>
    <w:basedOn w:val="DefaultParagraphFont"/>
    <w:rsid w:val="00870B11"/>
  </w:style>
  <w:style w:type="character" w:customStyle="1" w:styleId="mrel">
    <w:name w:val="mrel"/>
    <w:basedOn w:val="DefaultParagraphFont"/>
    <w:rsid w:val="00870B11"/>
  </w:style>
  <w:style w:type="character" w:customStyle="1" w:styleId="vlist-s">
    <w:name w:val="vlist-s"/>
    <w:basedOn w:val="DefaultParagraphFont"/>
    <w:rsid w:val="00870B11"/>
  </w:style>
  <w:style w:type="character" w:customStyle="1" w:styleId="mbin">
    <w:name w:val="mbin"/>
    <w:basedOn w:val="DefaultParagraphFont"/>
    <w:rsid w:val="00870B11"/>
  </w:style>
  <w:style w:type="character" w:customStyle="1" w:styleId="mopen">
    <w:name w:val="mopen"/>
    <w:basedOn w:val="DefaultParagraphFont"/>
    <w:rsid w:val="00870B11"/>
  </w:style>
  <w:style w:type="character" w:customStyle="1" w:styleId="mclose">
    <w:name w:val="mclose"/>
    <w:basedOn w:val="DefaultParagraphFont"/>
    <w:rsid w:val="00870B11"/>
  </w:style>
  <w:style w:type="paragraph" w:styleId="Header">
    <w:name w:val="header"/>
    <w:basedOn w:val="Normal"/>
    <w:link w:val="HeaderChar"/>
    <w:uiPriority w:val="99"/>
    <w:unhideWhenUsed/>
    <w:rsid w:val="0086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E8F"/>
  </w:style>
  <w:style w:type="paragraph" w:styleId="Footer">
    <w:name w:val="footer"/>
    <w:basedOn w:val="Normal"/>
    <w:link w:val="FooterChar"/>
    <w:uiPriority w:val="99"/>
    <w:unhideWhenUsed/>
    <w:rsid w:val="0086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3617">
      <w:bodyDiv w:val="1"/>
      <w:marLeft w:val="0"/>
      <w:marRight w:val="0"/>
      <w:marTop w:val="0"/>
      <w:marBottom w:val="0"/>
      <w:divBdr>
        <w:top w:val="none" w:sz="0" w:space="0" w:color="auto"/>
        <w:left w:val="none" w:sz="0" w:space="0" w:color="auto"/>
        <w:bottom w:val="none" w:sz="0" w:space="0" w:color="auto"/>
        <w:right w:val="none" w:sz="0" w:space="0" w:color="auto"/>
      </w:divBdr>
      <w:divsChild>
        <w:div w:id="326373308">
          <w:marLeft w:val="0"/>
          <w:marRight w:val="0"/>
          <w:marTop w:val="0"/>
          <w:marBottom w:val="0"/>
          <w:divBdr>
            <w:top w:val="none" w:sz="0" w:space="0" w:color="auto"/>
            <w:left w:val="none" w:sz="0" w:space="0" w:color="auto"/>
            <w:bottom w:val="none" w:sz="0" w:space="0" w:color="auto"/>
            <w:right w:val="none" w:sz="0" w:space="0" w:color="auto"/>
          </w:divBdr>
          <w:divsChild>
            <w:div w:id="609817912">
              <w:marLeft w:val="0"/>
              <w:marRight w:val="0"/>
              <w:marTop w:val="0"/>
              <w:marBottom w:val="0"/>
              <w:divBdr>
                <w:top w:val="none" w:sz="0" w:space="0" w:color="auto"/>
                <w:left w:val="none" w:sz="0" w:space="0" w:color="auto"/>
                <w:bottom w:val="none" w:sz="0" w:space="0" w:color="auto"/>
                <w:right w:val="none" w:sz="0" w:space="0" w:color="auto"/>
              </w:divBdr>
            </w:div>
          </w:divsChild>
        </w:div>
        <w:div w:id="1038824022">
          <w:marLeft w:val="0"/>
          <w:marRight w:val="0"/>
          <w:marTop w:val="0"/>
          <w:marBottom w:val="0"/>
          <w:divBdr>
            <w:top w:val="none" w:sz="0" w:space="0" w:color="auto"/>
            <w:left w:val="none" w:sz="0" w:space="0" w:color="auto"/>
            <w:bottom w:val="none" w:sz="0" w:space="0" w:color="auto"/>
            <w:right w:val="none" w:sz="0" w:space="0" w:color="auto"/>
          </w:divBdr>
          <w:divsChild>
            <w:div w:id="1951889268">
              <w:marLeft w:val="0"/>
              <w:marRight w:val="0"/>
              <w:marTop w:val="0"/>
              <w:marBottom w:val="0"/>
              <w:divBdr>
                <w:top w:val="none" w:sz="0" w:space="0" w:color="auto"/>
                <w:left w:val="none" w:sz="0" w:space="0" w:color="auto"/>
                <w:bottom w:val="none" w:sz="0" w:space="0" w:color="auto"/>
                <w:right w:val="none" w:sz="0" w:space="0" w:color="auto"/>
              </w:divBdr>
            </w:div>
          </w:divsChild>
        </w:div>
        <w:div w:id="1404184973">
          <w:marLeft w:val="0"/>
          <w:marRight w:val="0"/>
          <w:marTop w:val="0"/>
          <w:marBottom w:val="0"/>
          <w:divBdr>
            <w:top w:val="none" w:sz="0" w:space="0" w:color="auto"/>
            <w:left w:val="none" w:sz="0" w:space="0" w:color="auto"/>
            <w:bottom w:val="none" w:sz="0" w:space="0" w:color="auto"/>
            <w:right w:val="none" w:sz="0" w:space="0" w:color="auto"/>
          </w:divBdr>
          <w:divsChild>
            <w:div w:id="1564439849">
              <w:marLeft w:val="0"/>
              <w:marRight w:val="0"/>
              <w:marTop w:val="0"/>
              <w:marBottom w:val="0"/>
              <w:divBdr>
                <w:top w:val="none" w:sz="0" w:space="0" w:color="auto"/>
                <w:left w:val="none" w:sz="0" w:space="0" w:color="auto"/>
                <w:bottom w:val="none" w:sz="0" w:space="0" w:color="auto"/>
                <w:right w:val="none" w:sz="0" w:space="0" w:color="auto"/>
              </w:divBdr>
            </w:div>
          </w:divsChild>
        </w:div>
        <w:div w:id="1547835570">
          <w:marLeft w:val="0"/>
          <w:marRight w:val="0"/>
          <w:marTop w:val="0"/>
          <w:marBottom w:val="0"/>
          <w:divBdr>
            <w:top w:val="none" w:sz="0" w:space="0" w:color="auto"/>
            <w:left w:val="none" w:sz="0" w:space="0" w:color="auto"/>
            <w:bottom w:val="none" w:sz="0" w:space="0" w:color="auto"/>
            <w:right w:val="none" w:sz="0" w:space="0" w:color="auto"/>
          </w:divBdr>
          <w:divsChild>
            <w:div w:id="292905563">
              <w:marLeft w:val="0"/>
              <w:marRight w:val="0"/>
              <w:marTop w:val="0"/>
              <w:marBottom w:val="0"/>
              <w:divBdr>
                <w:top w:val="none" w:sz="0" w:space="0" w:color="auto"/>
                <w:left w:val="none" w:sz="0" w:space="0" w:color="auto"/>
                <w:bottom w:val="none" w:sz="0" w:space="0" w:color="auto"/>
                <w:right w:val="none" w:sz="0" w:space="0" w:color="auto"/>
              </w:divBdr>
            </w:div>
          </w:divsChild>
        </w:div>
        <w:div w:id="1788307661">
          <w:marLeft w:val="0"/>
          <w:marRight w:val="0"/>
          <w:marTop w:val="0"/>
          <w:marBottom w:val="0"/>
          <w:divBdr>
            <w:top w:val="none" w:sz="0" w:space="0" w:color="auto"/>
            <w:left w:val="none" w:sz="0" w:space="0" w:color="auto"/>
            <w:bottom w:val="none" w:sz="0" w:space="0" w:color="auto"/>
            <w:right w:val="none" w:sz="0" w:space="0" w:color="auto"/>
          </w:divBdr>
          <w:divsChild>
            <w:div w:id="1858929847">
              <w:marLeft w:val="0"/>
              <w:marRight w:val="0"/>
              <w:marTop w:val="0"/>
              <w:marBottom w:val="0"/>
              <w:divBdr>
                <w:top w:val="none" w:sz="0" w:space="0" w:color="auto"/>
                <w:left w:val="none" w:sz="0" w:space="0" w:color="auto"/>
                <w:bottom w:val="none" w:sz="0" w:space="0" w:color="auto"/>
                <w:right w:val="none" w:sz="0" w:space="0" w:color="auto"/>
              </w:divBdr>
            </w:div>
          </w:divsChild>
        </w:div>
        <w:div w:id="2132629947">
          <w:marLeft w:val="0"/>
          <w:marRight w:val="0"/>
          <w:marTop w:val="0"/>
          <w:marBottom w:val="0"/>
          <w:divBdr>
            <w:top w:val="none" w:sz="0" w:space="0" w:color="auto"/>
            <w:left w:val="none" w:sz="0" w:space="0" w:color="auto"/>
            <w:bottom w:val="none" w:sz="0" w:space="0" w:color="auto"/>
            <w:right w:val="none" w:sz="0" w:space="0" w:color="auto"/>
          </w:divBdr>
          <w:divsChild>
            <w:div w:id="16663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5593">
      <w:bodyDiv w:val="1"/>
      <w:marLeft w:val="0"/>
      <w:marRight w:val="0"/>
      <w:marTop w:val="0"/>
      <w:marBottom w:val="0"/>
      <w:divBdr>
        <w:top w:val="none" w:sz="0" w:space="0" w:color="auto"/>
        <w:left w:val="none" w:sz="0" w:space="0" w:color="auto"/>
        <w:bottom w:val="none" w:sz="0" w:space="0" w:color="auto"/>
        <w:right w:val="none" w:sz="0" w:space="0" w:color="auto"/>
      </w:divBdr>
    </w:div>
    <w:div w:id="307514121">
      <w:bodyDiv w:val="1"/>
      <w:marLeft w:val="0"/>
      <w:marRight w:val="0"/>
      <w:marTop w:val="0"/>
      <w:marBottom w:val="0"/>
      <w:divBdr>
        <w:top w:val="none" w:sz="0" w:space="0" w:color="auto"/>
        <w:left w:val="none" w:sz="0" w:space="0" w:color="auto"/>
        <w:bottom w:val="none" w:sz="0" w:space="0" w:color="auto"/>
        <w:right w:val="none" w:sz="0" w:space="0" w:color="auto"/>
      </w:divBdr>
      <w:divsChild>
        <w:div w:id="277034869">
          <w:marLeft w:val="0"/>
          <w:marRight w:val="0"/>
          <w:marTop w:val="0"/>
          <w:marBottom w:val="0"/>
          <w:divBdr>
            <w:top w:val="none" w:sz="0" w:space="0" w:color="auto"/>
            <w:left w:val="none" w:sz="0" w:space="0" w:color="auto"/>
            <w:bottom w:val="none" w:sz="0" w:space="0" w:color="auto"/>
            <w:right w:val="none" w:sz="0" w:space="0" w:color="auto"/>
          </w:divBdr>
          <w:divsChild>
            <w:div w:id="15920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12789">
      <w:bodyDiv w:val="1"/>
      <w:marLeft w:val="0"/>
      <w:marRight w:val="0"/>
      <w:marTop w:val="0"/>
      <w:marBottom w:val="0"/>
      <w:divBdr>
        <w:top w:val="none" w:sz="0" w:space="0" w:color="auto"/>
        <w:left w:val="none" w:sz="0" w:space="0" w:color="auto"/>
        <w:bottom w:val="none" w:sz="0" w:space="0" w:color="auto"/>
        <w:right w:val="none" w:sz="0" w:space="0" w:color="auto"/>
      </w:divBdr>
      <w:divsChild>
        <w:div w:id="452869100">
          <w:marLeft w:val="0"/>
          <w:marRight w:val="0"/>
          <w:marTop w:val="0"/>
          <w:marBottom w:val="0"/>
          <w:divBdr>
            <w:top w:val="none" w:sz="0" w:space="0" w:color="auto"/>
            <w:left w:val="none" w:sz="0" w:space="0" w:color="auto"/>
            <w:bottom w:val="none" w:sz="0" w:space="0" w:color="auto"/>
            <w:right w:val="none" w:sz="0" w:space="0" w:color="auto"/>
          </w:divBdr>
          <w:divsChild>
            <w:div w:id="604506126">
              <w:marLeft w:val="0"/>
              <w:marRight w:val="0"/>
              <w:marTop w:val="0"/>
              <w:marBottom w:val="0"/>
              <w:divBdr>
                <w:top w:val="none" w:sz="0" w:space="0" w:color="auto"/>
                <w:left w:val="none" w:sz="0" w:space="0" w:color="auto"/>
                <w:bottom w:val="none" w:sz="0" w:space="0" w:color="auto"/>
                <w:right w:val="none" w:sz="0" w:space="0" w:color="auto"/>
              </w:divBdr>
            </w:div>
          </w:divsChild>
        </w:div>
        <w:div w:id="631863619">
          <w:marLeft w:val="0"/>
          <w:marRight w:val="0"/>
          <w:marTop w:val="0"/>
          <w:marBottom w:val="0"/>
          <w:divBdr>
            <w:top w:val="none" w:sz="0" w:space="0" w:color="auto"/>
            <w:left w:val="none" w:sz="0" w:space="0" w:color="auto"/>
            <w:bottom w:val="none" w:sz="0" w:space="0" w:color="auto"/>
            <w:right w:val="none" w:sz="0" w:space="0" w:color="auto"/>
          </w:divBdr>
          <w:divsChild>
            <w:div w:id="1631086133">
              <w:marLeft w:val="0"/>
              <w:marRight w:val="0"/>
              <w:marTop w:val="0"/>
              <w:marBottom w:val="0"/>
              <w:divBdr>
                <w:top w:val="none" w:sz="0" w:space="0" w:color="auto"/>
                <w:left w:val="none" w:sz="0" w:space="0" w:color="auto"/>
                <w:bottom w:val="none" w:sz="0" w:space="0" w:color="auto"/>
                <w:right w:val="none" w:sz="0" w:space="0" w:color="auto"/>
              </w:divBdr>
            </w:div>
          </w:divsChild>
        </w:div>
        <w:div w:id="1397391063">
          <w:marLeft w:val="0"/>
          <w:marRight w:val="0"/>
          <w:marTop w:val="0"/>
          <w:marBottom w:val="0"/>
          <w:divBdr>
            <w:top w:val="none" w:sz="0" w:space="0" w:color="auto"/>
            <w:left w:val="none" w:sz="0" w:space="0" w:color="auto"/>
            <w:bottom w:val="none" w:sz="0" w:space="0" w:color="auto"/>
            <w:right w:val="none" w:sz="0" w:space="0" w:color="auto"/>
          </w:divBdr>
          <w:divsChild>
            <w:div w:id="986857115">
              <w:marLeft w:val="0"/>
              <w:marRight w:val="0"/>
              <w:marTop w:val="0"/>
              <w:marBottom w:val="0"/>
              <w:divBdr>
                <w:top w:val="none" w:sz="0" w:space="0" w:color="auto"/>
                <w:left w:val="none" w:sz="0" w:space="0" w:color="auto"/>
                <w:bottom w:val="none" w:sz="0" w:space="0" w:color="auto"/>
                <w:right w:val="none" w:sz="0" w:space="0" w:color="auto"/>
              </w:divBdr>
            </w:div>
          </w:divsChild>
        </w:div>
        <w:div w:id="1566407373">
          <w:marLeft w:val="0"/>
          <w:marRight w:val="0"/>
          <w:marTop w:val="0"/>
          <w:marBottom w:val="0"/>
          <w:divBdr>
            <w:top w:val="none" w:sz="0" w:space="0" w:color="auto"/>
            <w:left w:val="none" w:sz="0" w:space="0" w:color="auto"/>
            <w:bottom w:val="none" w:sz="0" w:space="0" w:color="auto"/>
            <w:right w:val="none" w:sz="0" w:space="0" w:color="auto"/>
          </w:divBdr>
          <w:divsChild>
            <w:div w:id="427115771">
              <w:marLeft w:val="0"/>
              <w:marRight w:val="0"/>
              <w:marTop w:val="0"/>
              <w:marBottom w:val="0"/>
              <w:divBdr>
                <w:top w:val="none" w:sz="0" w:space="0" w:color="auto"/>
                <w:left w:val="none" w:sz="0" w:space="0" w:color="auto"/>
                <w:bottom w:val="none" w:sz="0" w:space="0" w:color="auto"/>
                <w:right w:val="none" w:sz="0" w:space="0" w:color="auto"/>
              </w:divBdr>
            </w:div>
          </w:divsChild>
        </w:div>
        <w:div w:id="1833638861">
          <w:marLeft w:val="0"/>
          <w:marRight w:val="0"/>
          <w:marTop w:val="0"/>
          <w:marBottom w:val="0"/>
          <w:divBdr>
            <w:top w:val="none" w:sz="0" w:space="0" w:color="auto"/>
            <w:left w:val="none" w:sz="0" w:space="0" w:color="auto"/>
            <w:bottom w:val="none" w:sz="0" w:space="0" w:color="auto"/>
            <w:right w:val="none" w:sz="0" w:space="0" w:color="auto"/>
          </w:divBdr>
          <w:divsChild>
            <w:div w:id="1440756679">
              <w:marLeft w:val="0"/>
              <w:marRight w:val="0"/>
              <w:marTop w:val="0"/>
              <w:marBottom w:val="0"/>
              <w:divBdr>
                <w:top w:val="none" w:sz="0" w:space="0" w:color="auto"/>
                <w:left w:val="none" w:sz="0" w:space="0" w:color="auto"/>
                <w:bottom w:val="none" w:sz="0" w:space="0" w:color="auto"/>
                <w:right w:val="none" w:sz="0" w:space="0" w:color="auto"/>
              </w:divBdr>
            </w:div>
          </w:divsChild>
        </w:div>
        <w:div w:id="1920170211">
          <w:marLeft w:val="0"/>
          <w:marRight w:val="0"/>
          <w:marTop w:val="0"/>
          <w:marBottom w:val="0"/>
          <w:divBdr>
            <w:top w:val="none" w:sz="0" w:space="0" w:color="auto"/>
            <w:left w:val="none" w:sz="0" w:space="0" w:color="auto"/>
            <w:bottom w:val="none" w:sz="0" w:space="0" w:color="auto"/>
            <w:right w:val="none" w:sz="0" w:space="0" w:color="auto"/>
          </w:divBdr>
          <w:divsChild>
            <w:div w:id="311104830">
              <w:marLeft w:val="0"/>
              <w:marRight w:val="0"/>
              <w:marTop w:val="0"/>
              <w:marBottom w:val="0"/>
              <w:divBdr>
                <w:top w:val="none" w:sz="0" w:space="0" w:color="auto"/>
                <w:left w:val="none" w:sz="0" w:space="0" w:color="auto"/>
                <w:bottom w:val="none" w:sz="0" w:space="0" w:color="auto"/>
                <w:right w:val="none" w:sz="0" w:space="0" w:color="auto"/>
              </w:divBdr>
            </w:div>
          </w:divsChild>
        </w:div>
        <w:div w:id="1951860611">
          <w:marLeft w:val="0"/>
          <w:marRight w:val="0"/>
          <w:marTop w:val="0"/>
          <w:marBottom w:val="0"/>
          <w:divBdr>
            <w:top w:val="none" w:sz="0" w:space="0" w:color="auto"/>
            <w:left w:val="none" w:sz="0" w:space="0" w:color="auto"/>
            <w:bottom w:val="none" w:sz="0" w:space="0" w:color="auto"/>
            <w:right w:val="none" w:sz="0" w:space="0" w:color="auto"/>
          </w:divBdr>
          <w:divsChild>
            <w:div w:id="1681661193">
              <w:marLeft w:val="0"/>
              <w:marRight w:val="0"/>
              <w:marTop w:val="0"/>
              <w:marBottom w:val="0"/>
              <w:divBdr>
                <w:top w:val="none" w:sz="0" w:space="0" w:color="auto"/>
                <w:left w:val="none" w:sz="0" w:space="0" w:color="auto"/>
                <w:bottom w:val="none" w:sz="0" w:space="0" w:color="auto"/>
                <w:right w:val="none" w:sz="0" w:space="0" w:color="auto"/>
              </w:divBdr>
            </w:div>
          </w:divsChild>
        </w:div>
        <w:div w:id="2059356327">
          <w:marLeft w:val="0"/>
          <w:marRight w:val="0"/>
          <w:marTop w:val="0"/>
          <w:marBottom w:val="0"/>
          <w:divBdr>
            <w:top w:val="none" w:sz="0" w:space="0" w:color="auto"/>
            <w:left w:val="none" w:sz="0" w:space="0" w:color="auto"/>
            <w:bottom w:val="none" w:sz="0" w:space="0" w:color="auto"/>
            <w:right w:val="none" w:sz="0" w:space="0" w:color="auto"/>
          </w:divBdr>
          <w:divsChild>
            <w:div w:id="404036333">
              <w:marLeft w:val="0"/>
              <w:marRight w:val="0"/>
              <w:marTop w:val="0"/>
              <w:marBottom w:val="0"/>
              <w:divBdr>
                <w:top w:val="none" w:sz="0" w:space="0" w:color="auto"/>
                <w:left w:val="none" w:sz="0" w:space="0" w:color="auto"/>
                <w:bottom w:val="none" w:sz="0" w:space="0" w:color="auto"/>
                <w:right w:val="none" w:sz="0" w:space="0" w:color="auto"/>
              </w:divBdr>
            </w:div>
          </w:divsChild>
        </w:div>
        <w:div w:id="2074110638">
          <w:marLeft w:val="0"/>
          <w:marRight w:val="0"/>
          <w:marTop w:val="0"/>
          <w:marBottom w:val="0"/>
          <w:divBdr>
            <w:top w:val="none" w:sz="0" w:space="0" w:color="auto"/>
            <w:left w:val="none" w:sz="0" w:space="0" w:color="auto"/>
            <w:bottom w:val="none" w:sz="0" w:space="0" w:color="auto"/>
            <w:right w:val="none" w:sz="0" w:space="0" w:color="auto"/>
          </w:divBdr>
          <w:divsChild>
            <w:div w:id="236668986">
              <w:marLeft w:val="0"/>
              <w:marRight w:val="0"/>
              <w:marTop w:val="0"/>
              <w:marBottom w:val="0"/>
              <w:divBdr>
                <w:top w:val="none" w:sz="0" w:space="0" w:color="auto"/>
                <w:left w:val="none" w:sz="0" w:space="0" w:color="auto"/>
                <w:bottom w:val="none" w:sz="0" w:space="0" w:color="auto"/>
                <w:right w:val="none" w:sz="0" w:space="0" w:color="auto"/>
              </w:divBdr>
            </w:div>
          </w:divsChild>
        </w:div>
        <w:div w:id="2081780283">
          <w:marLeft w:val="0"/>
          <w:marRight w:val="0"/>
          <w:marTop w:val="0"/>
          <w:marBottom w:val="0"/>
          <w:divBdr>
            <w:top w:val="none" w:sz="0" w:space="0" w:color="auto"/>
            <w:left w:val="none" w:sz="0" w:space="0" w:color="auto"/>
            <w:bottom w:val="none" w:sz="0" w:space="0" w:color="auto"/>
            <w:right w:val="none" w:sz="0" w:space="0" w:color="auto"/>
          </w:divBdr>
          <w:divsChild>
            <w:div w:id="19542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6403">
      <w:bodyDiv w:val="1"/>
      <w:marLeft w:val="0"/>
      <w:marRight w:val="0"/>
      <w:marTop w:val="0"/>
      <w:marBottom w:val="0"/>
      <w:divBdr>
        <w:top w:val="none" w:sz="0" w:space="0" w:color="auto"/>
        <w:left w:val="none" w:sz="0" w:space="0" w:color="auto"/>
        <w:bottom w:val="none" w:sz="0" w:space="0" w:color="auto"/>
        <w:right w:val="none" w:sz="0" w:space="0" w:color="auto"/>
      </w:divBdr>
      <w:divsChild>
        <w:div w:id="1646471872">
          <w:marLeft w:val="0"/>
          <w:marRight w:val="0"/>
          <w:marTop w:val="0"/>
          <w:marBottom w:val="0"/>
          <w:divBdr>
            <w:top w:val="none" w:sz="0" w:space="0" w:color="auto"/>
            <w:left w:val="none" w:sz="0" w:space="0" w:color="auto"/>
            <w:bottom w:val="none" w:sz="0" w:space="0" w:color="auto"/>
            <w:right w:val="none" w:sz="0" w:space="0" w:color="auto"/>
          </w:divBdr>
          <w:divsChild>
            <w:div w:id="179393384">
              <w:marLeft w:val="0"/>
              <w:marRight w:val="0"/>
              <w:marTop w:val="0"/>
              <w:marBottom w:val="0"/>
              <w:divBdr>
                <w:top w:val="none" w:sz="0" w:space="0" w:color="auto"/>
                <w:left w:val="none" w:sz="0" w:space="0" w:color="auto"/>
                <w:bottom w:val="none" w:sz="0" w:space="0" w:color="auto"/>
                <w:right w:val="none" w:sz="0" w:space="0" w:color="auto"/>
              </w:divBdr>
            </w:div>
          </w:divsChild>
        </w:div>
        <w:div w:id="1742363298">
          <w:marLeft w:val="0"/>
          <w:marRight w:val="0"/>
          <w:marTop w:val="0"/>
          <w:marBottom w:val="0"/>
          <w:divBdr>
            <w:top w:val="none" w:sz="0" w:space="0" w:color="auto"/>
            <w:left w:val="none" w:sz="0" w:space="0" w:color="auto"/>
            <w:bottom w:val="none" w:sz="0" w:space="0" w:color="auto"/>
            <w:right w:val="none" w:sz="0" w:space="0" w:color="auto"/>
          </w:divBdr>
          <w:divsChild>
            <w:div w:id="21179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39243">
      <w:bodyDiv w:val="1"/>
      <w:marLeft w:val="0"/>
      <w:marRight w:val="0"/>
      <w:marTop w:val="0"/>
      <w:marBottom w:val="0"/>
      <w:divBdr>
        <w:top w:val="none" w:sz="0" w:space="0" w:color="auto"/>
        <w:left w:val="none" w:sz="0" w:space="0" w:color="auto"/>
        <w:bottom w:val="none" w:sz="0" w:space="0" w:color="auto"/>
        <w:right w:val="none" w:sz="0" w:space="0" w:color="auto"/>
      </w:divBdr>
    </w:div>
    <w:div w:id="16469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12</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7</cp:revision>
  <cp:lastPrinted>2025-05-19T14:12:00Z</cp:lastPrinted>
  <dcterms:created xsi:type="dcterms:W3CDTF">2025-04-24T11:52:00Z</dcterms:created>
  <dcterms:modified xsi:type="dcterms:W3CDTF">2025-05-19T14:49:00Z</dcterms:modified>
</cp:coreProperties>
</file>