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FE87">
      <w:pPr>
        <w:spacing w:line="48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CHAPTER FOUR</w:t>
      </w:r>
    </w:p>
    <w:p w14:paraId="04D82EE3">
      <w:pPr>
        <w:spacing w:line="48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TESTING, RESULTS, AND DISCUSSION</w:t>
      </w:r>
    </w:p>
    <w:p w14:paraId="24FA9369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4.1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COMPONENTS TESTING</w:t>
      </w:r>
    </w:p>
    <w:p w14:paraId="248A644E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Each component is tested individually to ensure proper operation.</w:t>
      </w:r>
    </w:p>
    <w:p w14:paraId="6CC7B1CE">
      <w:pPr>
        <w:numPr>
          <w:ilvl w:val="0"/>
          <w:numId w:val="11"/>
        </w:numPr>
        <w:spacing w:line="480" w:lineRule="auto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Bread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boarding:</w:t>
      </w:r>
      <w:r>
        <w:rPr>
          <w:rFonts w:hint="default" w:ascii="Times New Roman" w:hAnsi="Times New Roman" w:cs="Times New Roman"/>
          <w:sz w:val="22"/>
          <w:szCs w:val="22"/>
        </w:rPr>
        <w:t xml:space="preserve"> The initial circuit is assembled on a breadboard to facilitate easy modifications and troubleshooting.</w:t>
      </w:r>
    </w:p>
    <w:p w14:paraId="2FAAC4CC">
      <w:pPr>
        <w:numPr>
          <w:ilvl w:val="0"/>
          <w:numId w:val="11"/>
        </w:numPr>
        <w:spacing w:line="480" w:lineRule="auto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Soldering and Assembly:</w:t>
      </w:r>
      <w:r>
        <w:rPr>
          <w:rFonts w:hint="default" w:ascii="Times New Roman" w:hAnsi="Times New Roman" w:cs="Times New Roman"/>
          <w:sz w:val="22"/>
          <w:szCs w:val="22"/>
        </w:rPr>
        <w:t xml:space="preserve"> Once the design is validated on the breadboard, the components are soldered onto a printed circuit board (PCB) for a more permanent and robust assembly.</w:t>
      </w:r>
    </w:p>
    <w:p w14:paraId="2D1DE3BD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3947F305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4.2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FUNCTIONAL TESTING</w:t>
      </w:r>
    </w:p>
    <w:p w14:paraId="2DE78D47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The assembled p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roject</w:t>
      </w:r>
      <w:r>
        <w:rPr>
          <w:rFonts w:hint="default" w:ascii="Times New Roman" w:hAnsi="Times New Roman" w:cs="Times New Roman"/>
          <w:sz w:val="22"/>
          <w:szCs w:val="22"/>
        </w:rPr>
        <w:t xml:space="preserve"> undergoes extensive testing to ensure it meets the design specifications and performs reliably under various conditions.</w:t>
      </w:r>
    </w:p>
    <w:p w14:paraId="5D91439C">
      <w:pPr>
        <w:numPr>
          <w:ilvl w:val="0"/>
          <w:numId w:val="11"/>
        </w:numPr>
        <w:spacing w:line="480" w:lineRule="auto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Solar Charging Test:</w:t>
      </w:r>
      <w:r>
        <w:rPr>
          <w:rFonts w:hint="default" w:ascii="Times New Roman" w:hAnsi="Times New Roman" w:cs="Times New Roman"/>
          <w:sz w:val="22"/>
          <w:szCs w:val="22"/>
        </w:rPr>
        <w:t xml:space="preserve"> The system is exposed to sunlight, and the charging performance of the solar panel is monitored.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P</w:t>
      </w:r>
      <w:r>
        <w:rPr>
          <w:rFonts w:hint="default" w:ascii="Times New Roman" w:hAnsi="Times New Roman" w:cs="Times New Roman"/>
          <w:sz w:val="22"/>
          <w:szCs w:val="22"/>
        </w:rPr>
        <w:t>arameters such as voltage, current, and state of charge are recorded.</w:t>
      </w:r>
    </w:p>
    <w:p w14:paraId="1E848346">
      <w:pPr>
        <w:numPr>
          <w:ilvl w:val="0"/>
          <w:numId w:val="11"/>
        </w:numPr>
        <w:spacing w:line="480" w:lineRule="auto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AC Charging Test:</w:t>
      </w:r>
      <w:r>
        <w:rPr>
          <w:rFonts w:hint="default" w:ascii="Times New Roman" w:hAnsi="Times New Roman" w:cs="Times New Roman"/>
          <w:sz w:val="22"/>
          <w:szCs w:val="22"/>
        </w:rPr>
        <w:t xml:space="preserve"> The system is connected to the AC charging outlet, and similar parameters are monitored to evaluate the performance of the AC charging circuit.</w:t>
      </w:r>
    </w:p>
    <w:p w14:paraId="642EB56B">
      <w:pPr>
        <w:numPr>
          <w:ilvl w:val="0"/>
          <w:numId w:val="11"/>
        </w:numPr>
        <w:spacing w:line="480" w:lineRule="auto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Battery Performance Test:</w:t>
      </w:r>
      <w:r>
        <w:rPr>
          <w:rFonts w:hint="default" w:ascii="Times New Roman" w:hAnsi="Times New Roman" w:cs="Times New Roman"/>
          <w:sz w:val="22"/>
          <w:szCs w:val="22"/>
        </w:rPr>
        <w:t xml:space="preserve"> The charging and discharging cycles of the lithium battery are tested to ensure the BMS manages the battery effectively without overcharging or deep discharging.</w:t>
      </w:r>
    </w:p>
    <w:p w14:paraId="288F5D0E">
      <w:pPr>
        <w:numPr>
          <w:ilvl w:val="0"/>
          <w:numId w:val="11"/>
        </w:numPr>
        <w:spacing w:line="480" w:lineRule="auto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LED Performance Test</w:t>
      </w:r>
      <w:r>
        <w:rPr>
          <w:rFonts w:hint="default" w:ascii="Times New Roman" w:hAnsi="Times New Roman" w:cs="Times New Roman"/>
          <w:sz w:val="22"/>
          <w:szCs w:val="22"/>
        </w:rPr>
        <w:t>: The LED array is tested for brightness, uniformity, and power consumption to ensure it meets the required lighting standards.</w:t>
      </w:r>
    </w:p>
    <w:p w14:paraId="6F0D23F2">
      <w:pPr>
        <w:numPr>
          <w:ilvl w:val="0"/>
          <w:numId w:val="0"/>
        </w:numPr>
        <w:spacing w:line="480" w:lineRule="auto"/>
        <w:ind w:leftChars="0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07F0331C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4.3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DURABILITY AND RELIABILITY TESTING</w:t>
      </w:r>
    </w:p>
    <w:p w14:paraId="374E6B27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The pro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ject </w:t>
      </w:r>
      <w:r>
        <w:rPr>
          <w:rFonts w:hint="default" w:ascii="Times New Roman" w:hAnsi="Times New Roman" w:cs="Times New Roman"/>
          <w:sz w:val="22"/>
          <w:szCs w:val="22"/>
        </w:rPr>
        <w:t>is subjected to durability tests to ensure it can withstand environmental conditions such as temperature variations, humidity, and mechanical shocks.</w:t>
      </w:r>
    </w:p>
    <w:p w14:paraId="09F1443D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5D4A0272">
      <w:pPr>
        <w:numPr>
          <w:ilvl w:val="0"/>
          <w:numId w:val="11"/>
        </w:numPr>
        <w:spacing w:line="480" w:lineRule="auto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Temperature Cycling Test</w:t>
      </w:r>
      <w:r>
        <w:rPr>
          <w:rFonts w:hint="default" w:ascii="Times New Roman" w:hAnsi="Times New Roman" w:cs="Times New Roman"/>
          <w:sz w:val="22"/>
          <w:szCs w:val="22"/>
        </w:rPr>
        <w:t>: The system is exposed to temperature extremes to test the reliability of the components and connections.</w:t>
      </w:r>
    </w:p>
    <w:p w14:paraId="05902AEE">
      <w:pPr>
        <w:numPr>
          <w:ilvl w:val="0"/>
          <w:numId w:val="11"/>
        </w:numPr>
        <w:spacing w:line="480" w:lineRule="auto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Humidity Test:</w:t>
      </w:r>
      <w:r>
        <w:rPr>
          <w:rFonts w:hint="default" w:ascii="Times New Roman" w:hAnsi="Times New Roman" w:cs="Times New Roman"/>
          <w:sz w:val="22"/>
          <w:szCs w:val="22"/>
        </w:rPr>
        <w:t xml:space="preserve"> The system is tested in a humid environment to check for moisture ingress and corrosion resistance.</w:t>
      </w:r>
    </w:p>
    <w:p w14:paraId="13DBB1D1">
      <w:pPr>
        <w:numPr>
          <w:ilvl w:val="0"/>
          <w:numId w:val="11"/>
        </w:numPr>
        <w:spacing w:line="480" w:lineRule="auto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Mechanical Shock Test:</w:t>
      </w:r>
      <w:r>
        <w:rPr>
          <w:rFonts w:hint="default" w:ascii="Times New Roman" w:hAnsi="Times New Roman" w:cs="Times New Roman"/>
          <w:sz w:val="22"/>
          <w:szCs w:val="22"/>
        </w:rPr>
        <w:t xml:space="preserve"> The system is subjected to mechanical shocks to ensure the physical integrity and robustness of the assembly.</w:t>
      </w:r>
    </w:p>
    <w:p w14:paraId="732C1B37">
      <w:pPr>
        <w:numPr>
          <w:ilvl w:val="0"/>
          <w:numId w:val="0"/>
        </w:numPr>
        <w:spacing w:line="480" w:lineRule="auto"/>
        <w:ind w:leftChars="0"/>
        <w:rPr>
          <w:rFonts w:hint="default" w:ascii="Times New Roman" w:hAnsi="Times New Roman" w:cs="Times New Roman"/>
          <w:sz w:val="22"/>
          <w:szCs w:val="22"/>
        </w:rPr>
      </w:pPr>
    </w:p>
    <w:p w14:paraId="7D60AC2A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4.4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PERFORMANCE OPTIMIZATION</w:t>
      </w:r>
    </w:p>
    <w:p w14:paraId="05F5F3FE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Based on the testing results, adjustments and optimizations are made to improve the system's performance. This may involve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The refinement of</w:t>
      </w:r>
      <w:r>
        <w:rPr>
          <w:rFonts w:hint="default" w:ascii="Times New Roman" w:hAnsi="Times New Roman" w:cs="Times New Roman"/>
          <w:sz w:val="22"/>
          <w:szCs w:val="22"/>
        </w:rPr>
        <w:t xml:space="preserve"> the BMS settings, optimizing the solar panel orientation, or adjusting the LED arrangement for better light distribution.</w:t>
      </w:r>
    </w:p>
    <w:p w14:paraId="2ED756A3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79423617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4.5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SUSTAINABLITY AND ENVIRONMENTAL IMPACT ASSESMENT</w:t>
      </w:r>
    </w:p>
    <w:p w14:paraId="5C5F1D69">
      <w:pPr>
        <w:numPr>
          <w:ilvl w:val="0"/>
          <w:numId w:val="12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Life Cycle Analysis</w:t>
      </w:r>
    </w:p>
    <w:p w14:paraId="5BADEB71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 life cycle analysis (LCA) is conducted to evaluate the environmental impact of the dual-charging LED lamp system. This involves assessing the environmental footprint of the materials used, manufacturing processes, operational energy consumption, and end-of-life disposal.</w:t>
      </w:r>
    </w:p>
    <w:p w14:paraId="3BA41B56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7560F68C">
      <w:pPr>
        <w:numPr>
          <w:ilvl w:val="0"/>
          <w:numId w:val="12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Cost-Benefit Analysis</w:t>
      </w:r>
    </w:p>
    <w:p w14:paraId="7206CE00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 cost-benefit analysis is performed to evaluate the economic viability of the system. This includes comparing the initial investment, operational costs, and potential savings from reduced energy consumption.</w:t>
      </w:r>
    </w:p>
    <w:p w14:paraId="6B965FDE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15B27D69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57D95DA7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518D4EF2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60D3AB79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5B014315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4.6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DOCUMENTATION AND REPORTS</w:t>
      </w:r>
    </w:p>
    <w:p w14:paraId="2FD6A799">
      <w:pPr>
        <w:numPr>
          <w:ilvl w:val="0"/>
          <w:numId w:val="13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Technical Documentation</w:t>
      </w:r>
    </w:p>
    <w:p w14:paraId="589B3729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Comprehensive technical documentation is prepared, detailing the design, component specifications, assembly instructions, and testing procedures. This documentation serves as a reference for future development and potential commercialization.</w:t>
      </w:r>
    </w:p>
    <w:p w14:paraId="6E270935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6C5626AC">
      <w:pPr>
        <w:numPr>
          <w:ilvl w:val="0"/>
          <w:numId w:val="13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Final Report</w:t>
      </w:r>
    </w:p>
    <w:p w14:paraId="4B34E8B4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 final report is compiled, summarizing the project objectives, methodology, results, and conclusions. The report includes recommendations for further improvements and potential applications of the dual-charging LED lamp system.</w:t>
      </w:r>
    </w:p>
    <w:p w14:paraId="5B650639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3F6FF75D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 4.7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IMAGES OF THE PROJECT</w:t>
      </w:r>
    </w:p>
    <w:p w14:paraId="02E94CC1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drawing>
          <wp:inline distT="0" distB="0" distL="114300" distR="114300">
            <wp:extent cx="3573780" cy="3321050"/>
            <wp:effectExtent l="0" t="0" r="7620" b="12700"/>
            <wp:docPr id="24" name="Picture 24" descr="IMG-20240605-WA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IMG-20240605-WA00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F9E71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Fig. 4.1 The interface of the project showing the LED lightings</w:t>
      </w:r>
    </w:p>
    <w:p w14:paraId="5E2352EF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7213B83D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drawing>
          <wp:inline distT="0" distB="0" distL="114300" distR="114300">
            <wp:extent cx="3989705" cy="3265805"/>
            <wp:effectExtent l="0" t="0" r="10795" b="10795"/>
            <wp:docPr id="25" name="Picture 25" descr="IMG-20240605-WA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IMG-20240605-WA00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9705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DA7FC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Fig. 4.2 The parallel connections of the LED lightings after soldering</w:t>
      </w:r>
    </w:p>
    <w:p w14:paraId="6728633C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drawing>
          <wp:inline distT="0" distB="0" distL="114300" distR="114300">
            <wp:extent cx="3709670" cy="3792220"/>
            <wp:effectExtent l="0" t="0" r="5080" b="17780"/>
            <wp:docPr id="26" name="Picture 26" descr="IMG-20240605-WA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IMG-20240605-WA00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967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7FA37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Fig. 4.3 The marking-out of the LED lightings</w:t>
      </w:r>
    </w:p>
    <w:p w14:paraId="4DC55883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0872C331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744429C2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drawing>
          <wp:inline distT="0" distB="0" distL="114300" distR="114300">
            <wp:extent cx="4253230" cy="3861435"/>
            <wp:effectExtent l="0" t="0" r="13970" b="5715"/>
            <wp:docPr id="27" name="Picture 27" descr="IMG-20240605-WA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IMG-20240605-WA00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323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52CEE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Fig. 4.4 The Final work of the project showing the Solar panel attached.</w:t>
      </w:r>
    </w:p>
    <w:p w14:paraId="75E6DDAE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28E43C9C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drawing>
          <wp:inline distT="0" distB="0" distL="114300" distR="114300">
            <wp:extent cx="4439285" cy="4321175"/>
            <wp:effectExtent l="0" t="0" r="18415" b="3175"/>
            <wp:docPr id="28" name="Picture 28" descr="IMG-20240605-WA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IMG-20240605-WA00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9285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BD412">
      <w:pPr>
        <w:spacing w:line="480" w:lineRule="auto"/>
        <w:jc w:val="center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Fig. 4.5 The final interface of the project showing the LED Lightings </w:t>
      </w:r>
    </w:p>
    <w:p w14:paraId="084A31E1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3B6AC977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04C35649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31E820B2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17C93F6B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5C83680A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70FE33BB">
      <w:pPr>
        <w:spacing w:line="48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1516D319">
      <w:pPr>
        <w:spacing w:line="480" w:lineRule="auto"/>
        <w:rPr>
          <w:sz w:val="22"/>
          <w:szCs w:val="22"/>
        </w:rPr>
      </w:pPr>
    </w:p>
    <w:p w14:paraId="62924715">
      <w:pPr>
        <w:spacing w:line="480" w:lineRule="auto"/>
        <w:rPr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7F24AD"/>
    <w:multiLevelType w:val="singleLevel"/>
    <w:tmpl w:val="907F24AD"/>
    <w:lvl w:ilvl="0" w:tentative="0">
      <w:start w:val="1"/>
      <w:numFmt w:val="low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9546FA26"/>
    <w:multiLevelType w:val="singleLevel"/>
    <w:tmpl w:val="9546FA2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D6CC718"/>
    <w:multiLevelType w:val="singleLevel"/>
    <w:tmpl w:val="DD6CC718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4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5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6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7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8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9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10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11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2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02D5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5C7A1F"/>
    <w:rsid w:val="16633385"/>
    <w:rsid w:val="286D02D5"/>
    <w:rsid w:val="2D1F2D15"/>
    <w:rsid w:val="504A0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2024-06-12T17:47:00Z</dcterms:created>
  <dc:creator>Dell</dc:creator>
  <cp:lastModifiedBy>Dell</cp:lastModifiedBy>
  <dcterms:modified xsi:type="dcterms:W3CDTF">2025-05-31T13:44:47Z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F2267CFBB5FA49718C6E4256F1C0E70C_13</vt:lpwstr>
  </property>
</Properties>
</file>