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98B7B" w14:textId="77777777" w:rsidR="00FE7DDE" w:rsidRDefault="00FE7DDE" w:rsidP="002269DA">
      <w:pPr>
        <w:pStyle w:val="Heading1"/>
        <w:spacing w:after="390" w:line="480" w:lineRule="auto"/>
        <w:ind w:right="688"/>
        <w:jc w:val="center"/>
      </w:pPr>
      <w:bookmarkStart w:id="0" w:name="_Toc139711"/>
      <w:r>
        <w:t xml:space="preserve">CHAPTER TWO </w:t>
      </w:r>
      <w:bookmarkEnd w:id="0"/>
    </w:p>
    <w:p w14:paraId="2698EEF0" w14:textId="77777777" w:rsidR="00FE7DDE" w:rsidRDefault="00FE7DDE" w:rsidP="002269DA">
      <w:pPr>
        <w:pStyle w:val="Heading1"/>
        <w:spacing w:after="390" w:line="480" w:lineRule="auto"/>
        <w:ind w:right="686"/>
        <w:jc w:val="center"/>
      </w:pPr>
      <w:bookmarkStart w:id="1" w:name="_Toc139712"/>
      <w:r>
        <w:t xml:space="preserve">LITERATURE REVIEW </w:t>
      </w:r>
      <w:bookmarkEnd w:id="1"/>
    </w:p>
    <w:p w14:paraId="54132D66" w14:textId="77777777" w:rsidR="00FE7DDE" w:rsidRPr="00037D59" w:rsidRDefault="00FE7DDE" w:rsidP="002269DA">
      <w:pPr>
        <w:pStyle w:val="Heading3"/>
        <w:spacing w:after="109" w:line="480" w:lineRule="auto"/>
        <w:ind w:left="-5"/>
        <w:rPr>
          <w:b/>
          <w:color w:val="auto"/>
          <w:sz w:val="27"/>
          <w:szCs w:val="27"/>
        </w:rPr>
      </w:pPr>
      <w:bookmarkStart w:id="2" w:name="_Toc139713"/>
      <w:r w:rsidRPr="00037D59">
        <w:rPr>
          <w:b/>
          <w:color w:val="auto"/>
          <w:sz w:val="27"/>
          <w:szCs w:val="27"/>
        </w:rPr>
        <w:t xml:space="preserve">2.1 </w:t>
      </w:r>
      <w:r w:rsidRPr="00037D59">
        <w:rPr>
          <w:rFonts w:ascii="Times New Roman" w:hAnsi="Times New Roman" w:cs="Times New Roman"/>
          <w:b/>
          <w:color w:val="auto"/>
          <w:sz w:val="27"/>
          <w:szCs w:val="27"/>
        </w:rPr>
        <w:t>Theoretical</w:t>
      </w:r>
      <w:r w:rsidRPr="00037D59">
        <w:rPr>
          <w:b/>
          <w:color w:val="auto"/>
          <w:sz w:val="27"/>
          <w:szCs w:val="27"/>
        </w:rPr>
        <w:t xml:space="preserve"> review </w:t>
      </w:r>
      <w:bookmarkEnd w:id="2"/>
    </w:p>
    <w:p w14:paraId="638F05C3" w14:textId="77777777" w:rsidR="00FE7DDE" w:rsidRPr="00FD7E02" w:rsidRDefault="00FE7DDE" w:rsidP="002269DA">
      <w:pPr>
        <w:pStyle w:val="NormalWeb"/>
        <w:spacing w:line="480" w:lineRule="auto"/>
        <w:ind w:firstLine="720"/>
        <w:jc w:val="both"/>
      </w:pPr>
      <w:r w:rsidRPr="00FD7E02">
        <w:t>High-Performance Concrete (HPC) is a specialized type of concrete designed to provide superior mechanical and durability properties compared to conventional concrete. It is characterized by its high strength, excellent durability, and superior workability. Achieving these properties typically involves a low water-to-cement ratio, the use of chemical admixtures such as superplasticizers, and the incorporation of supplementary cementitious materials (SCMs). The primary benefits of HPC include improved structural performance, extended service life, and reduced maintenance requirements, making it an ideal choice for demanding construction applications like bridges, tunnels, and high-rise buildings (Kannan, 2017).</w:t>
      </w:r>
    </w:p>
    <w:p w14:paraId="00DCF178" w14:textId="77777777" w:rsidR="00FE7DDE" w:rsidRPr="00FD7E02" w:rsidRDefault="00FE7DDE" w:rsidP="002269DA">
      <w:pPr>
        <w:pStyle w:val="NormalWeb"/>
        <w:spacing w:line="480" w:lineRule="auto"/>
        <w:ind w:firstLine="720"/>
        <w:jc w:val="both"/>
      </w:pPr>
      <w:r w:rsidRPr="00FD7E02">
        <w:t xml:space="preserve">Concrete, the fundamental material for HPC, is a composite made from fine and coarse aggregates bonded together with a binder, typically Portland cement, and water. Upon mixing and hydration, cement reacts with water to form a hard, stone-like matrix that binds the aggregates together, providing the material with its strength and durability. Concrete’s versatility, availability, and adaptability make it the most widely used construction material globally. According to Neville and Brooks (2010) in </w:t>
      </w:r>
      <w:r w:rsidRPr="00FD7E02">
        <w:rPr>
          <w:rStyle w:val="Emphasis"/>
          <w:rFonts w:eastAsiaTheme="majorEastAsia"/>
        </w:rPr>
        <w:t>Concrete Technology</w:t>
      </w:r>
      <w:r w:rsidRPr="00FD7E02">
        <w:t>, the properties of concrete can be tailored by altering mix proportions and incorporating additives such as SCMs, making it suitable for a wide range of applications.</w:t>
      </w:r>
      <w:bookmarkStart w:id="3" w:name="_GoBack"/>
      <w:bookmarkEnd w:id="3"/>
    </w:p>
    <w:p w14:paraId="37284416" w14:textId="77777777" w:rsidR="00FE7DDE" w:rsidRPr="00FD7E02" w:rsidRDefault="00FE7DDE" w:rsidP="002269DA">
      <w:pPr>
        <w:pStyle w:val="NormalWeb"/>
        <w:spacing w:line="480" w:lineRule="auto"/>
        <w:ind w:firstLine="720"/>
        <w:jc w:val="both"/>
      </w:pPr>
      <w:r w:rsidRPr="00FD7E02">
        <w:lastRenderedPageBreak/>
        <w:t>SCMs, when used in conjunction with Portland cement, contribute to the properties of the hardened concrete through hydraulic or pozzolanic activity. Common SCMs include fly ash, silica fume, and ground granulated blast furnace slag. These materials not only enhance the performance of concrete but also contribute to sustainability by reducing the carbon footprint associated with cement production. Recent studies have highlighted the potential of agricultural waste ashes as viable SCMs, offering both environmental and economic benefits (</w:t>
      </w:r>
      <w:proofErr w:type="spellStart"/>
      <w:r w:rsidRPr="00FD7E02">
        <w:t>Sata</w:t>
      </w:r>
      <w:proofErr w:type="spellEnd"/>
      <w:r w:rsidRPr="00FD7E02">
        <w:t xml:space="preserve"> et al., 2007).</w:t>
      </w:r>
    </w:p>
    <w:p w14:paraId="0EC17B5D" w14:textId="77777777" w:rsidR="00BE3726" w:rsidRPr="00FD7E02" w:rsidRDefault="00FE7DDE" w:rsidP="002269DA">
      <w:pPr>
        <w:pStyle w:val="NormalWeb"/>
        <w:spacing w:line="480" w:lineRule="auto"/>
        <w:ind w:firstLine="720"/>
        <w:jc w:val="both"/>
      </w:pPr>
      <w:r w:rsidRPr="00FD7E02">
        <w:t>The utilization of agricultural waste ashes, such as rice husk ash and palm oil fuel ash, has been extensively studied. These ashes are rich in silica and exhibit pozzolanic properties, which improve the microstructure and mechanical properties of concrete. For instance, rice husk ash has been shown to enhance compressive strength and durability, providing a basis for exploring other agricultural residues like guinea corn husk ash (</w:t>
      </w:r>
      <w:proofErr w:type="spellStart"/>
      <w:r w:rsidRPr="00FD7E02">
        <w:t>Subbulakshmi</w:t>
      </w:r>
      <w:proofErr w:type="spellEnd"/>
      <w:r w:rsidRPr="00FD7E02">
        <w:t xml:space="preserve"> et al., 2014).</w:t>
      </w:r>
      <w:r w:rsidR="00BE3726" w:rsidRPr="00FD7E02">
        <w:t xml:space="preserve"> </w:t>
      </w:r>
    </w:p>
    <w:p w14:paraId="11D80CA7" w14:textId="0F7F4DA5" w:rsidR="00BE3726" w:rsidRPr="00FD7E02" w:rsidRDefault="00B16043" w:rsidP="002269DA">
      <w:pPr>
        <w:pStyle w:val="NormalWeb"/>
        <w:spacing w:line="480" w:lineRule="auto"/>
        <w:ind w:firstLine="720"/>
        <w:jc w:val="both"/>
      </w:pPr>
      <w:r w:rsidRPr="00FD7E02">
        <w:t xml:space="preserve">Rice Husk Ash (RHA) is an </w:t>
      </w:r>
      <w:proofErr w:type="spellStart"/>
      <w:r w:rsidRPr="00FD7E02">
        <w:t>agro</w:t>
      </w:r>
      <w:proofErr w:type="spellEnd"/>
      <w:r w:rsidRPr="00FD7E02">
        <w:t xml:space="preserve">-waste material rich in amorphous silica, which makes it an effective pozzolan in concrete production (Zhang &amp; Malhotra, 1996). The properties of RHA depend significantly on the burning temperature and grinding process. RHA produced at temperatures below 700°C retains high pozzolanic activity due to its amorphous silica content (Ganesan et al., 2008). Several studies have demonstrated that partial replacement of cement with RHA in the range of 5–20% enhances the compressive strength of concrete at later curing ages (Chowdhury et al., 2017). Additionally, RHA-modified concrete exhibits improved durability, reducing chloride penetration and sulfate attack risks (Gutiérrez et al., 2018). Guinea Corn Husk Ash (GCHA) is another </w:t>
      </w:r>
      <w:proofErr w:type="spellStart"/>
      <w:r w:rsidRPr="00FD7E02">
        <w:t>agro</w:t>
      </w:r>
      <w:proofErr w:type="spellEnd"/>
      <w:r w:rsidRPr="00FD7E02">
        <w:t xml:space="preserve">-based pozzolan that has been explored in recent studies. It contains silica and alumina, which contribute to its cementitious properties when </w:t>
      </w:r>
      <w:r w:rsidRPr="00FD7E02">
        <w:lastRenderedPageBreak/>
        <w:t>finely ground (</w:t>
      </w:r>
      <w:proofErr w:type="spellStart"/>
      <w:r w:rsidRPr="00FD7E02">
        <w:t>Olutoge</w:t>
      </w:r>
      <w:proofErr w:type="spellEnd"/>
      <w:r w:rsidRPr="00FD7E02">
        <w:t xml:space="preserve"> et al., 2015). Controlled combustion and processing enhance its reactivity, making it a viable partial replacement for cement.</w:t>
      </w:r>
      <w:r w:rsidR="00BE3726" w:rsidRPr="00FD7E02">
        <w:t xml:space="preserve"> Research by </w:t>
      </w:r>
      <w:proofErr w:type="spellStart"/>
      <w:r w:rsidR="00BE3726" w:rsidRPr="00FD7E02">
        <w:t>Akinwumi</w:t>
      </w:r>
      <w:proofErr w:type="spellEnd"/>
      <w:r w:rsidR="00BE3726" w:rsidRPr="00FD7E02">
        <w:t xml:space="preserve"> et al. (2019) reported that incorporating GCHA in HPC at replacement levels between 5% and 15% leads to comparable or even superior compressive strength compared to control specimens. However, excessive replacement (beyond 20%) may result in a reduction in strength due to increased porosity.</w:t>
      </w:r>
    </w:p>
    <w:p w14:paraId="21D26E23" w14:textId="369FEF8E" w:rsidR="00BE3726" w:rsidRPr="00FD7E02" w:rsidRDefault="00BE3726" w:rsidP="002269DA">
      <w:pPr>
        <w:pStyle w:val="NormalWeb"/>
        <w:spacing w:line="480" w:lineRule="auto"/>
        <w:jc w:val="both"/>
      </w:pPr>
      <w:r w:rsidRPr="00FD7E02">
        <w:t xml:space="preserve">          Several researchers have examined the combined effect of RHA and GCHA on the compressive strength of HPC. Studies indicate that a combination of these materials enhances the mechanical properties of concrete due to synergistic pozzolanic reactions (Bakar et al., 2010). According to Nair et al. (2013), concrete mixes incorporating RHA and GCHA at optimized replacement percentages achieve higher strength compared to plain OPC concrete. The fine particle size of RHA contributes to increased packing density, while GCHA provides additional silica for C-S-H formation, resulting in improved strength development. The curing period significantly influences the compressive strength of HPC containing RHA and GCHA. Studies have shown that concrete incorporating pozzolanic materials tends to exhibit lower early strength but gains significant strength at later ages due to ongoing pozzolanic reactions (</w:t>
      </w:r>
      <w:proofErr w:type="spellStart"/>
      <w:r w:rsidRPr="00FD7E02">
        <w:t>Paya</w:t>
      </w:r>
      <w:proofErr w:type="spellEnd"/>
      <w:r w:rsidRPr="00FD7E02">
        <w:t xml:space="preserve"> et al., 2002). For instance, Khan et al. (2020) observed that RHA-blended concrete displayed a noticeable increase in strength between 14 and 28 days, surpassing the strength of control specimens.</w:t>
      </w:r>
    </w:p>
    <w:p w14:paraId="40E7E526" w14:textId="7D64082D" w:rsidR="00FE7DDE" w:rsidRPr="00FD7E02" w:rsidRDefault="00FE7DDE" w:rsidP="002269DA">
      <w:pPr>
        <w:pStyle w:val="NormalWeb"/>
        <w:spacing w:line="480" w:lineRule="auto"/>
        <w:ind w:firstLine="720"/>
        <w:jc w:val="both"/>
      </w:pPr>
      <w:r w:rsidRPr="00FD7E02">
        <w:t>The utilization of GCHA</w:t>
      </w:r>
      <w:r w:rsidR="00305AE3" w:rsidRPr="00FD7E02">
        <w:t xml:space="preserve"> </w:t>
      </w:r>
      <w:r w:rsidR="00BE3726" w:rsidRPr="00FD7E02">
        <w:t>and RHA</w:t>
      </w:r>
      <w:r w:rsidRPr="00FD7E02">
        <w:t xml:space="preserve"> in concrete production offers significant environmental benefits by reducing agricultural waste and lowering the carbon footprint of cement manufacturing. Economically, it provides a cost-effective alternative to conventional </w:t>
      </w:r>
      <w:r w:rsidRPr="00FD7E02">
        <w:lastRenderedPageBreak/>
        <w:t>SCMs, particularly in regions where guinea corn is abundantly cultivated. This aligns with global sustainability goals by promoting the use of renewable and locally available resources in construction (</w:t>
      </w:r>
      <w:proofErr w:type="spellStart"/>
      <w:r w:rsidRPr="00FD7E02">
        <w:t>Ndububa</w:t>
      </w:r>
      <w:proofErr w:type="spellEnd"/>
      <w:r w:rsidRPr="00FD7E02">
        <w:t xml:space="preserve"> &amp; </w:t>
      </w:r>
      <w:proofErr w:type="spellStart"/>
      <w:r w:rsidRPr="00FD7E02">
        <w:t>Nurudeen</w:t>
      </w:r>
      <w:proofErr w:type="spellEnd"/>
      <w:r w:rsidRPr="00FD7E02">
        <w:t>, 2015; Kannan, 2017).</w:t>
      </w:r>
    </w:p>
    <w:p w14:paraId="723E8898" w14:textId="77777777" w:rsidR="00960C4D" w:rsidRDefault="00960C4D" w:rsidP="002269DA">
      <w:pPr>
        <w:spacing w:line="480" w:lineRule="auto"/>
      </w:pPr>
    </w:p>
    <w:sectPr w:rsidR="00960C4D" w:rsidSect="000B7946">
      <w:pgSz w:w="11909" w:h="1559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DDE"/>
    <w:rsid w:val="00037D59"/>
    <w:rsid w:val="000B7946"/>
    <w:rsid w:val="000E373B"/>
    <w:rsid w:val="002269DA"/>
    <w:rsid w:val="00305AE3"/>
    <w:rsid w:val="005A50D0"/>
    <w:rsid w:val="00960C4D"/>
    <w:rsid w:val="00B16043"/>
    <w:rsid w:val="00BE3726"/>
    <w:rsid w:val="00F25B6A"/>
    <w:rsid w:val="00FD7E02"/>
    <w:rsid w:val="00FE7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4B6A5"/>
  <w15:chartTrackingRefBased/>
  <w15:docId w15:val="{9414BEA6-5C4F-499C-91E6-115F773C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7DDE"/>
  </w:style>
  <w:style w:type="paragraph" w:styleId="Heading1">
    <w:name w:val="heading 1"/>
    <w:next w:val="Normal"/>
    <w:link w:val="Heading1Char"/>
    <w:uiPriority w:val="9"/>
    <w:qFormat/>
    <w:rsid w:val="00FE7DDE"/>
    <w:pPr>
      <w:keepNext/>
      <w:keepLines/>
      <w:spacing w:after="386" w:line="265" w:lineRule="auto"/>
      <w:ind w:left="10" w:right="7" w:hanging="10"/>
      <w:jc w:val="both"/>
      <w:outlineLvl w:val="0"/>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semiHidden/>
    <w:unhideWhenUsed/>
    <w:qFormat/>
    <w:rsid w:val="00FE7D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DDE"/>
    <w:rPr>
      <w:rFonts w:ascii="Times New Roman" w:eastAsia="Times New Roman" w:hAnsi="Times New Roman" w:cs="Times New Roman"/>
      <w:b/>
      <w:color w:val="000000"/>
      <w:sz w:val="24"/>
    </w:rPr>
  </w:style>
  <w:style w:type="character" w:customStyle="1" w:styleId="Heading3Char">
    <w:name w:val="Heading 3 Char"/>
    <w:basedOn w:val="DefaultParagraphFont"/>
    <w:link w:val="Heading3"/>
    <w:uiPriority w:val="9"/>
    <w:semiHidden/>
    <w:rsid w:val="00FE7DDE"/>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FE7DD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E7D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4</Pages>
  <Words>817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2025-01-17T13:37:00Z</dcterms:created>
  <dcterms:modified xsi:type="dcterms:W3CDTF">2025-06-04T16:13:00Z</dcterms:modified>
</cp:coreProperties>
</file>