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F8" w:rsidRDefault="007B51F8" w:rsidP="007B51F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CHAPTER THREE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3.0 Research methodology 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3.1 The study area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The study was conducted in Ilorin metropolis </w:t>
      </w:r>
      <w:proofErr w:type="spellStart"/>
      <w:r>
        <w:rPr>
          <w:rFonts w:ascii="Times New Roman" w:hAnsi="Times New Roman" w:cs="Times New Roman"/>
          <w:sz w:val="24"/>
        </w:rPr>
        <w:t>Kwara</w:t>
      </w:r>
      <w:proofErr w:type="spellEnd"/>
      <w:r>
        <w:rPr>
          <w:rFonts w:ascii="Times New Roman" w:hAnsi="Times New Roman" w:cs="Times New Roman"/>
          <w:sz w:val="24"/>
        </w:rPr>
        <w:t xml:space="preserve"> State Nigeria. Ilorin is the Capital of </w:t>
      </w:r>
      <w:proofErr w:type="spellStart"/>
      <w:r>
        <w:rPr>
          <w:rFonts w:ascii="Times New Roman" w:hAnsi="Times New Roman" w:cs="Times New Roman"/>
          <w:sz w:val="24"/>
        </w:rPr>
        <w:t>Kwara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State</w:t>
      </w:r>
      <w:proofErr w:type="gramStart"/>
      <w:r>
        <w:rPr>
          <w:rFonts w:ascii="Times New Roman" w:hAnsi="Times New Roman" w:cs="Times New Roman"/>
          <w:sz w:val="24"/>
        </w:rPr>
        <w:t>,Nigeria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. Ilorin is made up of </w:t>
      </w:r>
      <w:proofErr w:type="spellStart"/>
      <w:r>
        <w:rPr>
          <w:rFonts w:ascii="Times New Roman" w:hAnsi="Times New Roman" w:cs="Times New Roman"/>
          <w:sz w:val="24"/>
        </w:rPr>
        <w:t>fiveLocal</w:t>
      </w:r>
      <w:proofErr w:type="spellEnd"/>
      <w:r>
        <w:rPr>
          <w:rFonts w:ascii="Times New Roman" w:hAnsi="Times New Roman" w:cs="Times New Roman"/>
          <w:sz w:val="24"/>
        </w:rPr>
        <w:t xml:space="preserve"> Government </w:t>
      </w:r>
      <w:proofErr w:type="gramStart"/>
      <w:r>
        <w:rPr>
          <w:rFonts w:ascii="Times New Roman" w:hAnsi="Times New Roman" w:cs="Times New Roman"/>
          <w:sz w:val="24"/>
        </w:rPr>
        <w:t>area which are</w:t>
      </w:r>
      <w:proofErr w:type="gramEnd"/>
      <w:r>
        <w:rPr>
          <w:rFonts w:ascii="Times New Roman" w:hAnsi="Times New Roman" w:cs="Times New Roman"/>
          <w:sz w:val="24"/>
        </w:rPr>
        <w:t xml:space="preserve"> Ilorin East Local Government, </w:t>
      </w:r>
      <w:proofErr w:type="spellStart"/>
      <w:r>
        <w:rPr>
          <w:rFonts w:ascii="Times New Roman" w:hAnsi="Times New Roman" w:cs="Times New Roman"/>
          <w:sz w:val="24"/>
        </w:rPr>
        <w:t>Asa</w:t>
      </w:r>
      <w:proofErr w:type="spellEnd"/>
      <w:r>
        <w:rPr>
          <w:rFonts w:ascii="Times New Roman" w:hAnsi="Times New Roman" w:cs="Times New Roman"/>
          <w:sz w:val="24"/>
        </w:rPr>
        <w:t xml:space="preserve"> Local Government Area, Ilorin West Local Government Area, Ilorin South Local Government Area.</w:t>
      </w:r>
    </w:p>
    <w:p w:rsidR="007B51F8" w:rsidRDefault="007B51F8" w:rsidP="007B51F8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3.2</w:t>
      </w:r>
      <w:r>
        <w:rPr>
          <w:rFonts w:ascii="Times New Roman" w:eastAsia="Arial" w:hAnsi="Times New Roman" w:cs="Times New Roman"/>
          <w:b/>
          <w:bCs/>
          <w:sz w:val="24"/>
        </w:rPr>
        <w:tab/>
        <w:t>Population of the study</w:t>
      </w:r>
    </w:p>
    <w:p w:rsidR="007B51F8" w:rsidRPr="0017510E" w:rsidRDefault="007B51F8" w:rsidP="007B51F8">
      <w:pPr>
        <w:spacing w:after="0" w:line="360" w:lineRule="auto"/>
        <w:ind w:firstLine="420"/>
        <w:rPr>
          <w:rFonts w:ascii="Times New Roman" w:hAnsi="Times New Roman" w:cs="Times New Roman"/>
          <w:sz w:val="24"/>
        </w:rPr>
      </w:pPr>
      <w:r w:rsidRPr="0017510E">
        <w:rPr>
          <w:rFonts w:ascii="Times New Roman" w:hAnsi="Times New Roman" w:cs="Times New Roman"/>
          <w:sz w:val="24"/>
        </w:rPr>
        <w:t xml:space="preserve">The target population comprises all </w:t>
      </w:r>
      <w:r w:rsidRPr="0017510E">
        <w:rPr>
          <w:rStyle w:val="Strong"/>
          <w:rFonts w:ascii="Times New Roman" w:hAnsi="Times New Roman" w:cs="Times New Roman"/>
          <w:sz w:val="24"/>
        </w:rPr>
        <w:t>farming households in Ilorin East Local Government Area (LGA)</w:t>
      </w:r>
      <w:r w:rsidRPr="0017510E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17510E">
        <w:rPr>
          <w:rFonts w:ascii="Times New Roman" w:hAnsi="Times New Roman" w:cs="Times New Roman"/>
          <w:sz w:val="24"/>
        </w:rPr>
        <w:t>Kwara</w:t>
      </w:r>
      <w:proofErr w:type="spellEnd"/>
      <w:r w:rsidRPr="0017510E">
        <w:rPr>
          <w:rFonts w:ascii="Times New Roman" w:hAnsi="Times New Roman" w:cs="Times New Roman"/>
          <w:sz w:val="24"/>
        </w:rPr>
        <w:t xml:space="preserve"> State. These households rely primarily on crop and livestock farming for their livelihoods.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3.3 Sampling Procedure and sample size</w:t>
      </w:r>
    </w:p>
    <w:p w:rsidR="007B51F8" w:rsidRPr="0017510E" w:rsidRDefault="007B51F8" w:rsidP="007B51F8">
      <w:pPr>
        <w:pStyle w:val="Heading2"/>
        <w:ind w:firstLine="420"/>
        <w:rPr>
          <w:rFonts w:ascii="Times New Roman" w:eastAsia="Times New Roman" w:hAnsi="Times New Roman" w:cs="Times New Roman"/>
          <w:color w:val="auto"/>
          <w:kern w:val="0"/>
          <w:sz w:val="36"/>
          <w:szCs w:val="36"/>
          <w:lang w:eastAsia="en-US"/>
        </w:rPr>
      </w:pPr>
      <w:r w:rsidRPr="0017510E">
        <w:rPr>
          <w:rStyle w:val="Strong"/>
          <w:rFonts w:ascii="Times New Roman" w:hAnsi="Times New Roman" w:cs="Times New Roman"/>
          <w:color w:val="auto"/>
        </w:rPr>
        <w:t>Sampling Procedure</w:t>
      </w:r>
    </w:p>
    <w:p w:rsidR="007B51F8" w:rsidRDefault="007B51F8" w:rsidP="007B51F8">
      <w:pPr>
        <w:pStyle w:val="NormalWeb"/>
      </w:pPr>
      <w:r>
        <w:t xml:space="preserve">A </w:t>
      </w:r>
      <w:r>
        <w:rPr>
          <w:rStyle w:val="Strong"/>
        </w:rPr>
        <w:t>multi-stage sampling technique</w:t>
      </w:r>
      <w:r>
        <w:t xml:space="preserve"> was adopted to select farming households in Ilorin East Local Government Area (LGA) for this study.</w:t>
      </w:r>
    </w:p>
    <w:p w:rsidR="007B51F8" w:rsidRDefault="007B51F8" w:rsidP="007B51F8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</w:rPr>
        <w:t>Stage 1: Ward Selection</w:t>
      </w:r>
      <w:r>
        <w:br/>
        <w:t xml:space="preserve">Out of the eleven (11) wards in Ilorin East LGA, five (5) wards were selected using </w:t>
      </w:r>
      <w:r w:rsidRPr="00383B20">
        <w:rPr>
          <w:rStyle w:val="Strong"/>
        </w:rPr>
        <w:t>simple random sampling</w:t>
      </w:r>
      <w:r>
        <w:t>. This approach ensured that each ward had an equal chance of being included, which enhances the representativeness of the sample.</w:t>
      </w:r>
    </w:p>
    <w:p w:rsidR="007B51F8" w:rsidRDefault="007B51F8" w:rsidP="007B51F8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</w:rPr>
        <w:t>Stage 2: Community Selection</w:t>
      </w:r>
      <w:r>
        <w:br/>
        <w:t xml:space="preserve">Within each selected ward, </w:t>
      </w:r>
      <w:r w:rsidRPr="00383B20">
        <w:rPr>
          <w:rStyle w:val="Strong"/>
        </w:rPr>
        <w:t>two farming communities</w:t>
      </w:r>
      <w:r>
        <w:t xml:space="preserve"> were chosen based on the availability of farming households and agricultural activity levels.</w:t>
      </w:r>
    </w:p>
    <w:p w:rsidR="007B51F8" w:rsidRDefault="007B51F8" w:rsidP="007B51F8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</w:rPr>
        <w:t>Stage 3: Household Selection</w:t>
      </w:r>
      <w:r>
        <w:br/>
      </w:r>
      <w:proofErr w:type="gramStart"/>
      <w:r>
        <w:t>A</w:t>
      </w:r>
      <w:proofErr w:type="gramEnd"/>
      <w:r>
        <w:t xml:space="preserve"> list of farming households in each selected community was obtained with the help of local agricultural extension officers. From these lists, </w:t>
      </w:r>
      <w:r w:rsidRPr="00383B20">
        <w:rPr>
          <w:rStyle w:val="Strong"/>
        </w:rPr>
        <w:t>systematic random sampling</w:t>
      </w:r>
      <w:r>
        <w:t xml:space="preserve"> was used to select individual households. For example, if a community had 100 households and 20 were needed, every 5th household on the list was selected.</w:t>
      </w:r>
    </w:p>
    <w:p w:rsidR="007B51F8" w:rsidRDefault="007B51F8" w:rsidP="007B51F8">
      <w:pPr>
        <w:pStyle w:val="Heading3"/>
      </w:pPr>
      <w:r>
        <w:rPr>
          <w:rStyle w:val="Strong"/>
        </w:rPr>
        <w:t>Sample Size Determination</w:t>
      </w:r>
    </w:p>
    <w:p w:rsidR="007B51F8" w:rsidRDefault="007B51F8" w:rsidP="007B51F8">
      <w:pPr>
        <w:pStyle w:val="NormalWeb"/>
      </w:pPr>
      <w:r>
        <w:t xml:space="preserve">The sample size was determined using </w:t>
      </w:r>
      <w:r>
        <w:rPr>
          <w:rStyle w:val="Strong"/>
        </w:rPr>
        <w:t>Yamane’s formula (1967)</w:t>
      </w:r>
      <w:r>
        <w:t xml:space="preserve"> for a finite population:</w:t>
      </w:r>
    </w:p>
    <w:p w:rsidR="007B51F8" w:rsidRDefault="007B51F8" w:rsidP="007B51F8">
      <w:pPr>
        <w:pStyle w:val="NormalWeb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/>
        </w:rPr>
        <w:drawing>
          <wp:inline distT="0" distB="0" distL="0" distR="0">
            <wp:extent cx="1619048" cy="61904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7B51F8" w:rsidRDefault="007B51F8" w:rsidP="007B51F8">
      <w:pPr>
        <w:pStyle w:val="NormalWeb"/>
      </w:pPr>
      <w:r>
        <w:t>Where:</w:t>
      </w:r>
    </w:p>
    <w:p w:rsidR="007B51F8" w:rsidRDefault="007B51F8" w:rsidP="007B51F8">
      <w:pPr>
        <w:pStyle w:val="NormalWeb"/>
        <w:numPr>
          <w:ilvl w:val="0"/>
          <w:numId w:val="2"/>
        </w:numPr>
      </w:pPr>
      <w:r>
        <w:rPr>
          <w:rStyle w:val="Emphasis"/>
        </w:rPr>
        <w:t>n</w:t>
      </w:r>
      <w:r>
        <w:t xml:space="preserve"> = required sample size</w:t>
      </w:r>
    </w:p>
    <w:p w:rsidR="007B51F8" w:rsidRDefault="007B51F8" w:rsidP="007B51F8">
      <w:pPr>
        <w:pStyle w:val="NormalWeb"/>
        <w:numPr>
          <w:ilvl w:val="0"/>
          <w:numId w:val="2"/>
        </w:numPr>
      </w:pPr>
      <w:r>
        <w:rPr>
          <w:rStyle w:val="Emphasis"/>
        </w:rPr>
        <w:t>N</w:t>
      </w:r>
      <w:r>
        <w:t xml:space="preserve"> = total number of farming households (estimated at 1,200)</w:t>
      </w:r>
    </w:p>
    <w:p w:rsidR="007B51F8" w:rsidRDefault="007B51F8" w:rsidP="007B51F8">
      <w:pPr>
        <w:pStyle w:val="NormalWeb"/>
        <w:numPr>
          <w:ilvl w:val="0"/>
          <w:numId w:val="2"/>
        </w:numPr>
      </w:pPr>
      <w:r>
        <w:rPr>
          <w:rStyle w:val="Emphasis"/>
        </w:rPr>
        <w:t>e</w:t>
      </w:r>
      <w:r>
        <w:t xml:space="preserve"> = margin of error (0.05 for 95% confidence level)</w:t>
      </w:r>
    </w:p>
    <w:p w:rsidR="007B51F8" w:rsidRDefault="007B51F8" w:rsidP="007B51F8">
      <w:pPr>
        <w:pStyle w:val="NormalWeb"/>
        <w:ind w:left="840" w:firstLine="420"/>
      </w:pPr>
      <w:r>
        <w:rPr>
          <w:noProof/>
          <w:lang w:val="en-GB" w:eastAsia="en-GB"/>
        </w:rPr>
        <w:drawing>
          <wp:inline distT="0" distB="0" distL="0" distR="0">
            <wp:extent cx="3457143" cy="59047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1F8" w:rsidRDefault="007B51F8" w:rsidP="007B51F8">
      <w:pPr>
        <w:pStyle w:val="NormalWeb"/>
        <w:spacing w:line="360" w:lineRule="auto"/>
      </w:pPr>
      <w:r>
        <w:t xml:space="preserve">Thus, a </w:t>
      </w:r>
      <w:r>
        <w:rPr>
          <w:rStyle w:val="Strong"/>
        </w:rPr>
        <w:t>sample size of 300 farming households</w:t>
      </w:r>
      <w:r>
        <w:t xml:space="preserve"> was selected for the study. This number provides a reliable basis for statistical analysis and ensures meaningful generalization to the entire population of farming households in the area.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 xml:space="preserve">3.4 Method of data Analysis </w:t>
      </w:r>
    </w:p>
    <w:p w:rsidR="007B51F8" w:rsidRDefault="007B51F8" w:rsidP="007B51F8">
      <w:pPr>
        <w:spacing w:after="0" w:line="36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method of data analysis will include the use of descriptive and inferential statistical methods.</w:t>
      </w:r>
    </w:p>
    <w:p w:rsidR="007B51F8" w:rsidRDefault="007B51F8" w:rsidP="007B51F8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 w:rsidRPr="00ED75EE">
              <w:rPr>
                <w:rFonts w:eastAsia="Times New Roman"/>
                <w:b/>
                <w:bCs/>
                <w:kern w:val="0"/>
                <w:sz w:val="24"/>
                <w:lang w:eastAsia="en-US"/>
              </w:rPr>
              <w:t>Variable</w:t>
            </w:r>
          </w:p>
        </w:tc>
        <w:tc>
          <w:tcPr>
            <w:tcW w:w="2310" w:type="dxa"/>
          </w:tcPr>
          <w:p w:rsidR="007B51F8" w:rsidRPr="00ED75EE" w:rsidRDefault="007B51F8" w:rsidP="00F5221A">
            <w:pPr>
              <w:spacing w:after="0" w:line="360" w:lineRule="auto"/>
              <w:rPr>
                <w:b/>
                <w:sz w:val="24"/>
              </w:rPr>
            </w:pPr>
            <w:r w:rsidRPr="00ED75EE">
              <w:rPr>
                <w:b/>
                <w:sz w:val="24"/>
              </w:rPr>
              <w:t>Type</w:t>
            </w:r>
          </w:p>
        </w:tc>
        <w:tc>
          <w:tcPr>
            <w:tcW w:w="2311" w:type="dxa"/>
          </w:tcPr>
          <w:p w:rsidR="007B51F8" w:rsidRPr="00ED75EE" w:rsidRDefault="007B51F8" w:rsidP="00F5221A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311" w:type="dxa"/>
          </w:tcPr>
          <w:p w:rsidR="007B51F8" w:rsidRPr="00ED75EE" w:rsidRDefault="007B51F8" w:rsidP="00F5221A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Expected sign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Age of Household Head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Age in years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+/-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Education level 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Ordinal 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Numbers of years of formal schooling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Negative 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Household size 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Number of people in the household 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Positive 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Farm size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Size of the farm in hectares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Negative 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Monthly income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1= has no access income in Nigeria naira (#)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Negative 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Access to credit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Dummy (0/1)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1=has access to agriculture credit,0=No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Extension services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Dummy (0/1)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1= access to extension services,0=No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Farming experience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Years of farming experience 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  <w:tr w:rsidR="007B51F8" w:rsidTr="00F5221A"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Type of farming </w:t>
            </w:r>
          </w:p>
        </w:tc>
        <w:tc>
          <w:tcPr>
            <w:tcW w:w="2310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Dummy (0/1)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1= commercial, 0=Subsistence farming</w:t>
            </w:r>
          </w:p>
        </w:tc>
        <w:tc>
          <w:tcPr>
            <w:tcW w:w="2311" w:type="dxa"/>
          </w:tcPr>
          <w:p w:rsidR="007B51F8" w:rsidRDefault="007B51F8" w:rsidP="00F5221A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</w:tbl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</w:rPr>
      </w:pPr>
    </w:p>
    <w:p w:rsidR="007B51F8" w:rsidRDefault="007B51F8" w:rsidP="007B51F8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</w:r>
      <w:r>
        <w:rPr>
          <w:rFonts w:ascii="Times New Roman" w:eastAsia="Arial" w:hAnsi="Times New Roman" w:cs="Times New Roman"/>
          <w:b/>
          <w:bCs/>
          <w:sz w:val="24"/>
        </w:rPr>
        <w:tab/>
        <w:t>QUESTIONNAIRE</w:t>
      </w:r>
    </w:p>
    <w:p w:rsidR="007B51F8" w:rsidRDefault="007B51F8" w:rsidP="007B51F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Questionnaire: Determinants of Poverty among Farming Households in Ilorin East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Section A: Socioeconomic Characteristics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1. What is your age?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2. What is your gender? Male [ ] Female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3. What is your marital status? Single [ ] Married [ ] Divorced [ ] Widowed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lastRenderedPageBreak/>
        <w:t>4. What is your level of education? No formal education [ ] Primary [ ] Secondary [ ] Tertiary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5. How many people live in your household?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6. What is your primary occupation? Farming [ ] Non-farming [ ] Both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Section B: Farming Characteristics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1. What type of crops do you grow?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2. What is the size of your farm land?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3. What farming methods do you use? Traditional [ ] Modern [ ] Both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4. Do you have access to irrigation facilities?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5. What is your average annual farm income?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bookmarkStart w:id="0" w:name="_GoBack"/>
      <w:bookmarkEnd w:id="0"/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Section C: Access to Resources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1. Do you have access to credit facilities?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2. If yes, what is the source of credit?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3. Do you have access to extension services?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4. Do you have access to farm inputs (e.g., fertilizers, seeds)?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5. Do you have access to markets for your produce?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Section D: Poverty Indicators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1. What is your average monthly household expenditure?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2. Do you have access to basic amenities (e.g., healthcare, education)?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3. What is your household's food security status? Food secure [ ] Food insecure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4. Do you experience any shocks (e.g., crop failure, illness)? Yes [ ] No [ ]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Section E: Determinants of Poverty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1. What do you think are the major challenges facing your farming activities?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2. How do you think these challenges affect your household's poverty status? _______________________</w:t>
      </w:r>
    </w:p>
    <w:p w:rsidR="007B51F8" w:rsidRPr="003544B0" w:rsidRDefault="007B51F8" w:rsidP="007B51F8">
      <w:pPr>
        <w:spacing w:after="0" w:line="360" w:lineRule="auto"/>
        <w:rPr>
          <w:rFonts w:ascii="Times New Roman" w:eastAsia="Arial" w:hAnsi="Times New Roman" w:cs="Times New Roman"/>
          <w:bCs/>
          <w:sz w:val="24"/>
        </w:rPr>
      </w:pPr>
      <w:r w:rsidRPr="003544B0">
        <w:rPr>
          <w:rFonts w:ascii="Times New Roman" w:eastAsia="Arial" w:hAnsi="Times New Roman" w:cs="Times New Roman"/>
          <w:bCs/>
          <w:sz w:val="24"/>
        </w:rPr>
        <w:t>3. What strategies do you use to cope with poverty? _______________________</w:t>
      </w:r>
    </w:p>
    <w:p w:rsidR="004F5413" w:rsidRDefault="004F5413"/>
    <w:p w:rsidR="000F5FFA" w:rsidRDefault="000F5FFA"/>
    <w:p w:rsidR="000F5FFA" w:rsidRDefault="000F5FFA" w:rsidP="000F5FF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lastRenderedPageBreak/>
        <w:t>REFERENCES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Aihonsu</w:t>
      </w:r>
      <w:proofErr w:type="gramStart"/>
      <w:r>
        <w:rPr>
          <w:rFonts w:ascii="Times New Roman" w:eastAsia="Arial" w:hAnsi="Times New Roman" w:cs="Times New Roman"/>
          <w:sz w:val="24"/>
        </w:rPr>
        <w:t>,J.O.Olubanjo</w:t>
      </w:r>
      <w:proofErr w:type="spellEnd"/>
      <w:proofErr w:type="gramEnd"/>
      <w:r>
        <w:rPr>
          <w:rFonts w:ascii="Times New Roman" w:eastAsia="Arial" w:hAnsi="Times New Roman" w:cs="Times New Roman"/>
          <w:sz w:val="24"/>
        </w:rPr>
        <w:t xml:space="preserve"> ,O.O&amp;,A (2011) Determinants of income diversification amongst rural farm households in Nigeria.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Chauvin</w:t>
      </w:r>
      <w:proofErr w:type="gramStart"/>
      <w:r>
        <w:rPr>
          <w:rFonts w:ascii="Times New Roman" w:eastAsia="Arial" w:hAnsi="Times New Roman" w:cs="Times New Roman"/>
          <w:sz w:val="24"/>
        </w:rPr>
        <w:t>,N.D</w:t>
      </w:r>
      <w:proofErr w:type="gramEnd"/>
      <w:r>
        <w:rPr>
          <w:rFonts w:ascii="Times New Roman" w:eastAsia="Arial" w:hAnsi="Times New Roman" w:cs="Times New Roman"/>
          <w:sz w:val="24"/>
        </w:rPr>
        <w:t>.,f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. </w:t>
      </w:r>
      <w:proofErr w:type="spellStart"/>
      <w:r>
        <w:rPr>
          <w:rFonts w:ascii="Times New Roman" w:eastAsia="Arial" w:hAnsi="Times New Roman" w:cs="Times New Roman"/>
          <w:sz w:val="24"/>
        </w:rPr>
        <w:t>Mulangu.</w:t>
      </w:r>
      <w:proofErr w:type="gramStart"/>
      <w:r>
        <w:rPr>
          <w:rFonts w:ascii="Times New Roman" w:eastAsia="Arial" w:hAnsi="Times New Roman" w:cs="Times New Roman"/>
          <w:sz w:val="24"/>
        </w:rPr>
        <w:t>,&amp;</w:t>
      </w:r>
      <w:proofErr w:type="gramEnd"/>
      <w:r>
        <w:rPr>
          <w:rFonts w:ascii="Times New Roman" w:eastAsia="Arial" w:hAnsi="Times New Roman" w:cs="Times New Roman"/>
          <w:sz w:val="24"/>
        </w:rPr>
        <w:t>Porto</w:t>
      </w:r>
      <w:proofErr w:type="spellEnd"/>
      <w:r>
        <w:rPr>
          <w:rFonts w:ascii="Times New Roman" w:eastAsia="Arial" w:hAnsi="Times New Roman" w:cs="Times New Roman"/>
          <w:sz w:val="24"/>
        </w:rPr>
        <w:t>.(2021)Food production and consumption trends in sub-Saharan Africa prospects for the transformation of the agricultural sector “</w:t>
      </w:r>
      <w:proofErr w:type="spellStart"/>
      <w:r>
        <w:rPr>
          <w:rFonts w:ascii="Times New Roman" w:eastAsia="Arial" w:hAnsi="Times New Roman" w:cs="Times New Roman"/>
          <w:sz w:val="24"/>
        </w:rPr>
        <w:t>Unop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Regional Bureau for </w:t>
      </w:r>
      <w:proofErr w:type="spellStart"/>
      <w:r>
        <w:rPr>
          <w:rFonts w:ascii="Times New Roman" w:eastAsia="Arial" w:hAnsi="Times New Roman" w:cs="Times New Roman"/>
          <w:sz w:val="24"/>
        </w:rPr>
        <w:t>Africa,Wp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2012-011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4"/>
        </w:rPr>
        <w:t>Dia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,Y.2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.,Jomgur,A.A.U&amp; </w:t>
      </w:r>
      <w:proofErr w:type="spellStart"/>
      <w:r>
        <w:rPr>
          <w:rFonts w:ascii="Times New Roman" w:eastAsia="Arial" w:hAnsi="Times New Roman" w:cs="Times New Roman"/>
          <w:sz w:val="24"/>
        </w:rPr>
        <w:t>Onu,J.i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.(2022(,,Livelihood in Adamawa state </w:t>
      </w:r>
      <w:proofErr w:type="spellStart"/>
      <w:r>
        <w:rPr>
          <w:rFonts w:ascii="Times New Roman" w:eastAsia="Arial" w:hAnsi="Times New Roman" w:cs="Times New Roman"/>
          <w:sz w:val="24"/>
        </w:rPr>
        <w:t>Nigeria.Green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reports 3(7),39-48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Dia,Y.2 &amp;</w:t>
      </w:r>
      <w:proofErr w:type="spellStart"/>
      <w:r>
        <w:rPr>
          <w:rFonts w:ascii="Times New Roman" w:eastAsia="Arial" w:hAnsi="Times New Roman" w:cs="Times New Roman"/>
          <w:sz w:val="24"/>
        </w:rPr>
        <w:t>Dia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-Johnson ,R(2023) The determinants of the livelihood Diversification among rural farming households in </w:t>
      </w:r>
      <w:proofErr w:type="spellStart"/>
      <w:r>
        <w:rPr>
          <w:rFonts w:ascii="Times New Roman" w:eastAsia="Arial" w:hAnsi="Times New Roman" w:cs="Times New Roman"/>
          <w:sz w:val="24"/>
        </w:rPr>
        <w:t>Toungo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local government area, Adamawa state ,Nigeria.3rd international congress of the Turkish journal of agriculture food science and </w:t>
      </w:r>
      <w:proofErr w:type="spellStart"/>
      <w:r>
        <w:rPr>
          <w:rFonts w:ascii="Times New Roman" w:eastAsia="Arial" w:hAnsi="Times New Roman" w:cs="Times New Roman"/>
          <w:sz w:val="24"/>
        </w:rPr>
        <w:t>Technology,malatenta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,Turkey Pp-128-138.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Idowu</w:t>
      </w:r>
      <w:proofErr w:type="gramStart"/>
      <w:r>
        <w:rPr>
          <w:rFonts w:ascii="Times New Roman" w:eastAsia="Arial" w:hAnsi="Times New Roman" w:cs="Times New Roman"/>
          <w:sz w:val="24"/>
        </w:rPr>
        <w:t>,A.O,Ambali,0.1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,&amp; </w:t>
      </w:r>
      <w:proofErr w:type="spellStart"/>
      <w:r>
        <w:rPr>
          <w:rFonts w:ascii="Times New Roman" w:eastAsia="Arial" w:hAnsi="Times New Roman" w:cs="Times New Roman"/>
          <w:sz w:val="24"/>
        </w:rPr>
        <w:t>Onasanya.A.S</w:t>
      </w:r>
      <w:proofErr w:type="spellEnd"/>
      <w:r>
        <w:rPr>
          <w:rFonts w:ascii="Times New Roman" w:eastAsia="Arial" w:hAnsi="Times New Roman" w:cs="Times New Roman"/>
          <w:sz w:val="24"/>
        </w:rPr>
        <w:t>(2014) living condition, livelihood and crop diversification among rural households.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Ijata,M.A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., </w:t>
      </w:r>
      <w:proofErr w:type="spellStart"/>
      <w:r>
        <w:rPr>
          <w:rFonts w:ascii="Times New Roman" w:eastAsia="Arial" w:hAnsi="Times New Roman" w:cs="Times New Roman"/>
          <w:sz w:val="24"/>
        </w:rPr>
        <w:t>Ijata,G.T..,Bello,R.A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., </w:t>
      </w:r>
      <w:proofErr w:type="spellStart"/>
      <w:r>
        <w:rPr>
          <w:rFonts w:ascii="Times New Roman" w:eastAsia="Arial" w:hAnsi="Times New Roman" w:cs="Times New Roman"/>
          <w:sz w:val="24"/>
        </w:rPr>
        <w:t>Ajayi,M.A&amp;AdeyemuS.L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(2010).Determinants of income Diversification in Ilorin </w:t>
      </w:r>
      <w:proofErr w:type="spellStart"/>
      <w:r>
        <w:rPr>
          <w:rFonts w:ascii="Times New Roman" w:eastAsia="Arial" w:hAnsi="Times New Roman" w:cs="Times New Roman"/>
          <w:sz w:val="24"/>
        </w:rPr>
        <w:t>metropolis,Nigeria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Ike</w:t>
      </w:r>
      <w:proofErr w:type="gramStart"/>
      <w:r>
        <w:rPr>
          <w:rFonts w:ascii="Times New Roman" w:eastAsia="Arial" w:hAnsi="Times New Roman" w:cs="Times New Roman"/>
          <w:sz w:val="24"/>
        </w:rPr>
        <w:t>,P.C</w:t>
      </w:r>
      <w:proofErr w:type="gramEnd"/>
      <w:r>
        <w:rPr>
          <w:rFonts w:ascii="Times New Roman" w:eastAsia="Arial" w:hAnsi="Times New Roman" w:cs="Times New Roman"/>
          <w:sz w:val="24"/>
        </w:rPr>
        <w:t>.&amp;Uzokwe,U.N</w:t>
      </w:r>
      <w:proofErr w:type="spellEnd"/>
      <w:r>
        <w:rPr>
          <w:rFonts w:ascii="Times New Roman" w:eastAsia="Arial" w:hAnsi="Times New Roman" w:cs="Times New Roman"/>
          <w:sz w:val="24"/>
        </w:rPr>
        <w:t>(2015).Estimating of poverty among rural farming households in Delta state Nigeria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Lencucha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,R., pal, N.E.,A., </w:t>
      </w:r>
      <w:proofErr w:type="spellStart"/>
      <w:r>
        <w:rPr>
          <w:rFonts w:ascii="Times New Roman" w:eastAsia="Arial" w:hAnsi="Times New Roman" w:cs="Times New Roman"/>
          <w:sz w:val="24"/>
        </w:rPr>
        <w:t>Throw,A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&amp; </w:t>
      </w:r>
      <w:proofErr w:type="spellStart"/>
      <w:r>
        <w:rPr>
          <w:rFonts w:ascii="Times New Roman" w:eastAsia="Arial" w:hAnsi="Times New Roman" w:cs="Times New Roman"/>
          <w:sz w:val="24"/>
        </w:rPr>
        <w:t>Drope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, j.(2020).Government policy and agricultural </w:t>
      </w:r>
      <w:proofErr w:type="spellStart"/>
      <w:r>
        <w:rPr>
          <w:rFonts w:ascii="Times New Roman" w:eastAsia="Arial" w:hAnsi="Times New Roman" w:cs="Times New Roman"/>
          <w:sz w:val="24"/>
        </w:rPr>
        <w:t>production.a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scoping review to inform research and policy on healthy agricultural commodities 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National Bureau of statistics (NBS</w:t>
      </w:r>
      <w:proofErr w:type="gramStart"/>
      <w:r>
        <w:rPr>
          <w:rFonts w:ascii="Times New Roman" w:eastAsia="Arial" w:hAnsi="Times New Roman" w:cs="Times New Roman"/>
          <w:sz w:val="24"/>
        </w:rPr>
        <w:t>)(</w:t>
      </w:r>
      <w:proofErr w:type="gramEnd"/>
      <w:r>
        <w:rPr>
          <w:rFonts w:ascii="Times New Roman" w:eastAsia="Arial" w:hAnsi="Times New Roman" w:cs="Times New Roman"/>
          <w:sz w:val="24"/>
        </w:rPr>
        <w:t>2010). National poverty rates in Nigeria.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Obayelu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E.A </w:t>
      </w:r>
      <w:proofErr w:type="spellStart"/>
      <w:r>
        <w:rPr>
          <w:rFonts w:ascii="Times New Roman" w:eastAsia="Arial" w:hAnsi="Times New Roman" w:cs="Times New Roman"/>
          <w:sz w:val="24"/>
        </w:rPr>
        <w:t>Olarewaju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T.O</w:t>
      </w:r>
      <w:proofErr w:type="gramStart"/>
      <w:r>
        <w:rPr>
          <w:rFonts w:ascii="Times New Roman" w:eastAsia="Arial" w:hAnsi="Times New Roman" w:cs="Times New Roman"/>
          <w:sz w:val="24"/>
        </w:rPr>
        <w:t>.&amp;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OyelamiN.L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.(2014)Effect of rural infrastructure on profitability and productivity of cassava -Based farms in </w:t>
      </w:r>
      <w:proofErr w:type="spellStart"/>
      <w:r>
        <w:rPr>
          <w:rFonts w:ascii="Times New Roman" w:eastAsia="Arial" w:hAnsi="Times New Roman" w:cs="Times New Roman"/>
          <w:sz w:val="24"/>
        </w:rPr>
        <w:t>odogbolu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local Government area .</w:t>
      </w:r>
      <w:proofErr w:type="spellStart"/>
      <w:r>
        <w:rPr>
          <w:rFonts w:ascii="Times New Roman" w:eastAsia="Arial" w:hAnsi="Times New Roman" w:cs="Times New Roman"/>
          <w:sz w:val="24"/>
        </w:rPr>
        <w:t>ogun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state.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Olayemi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F.F</w:t>
      </w:r>
      <w:proofErr w:type="gramStart"/>
      <w:r>
        <w:rPr>
          <w:rFonts w:ascii="Times New Roman" w:eastAsia="Arial" w:hAnsi="Times New Roman" w:cs="Times New Roman"/>
          <w:sz w:val="24"/>
        </w:rPr>
        <w:t>,Adebola</w:t>
      </w:r>
      <w:proofErr w:type="spellEnd"/>
      <w:proofErr w:type="gramEnd"/>
      <w:r>
        <w:rPr>
          <w:rFonts w:ascii="Times New Roman" w:eastAsia="Arial" w:hAnsi="Times New Roman" w:cs="Times New Roman"/>
          <w:sz w:val="24"/>
        </w:rPr>
        <w:t xml:space="preserve"> ,J.E </w:t>
      </w:r>
      <w:proofErr w:type="spellStart"/>
      <w:r>
        <w:rPr>
          <w:rFonts w:ascii="Times New Roman" w:eastAsia="Arial" w:hAnsi="Times New Roman" w:cs="Times New Roman"/>
          <w:sz w:val="24"/>
        </w:rPr>
        <w:t>Bamisgaiye,E.i.&amp;Away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, E.F(2012)‘’Assessment of post harvest losses of some selected crops in eight local government area of </w:t>
      </w:r>
      <w:proofErr w:type="spellStart"/>
      <w:r>
        <w:rPr>
          <w:rFonts w:ascii="Times New Roman" w:eastAsia="Arial" w:hAnsi="Times New Roman" w:cs="Times New Roman"/>
          <w:sz w:val="24"/>
        </w:rPr>
        <w:t>revers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state,Nigeria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Oyewole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S.O, </w:t>
      </w:r>
      <w:proofErr w:type="spellStart"/>
      <w:r>
        <w:rPr>
          <w:rFonts w:ascii="Times New Roman" w:eastAsia="Arial" w:hAnsi="Times New Roman" w:cs="Times New Roman"/>
          <w:sz w:val="24"/>
        </w:rPr>
        <w:t>Adepoju</w:t>
      </w:r>
      <w:proofErr w:type="gramStart"/>
      <w:r>
        <w:rPr>
          <w:rFonts w:ascii="Times New Roman" w:eastAsia="Arial" w:hAnsi="Times New Roman" w:cs="Times New Roman"/>
          <w:sz w:val="24"/>
        </w:rPr>
        <w:t>,S.O</w:t>
      </w:r>
      <w:proofErr w:type="gramEnd"/>
      <w:r>
        <w:rPr>
          <w:rFonts w:ascii="Times New Roman" w:eastAsia="Arial" w:hAnsi="Times New Roman" w:cs="Times New Roman"/>
          <w:sz w:val="24"/>
        </w:rPr>
        <w:t>.&amp;Akintola,A.L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.(2015)Analysis of income Diversification strategies among farm households in Oyo state 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proofErr w:type="spellStart"/>
      <w:r>
        <w:rPr>
          <w:rFonts w:ascii="Times New Roman" w:eastAsia="Arial" w:hAnsi="Times New Roman" w:cs="Times New Roman"/>
          <w:sz w:val="24"/>
        </w:rPr>
        <w:t>Olorunsanye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,E.O. &amp; </w:t>
      </w:r>
      <w:proofErr w:type="spellStart"/>
      <w:r>
        <w:rPr>
          <w:rFonts w:ascii="Times New Roman" w:eastAsia="Arial" w:hAnsi="Times New Roman" w:cs="Times New Roman"/>
          <w:sz w:val="24"/>
        </w:rPr>
        <w:t>Omotosho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O.A(2012)a Gender Analysis of poverty among rural farm households in North </w:t>
      </w:r>
      <w:proofErr w:type="spellStart"/>
      <w:r>
        <w:rPr>
          <w:rFonts w:ascii="Times New Roman" w:eastAsia="Arial" w:hAnsi="Times New Roman" w:cs="Times New Roman"/>
          <w:sz w:val="24"/>
        </w:rPr>
        <w:t>central,Nigeria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Sanusi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R.A,Owagbemi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, T.S&amp;  </w:t>
      </w:r>
      <w:proofErr w:type="spellStart"/>
      <w:r>
        <w:rPr>
          <w:rFonts w:ascii="Times New Roman" w:eastAsia="Arial" w:hAnsi="Times New Roman" w:cs="Times New Roman"/>
          <w:sz w:val="24"/>
        </w:rPr>
        <w:t>Suleman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M.(2013)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Determinants of poverty among farm households in </w:t>
      </w:r>
      <w:proofErr w:type="spellStart"/>
      <w:r>
        <w:rPr>
          <w:rFonts w:ascii="Times New Roman" w:eastAsia="Arial" w:hAnsi="Times New Roman" w:cs="Times New Roman"/>
          <w:sz w:val="24"/>
        </w:rPr>
        <w:t>ikorodu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local government area of </w:t>
      </w:r>
      <w:proofErr w:type="spellStart"/>
      <w:r>
        <w:rPr>
          <w:rFonts w:ascii="Times New Roman" w:eastAsia="Arial" w:hAnsi="Times New Roman" w:cs="Times New Roman"/>
          <w:sz w:val="24"/>
        </w:rPr>
        <w:t>lagos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local government area of </w:t>
      </w:r>
      <w:proofErr w:type="spellStart"/>
      <w:r>
        <w:rPr>
          <w:rFonts w:ascii="Times New Roman" w:eastAsia="Arial" w:hAnsi="Times New Roman" w:cs="Times New Roman"/>
          <w:sz w:val="24"/>
        </w:rPr>
        <w:t>lagos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local government area of </w:t>
      </w:r>
      <w:proofErr w:type="spellStart"/>
      <w:r>
        <w:rPr>
          <w:rFonts w:ascii="Times New Roman" w:eastAsia="Arial" w:hAnsi="Times New Roman" w:cs="Times New Roman"/>
          <w:sz w:val="24"/>
        </w:rPr>
        <w:t>lagos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state</w:t>
      </w:r>
      <w:proofErr w:type="gramStart"/>
      <w:r>
        <w:rPr>
          <w:rFonts w:ascii="Times New Roman" w:eastAsia="Arial" w:hAnsi="Times New Roman" w:cs="Times New Roman"/>
          <w:sz w:val="24"/>
        </w:rPr>
        <w:t>,IJAFS</w:t>
      </w:r>
      <w:proofErr w:type="spellEnd"/>
      <w:proofErr w:type="gramEnd"/>
      <w:r>
        <w:rPr>
          <w:rFonts w:ascii="Times New Roman" w:eastAsia="Arial" w:hAnsi="Times New Roman" w:cs="Times New Roman"/>
          <w:sz w:val="24"/>
        </w:rPr>
        <w:t xml:space="preserve"> (1&amp;2),538-55215.</w:t>
      </w:r>
    </w:p>
    <w:p w:rsidR="000F5FFA" w:rsidRDefault="000F5FFA" w:rsidP="000F5FFA">
      <w:pPr>
        <w:spacing w:after="0" w:line="360" w:lineRule="auto"/>
        <w:ind w:left="420" w:hanging="4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lastRenderedPageBreak/>
        <w:t>World Bank (2020)</w:t>
      </w:r>
      <w:proofErr w:type="gramStart"/>
      <w:r>
        <w:rPr>
          <w:rFonts w:ascii="Times New Roman" w:eastAsia="Arial" w:hAnsi="Times New Roman" w:cs="Times New Roman"/>
          <w:sz w:val="24"/>
        </w:rPr>
        <w:t>,poverty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and equity Brief  Nigeria Sub-Saharan Africa April 2020. World </w:t>
      </w:r>
      <w:proofErr w:type="gramStart"/>
      <w:r>
        <w:rPr>
          <w:rFonts w:ascii="Times New Roman" w:eastAsia="Arial" w:hAnsi="Times New Roman" w:cs="Times New Roman"/>
          <w:sz w:val="24"/>
        </w:rPr>
        <w:t>Bank ,</w:t>
      </w:r>
      <w:proofErr w:type="spellStart"/>
      <w:r>
        <w:rPr>
          <w:rFonts w:ascii="Times New Roman" w:eastAsia="Arial" w:hAnsi="Times New Roman" w:cs="Times New Roman"/>
          <w:sz w:val="24"/>
        </w:rPr>
        <w:t>Washington.D.C</w:t>
      </w:r>
      <w:proofErr w:type="spellEnd"/>
      <w:proofErr w:type="gramEnd"/>
    </w:p>
    <w:p w:rsidR="000F5FFA" w:rsidRPr="000F5FFA" w:rsidRDefault="000F5FFA" w:rsidP="000F5FFA">
      <w:pPr>
        <w:spacing w:after="0" w:line="360" w:lineRule="auto"/>
        <w:ind w:left="420" w:hanging="42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World Bank (2018) poverty and shared prosperity 2018.Piecing Together the poverty </w:t>
      </w:r>
      <w:proofErr w:type="spellStart"/>
      <w:r>
        <w:rPr>
          <w:rFonts w:ascii="Times New Roman" w:eastAsia="Arial" w:hAnsi="Times New Roman" w:cs="Times New Roman"/>
          <w:sz w:val="24"/>
        </w:rPr>
        <w:t>puzzle</w:t>
      </w:r>
      <w:proofErr w:type="gramStart"/>
      <w:r>
        <w:rPr>
          <w:rFonts w:ascii="Times New Roman" w:eastAsia="Arial" w:hAnsi="Times New Roman" w:cs="Times New Roman"/>
          <w:sz w:val="24"/>
        </w:rPr>
        <w:t>,World</w:t>
      </w:r>
      <w:proofErr w:type="spellEnd"/>
      <w:proofErr w:type="gram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Bank,Washington,D.C</w:t>
      </w:r>
      <w:proofErr w:type="spellEnd"/>
    </w:p>
    <w:sectPr w:rsidR="000F5FFA" w:rsidRPr="000F5FFA" w:rsidSect="004F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433"/>
    <w:multiLevelType w:val="multilevel"/>
    <w:tmpl w:val="BAA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238DF"/>
    <w:multiLevelType w:val="multilevel"/>
    <w:tmpl w:val="E5C4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51F8"/>
    <w:rsid w:val="000F5FFA"/>
    <w:rsid w:val="004F5413"/>
    <w:rsid w:val="007B51F8"/>
    <w:rsid w:val="00BA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F8"/>
    <w:pPr>
      <w:widowControl w:val="0"/>
      <w:spacing w:after="160" w:line="259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7B5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B51F8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51F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B51F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7B51F8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7B51F8"/>
    <w:rPr>
      <w:b/>
      <w:bCs/>
    </w:rPr>
  </w:style>
  <w:style w:type="character" w:styleId="Emphasis">
    <w:name w:val="Emphasis"/>
    <w:basedOn w:val="DefaultParagraphFont"/>
    <w:uiPriority w:val="20"/>
    <w:qFormat/>
    <w:rsid w:val="007B51F8"/>
    <w:rPr>
      <w:i/>
      <w:iCs/>
    </w:rPr>
  </w:style>
  <w:style w:type="table" w:styleId="TableGrid">
    <w:name w:val="Table Grid"/>
    <w:basedOn w:val="TableNormal"/>
    <w:rsid w:val="007B51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F8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IFETEMINIKAN</dc:creator>
  <cp:lastModifiedBy>IFETEMINIKAN</cp:lastModifiedBy>
  <cp:revision>2</cp:revision>
  <dcterms:created xsi:type="dcterms:W3CDTF">2025-06-04T20:43:00Z</dcterms:created>
  <dcterms:modified xsi:type="dcterms:W3CDTF">2025-06-04T20:45:00Z</dcterms:modified>
</cp:coreProperties>
</file>