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lineRule="auto" w:line="360"/>
        <w:jc w:val="center"/>
        <w:rPr/>
      </w:pPr>
      <w:bookmarkStart w:id="0" w:name="_GoBack"/>
      <w:bookmarkEnd w:id="0"/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methodology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eria.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360"/>
        <w:ind w:firstLine="4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comprises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(LGA)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primarily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livestock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livelihoods.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3.3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Procedure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</w:t>
      </w:r>
    </w:p>
    <w:p>
      <w:pPr>
        <w:keepNext/>
        <w:keepLines/>
        <w:spacing w:before="40" w:lineRule="auto" w:line="259"/>
        <w:ind w:firstLine="420"/>
        <w:jc w:val="both"/>
        <w:outlineLvl w:val="1"/>
        <w:rPr/>
      </w:pP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Sampling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Procedure</w:t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multi-stage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(LGA)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eleven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(11)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LGA,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(5)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ensured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equal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included,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enhances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representativeness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sample.</w:t>
      </w:r>
    </w:p>
    <w:p>
      <w:pPr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levels.</w:t>
      </w:r>
    </w:p>
    <w:p>
      <w:pPr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3: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officers.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systematic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needed,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5th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selected.</w:t>
      </w:r>
    </w:p>
    <w:p>
      <w:pPr>
        <w:widowControl/>
        <w:spacing w:before="100" w:beforeAutospacing="true" w:after="100" w:afterAutospacing="true" w:lineRule="auto" w:line="240"/>
        <w:jc w:val="left"/>
        <w:outlineLvl w:val="2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Sample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Size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Determination</w:t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determined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Yamane’s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formula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(1967)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finite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population:</w:t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618996" cy="61899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8996" cy="618998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Where:</w:t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(estimated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1,200)</w:t>
      </w:r>
    </w:p>
    <w:p>
      <w:pPr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margin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error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(0.05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95%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confidence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level)</w:t>
      </w:r>
    </w:p>
    <w:p>
      <w:pPr>
        <w:widowControl/>
        <w:spacing w:before="100" w:beforeAutospacing="true" w:after="100" w:afterAutospacing="true" w:lineRule="auto" w:line="240"/>
        <w:ind w:left="840" w:firstLine="42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457194" cy="590423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57194" cy="590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true" w:after="100" w:afterAutospacing="true" w:lineRule="auto" w:line="3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300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generalization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firstLine="4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inferential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360"/>
        <w:jc w:val="both"/>
        <w:rPr/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52"/>
        <w:gridCol w:w="2278"/>
        <w:gridCol w:w="2245"/>
      </w:tblGrid>
      <w:tr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Variable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Description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Expected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sign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Head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+/-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Education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level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Ordinal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Numbers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formal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schooling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Number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people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Positive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hectares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income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has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income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Nigeria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naira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(#)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1=has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agriculture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credit,0=No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Extension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extension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services,0=No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experience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experience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commercial,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0=Subsistence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</w:tbl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spacing w:lineRule="auto" w:line="360"/>
        <w:jc w:val="center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List Paragraph1&quot;"/>
    <w:basedOn w:val="style0"/>
    <w:next w:val="style4094"/>
    <w:qFormat/>
    <w:pPr>
      <w:widowControl/>
      <w:spacing w:before="0" w:after="200" w:lineRule="auto" w:line="276"/>
      <w:ind w:left="720" w:right="0"/>
      <w:jc w:val="left"/>
    </w:pPr>
    <w:rPr>
      <w:rFonts w:ascii="Calibri" w:cs="Times New Roman" w:eastAsia="SimSun" w:hAnsi="Calibri"/>
      <w:kern w:val="0"/>
      <w:sz w:val="22"/>
      <w:szCs w:val="22"/>
      <w:lang w:eastAsia="zh-CN"/>
    </w:rPr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40" w:after="0" w:lineRule="auto" w:line="259"/>
      <w:ind w:left="0" w:right="0"/>
      <w:jc w:val="both"/>
      <w:outlineLvl w:val="1"/>
    </w:pPr>
    <w:rPr>
      <w:rFonts w:ascii="Calibri Light" w:cs="宋体" w:eastAsia="宋体" w:hAnsi="Calibri Light"/>
      <w:b w:val="false"/>
      <w:bCs w:val="false"/>
      <w:color w:val="2e74b5"/>
      <w:kern w:val="2"/>
      <w:sz w:val="26"/>
      <w:szCs w:val="26"/>
      <w:lang w:eastAsia="zh-CN"/>
    </w:rPr>
  </w:style>
  <w:style w:type="paragraph" w:styleId="style3">
    <w:name w:val="heading 3"/>
    <w:basedOn w:val="style0"/>
    <w:next w:val="style4094"/>
    <w:qFormat/>
    <w:pPr>
      <w:widowControl/>
      <w:spacing w:before="100" w:beforeAutospacing="true" w:after="100" w:afterAutospacing="true" w:lineRule="auto" w:line="240"/>
      <w:ind w:left="0" w:right="0"/>
      <w:jc w:val="left"/>
      <w:outlineLvl w:val="2"/>
    </w:pPr>
    <w:rPr>
      <w:rFonts w:ascii="Times New Roman" w:cs="Times New Roman" w:eastAsia="Times New Roman" w:hAnsi="Times New Roman"/>
      <w:b/>
      <w:bCs/>
      <w:kern w:val="0"/>
      <w:sz w:val="27"/>
      <w:szCs w:val="27"/>
      <w:lang w:eastAsia="en-US"/>
    </w:rPr>
  </w:style>
  <w:style w:type="paragraph" w:styleId="style94">
    <w:name w:val="Normal (Web)"/>
    <w:basedOn w:val="style0"/>
    <w:next w:val="style4094"/>
    <w:pPr>
      <w:widowControl/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kern w:val="0"/>
      <w:sz w:val="24"/>
      <w:szCs w:val="24"/>
      <w:lang w:eastAsia="en-US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434</Words>
  <Characters>2414</Characters>
  <Application>WPS Office</Application>
  <Paragraphs>85</Paragraphs>
  <CharactersWithSpaces>2890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2025-06-03T22:20:00Z</dcterms:created>
  <dc:creator>Infinix X6882B</dc:creator>
  <lastModifiedBy>Infinix X6882B</lastModifiedBy>
  <dcterms:modified xsi:type="dcterms:W3CDTF">2025-06-03T22:20:20Z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0e554557e6e64a68a3f536e953a47c22</vt:lpwstr>
  </property>
</Properties>
</file>