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EVALUATING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IMPACT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MOBILE-BASED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ADVISORY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SERVICES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FARMERS'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KNOWLEDGE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PRACTICES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AMONG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FARMERS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STATE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BY:</w:t>
      </w:r>
    </w:p>
    <w:p>
      <w:pPr>
        <w:pStyle w:val="style0"/>
        <w:snapToGrid w:val="false"/>
        <w:spacing w:before="0" w:beforeAutospacing="false" w:after="0" w:afterAutospacing="false" w:lineRule="auto" w:line="480"/>
        <w:ind w:left="36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KAMALDEEN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SHUKURAT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SAFURAH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HND/23/AGT/FT/0195</w:t>
      </w:r>
    </w:p>
    <w:p>
      <w:pPr>
        <w:pStyle w:val="style0"/>
        <w:snapToGrid w:val="false"/>
        <w:spacing w:before="0" w:beforeAutospacing="false" w:after="0" w:afterAutospacing="false" w:lineRule="auto" w:line="480"/>
        <w:ind w:left="36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MUSA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IBRAHIM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OLAREWAJU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HND/23/AGT/FT/072</w:t>
      </w:r>
    </w:p>
    <w:p>
      <w:pPr>
        <w:pStyle w:val="style0"/>
        <w:snapToGrid w:val="false"/>
        <w:spacing w:before="0" w:beforeAutospacing="false" w:after="0" w:afterAutospacing="false" w:lineRule="auto" w:line="480"/>
        <w:ind w:left="36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LAWAL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RAIMAT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OYINLADE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HND/23/AGT/FT/057</w:t>
      </w:r>
    </w:p>
    <w:p>
      <w:pPr>
        <w:pStyle w:val="style0"/>
        <w:snapToGrid w:val="false"/>
        <w:spacing w:before="0" w:beforeAutospacing="false" w:after="0" w:afterAutospacing="false" w:lineRule="auto" w:line="480"/>
        <w:ind w:left="36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JIMOH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ABDULQUDUS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HND/23/AGT/FT/0221</w:t>
      </w:r>
    </w:p>
    <w:p>
      <w:pPr>
        <w:pStyle w:val="style0"/>
        <w:snapToGrid w:val="false"/>
        <w:spacing w:before="0" w:beforeAutospacing="false" w:after="0" w:afterAutospacing="false" w:lineRule="auto" w:line="480"/>
        <w:ind w:left="36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RAHEEM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KAOSARAT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ORIYOMI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HND/23/AGT/FT/0127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PROJECT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SUBMITTED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8"/>
          <w:szCs w:val="28"/>
        </w:rPr>
        <w:t>TO: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POLYTECHNIC,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ILORIN,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NIGERIA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FULFILMENT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REQUIREMENTS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AWARD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DIPLOMA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(HND)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INSTITUTE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APPLIED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SCIENCE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CERTIFICATION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certify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meeting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Institute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Sciences,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Polytechnic,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Ilorin,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Diploma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Mohammed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</w:t>
      </w:r>
    </w:p>
    <w:p>
      <w:pPr>
        <w:pStyle w:val="style0"/>
        <w:snapToGrid w:val="false"/>
        <w:spacing w:before="0" w:beforeAutospacing="fals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Supervisor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(Signature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Date)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S.B.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Muhammad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Project</w:t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Coordinator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(Signature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Date)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I.K.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Banjoko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Head</w:t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Department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(Signature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Date)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A.K.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Alaya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Head</w:t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bCs/>
          <w:i/>
          <w:caps w:val="false"/>
          <w:spacing w:val="0"/>
          <w:w w:val="100"/>
          <w:sz w:val="24"/>
          <w:szCs w:val="24"/>
        </w:rPr>
        <w:t>Unit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(Signature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Date)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External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Examiner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____________________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(Signature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Date)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DEDICATION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dedicated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Almighty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pillar,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parents.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ACKNOWLEDGMENT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TABLE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CONTENTS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ONE: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INTRODUCTION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Background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Problem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Hypothesis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1.6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Justification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1.7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Definition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Terms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TWO: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REVIEW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Farmers’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THREE: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METHODOLOGY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Procedure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3.6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FOUR: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RESULTS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DISCUSSION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4.4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Constraints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FIVE: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SUMMARY,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CONCLUSION,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RECOMMENDATIONS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Conclusion</w:t>
      </w:r>
    </w:p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5.3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Recommendations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References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Appendix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4"/>
          <w:szCs w:val="24"/>
        </w:rPr>
        <w:t>Questionnaire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LIST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TABLES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1.1: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1.2: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2.1: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Comparison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Before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2.2: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Attributed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3.1: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Procedure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Distribution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3.2: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Scores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4.1: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Participating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4.2: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4.3: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4.4: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Constraints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5.1: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ABSTRACT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evaluates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farmers’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settings.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increasingly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permeates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areas,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offers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promising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avenue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timely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dissemination.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focuses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farmers’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levels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subsequent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Employing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mixed-methods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combines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surveys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qualitative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interviews,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gathers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diverse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group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reveal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improvements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acquisition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users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correlating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rates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techniques.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varying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levels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remain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barriers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utilization.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results,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summarized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tables,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characteristics,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improvements,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constraints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faced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comprehensive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highlights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transformative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identifying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further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intervention.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concludes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recommendations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targeted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programs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strategies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accessibility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technologies.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growing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body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innovation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underscore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importance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integrating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sustainable</w:t>
      </w:r>
      <w:r>
        <w:rPr>
          <w:rFonts w:ascii="Times New Roman" w:cs="Times New Roman" w:eastAsia="Times New Roman" w:hAnsi="Times New Roman"/>
          <w:b w:val="false"/>
          <w:i/>
          <w:caps w:val="false"/>
          <w:spacing w:val="0"/>
          <w:w w:val="100"/>
          <w:sz w:val="24"/>
          <w:szCs w:val="24"/>
        </w:rPr>
        <w:t>development.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CHAPTER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ONE</w:t>
      </w:r>
    </w:p>
    <w:p>
      <w:pPr>
        <w:pStyle w:val="style0"/>
        <w:snapToGrid w:val="false"/>
        <w:spacing w:before="312" w:beforeAutospacing="true" w:after="312" w:afterAutospacing="true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sz w:val="27"/>
          <w:szCs w:val="27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1.1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Background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underestimated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assists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women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acquiring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Abuta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aids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livelihood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Alabi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2021).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emerging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innovative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degradation,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rapid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especially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important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uncertainty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conditions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updated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issues,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post-harvest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operations,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livestock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husbandry,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forestry,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veterinary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Ogedengbe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outreach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pillars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(Jeffrey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Karim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implement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output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processing.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Despite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advantages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scarcity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professionals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major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obstacle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rapidly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growing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face-to-face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becoming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efficient.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Thus,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e-extension,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capacity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sensor-based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heralded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real-time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communication,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data-driven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repository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(Singh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2023).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1.2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STATEMENT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PROBLEM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inadequate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exacerbating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Context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Importance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countries,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security.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criticized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personalized,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widespread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penetration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deliver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tailored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shift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livelihoods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accurate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1.3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Questions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practices?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services?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productivity?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stability?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1.4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objectives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to: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contemporary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adoption.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yield,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efficiency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to;</w:t>
      </w:r>
    </w:p>
    <w:p>
      <w:pPr>
        <w:pStyle w:val="style179"/>
        <w:numPr>
          <w:ilvl w:val="0"/>
          <w:numId w:val="9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1.5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hAnsi="Times New Roman"/>
          <w:b/>
          <w:i w:val="false"/>
          <w:caps/>
          <w:spacing w:val="0"/>
          <w:w w:val="100"/>
          <w:sz w:val="24"/>
          <w:szCs w:val="24"/>
        </w:rPr>
        <w:t>Hypotheses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Hypothesis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1: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H0: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Hypothesis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2: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H0: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Hypothesis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3: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H0: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(crop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yield)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(crop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yield)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Hypothesis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4: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H0: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annual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annual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1.5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JUSTIFICATION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ultimately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security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livelihoods.</w:t>
      </w:r>
    </w:p>
    <w:p>
      <w:pPr>
        <w:pStyle w:val="style179"/>
        <w:numPr>
          <w:ilvl w:val="0"/>
          <w:numId w:val="1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yields,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smallholder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inadequate.</w:t>
      </w:r>
    </w:p>
    <w:p>
      <w:pPr>
        <w:pStyle w:val="style179"/>
        <w:numPr>
          <w:ilvl w:val="0"/>
          <w:numId w:val="1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evaluating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bridge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control,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trends.</w:t>
      </w:r>
    </w:p>
    <w:p>
      <w:pPr>
        <w:pStyle w:val="style179"/>
        <w:numPr>
          <w:ilvl w:val="0"/>
          <w:numId w:val="1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Cost-Effectiveness: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cost-effective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allocation.</w:t>
      </w:r>
    </w:p>
    <w:p>
      <w:pPr>
        <w:pStyle w:val="style179"/>
        <w:numPr>
          <w:ilvl w:val="0"/>
          <w:numId w:val="1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capabilities,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income.</w:t>
      </w:r>
    </w:p>
    <w:p>
      <w:pPr>
        <w:pStyle w:val="style179"/>
        <w:numPr>
          <w:ilvl w:val="0"/>
          <w:numId w:val="11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Inclusivity: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inclusivity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women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previously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unavailable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1.6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DEFINITION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TERMS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Technology-driven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devices.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awareness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dynamics.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cultivation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livestock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Programs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Socioeconomic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Barriers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Obstacles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preventing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financial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outcomes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2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Dynamics: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WO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LITERATURE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REVIEW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2.1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Overview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(m-advisory),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e-extension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emerged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transformative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leveraging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penetration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bridge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(Aker,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2011;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Mittal,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face-to-face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field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visits,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plots,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cost-effectiveness,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(Anderson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2007;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Davis,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promising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alternative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delivering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personalized,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location-specific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directly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overcoming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geographical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barriers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transaction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(Glendenning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2010;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Kumar,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2014).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evolution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shaped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advancements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declining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(FAO,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encompass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modalities,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including:</w:t>
      </w:r>
    </w:p>
    <w:p>
      <w:pPr>
        <w:pStyle w:val="style179"/>
        <w:numPr>
          <w:ilvl w:val="0"/>
          <w:numId w:val="13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Message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(SMS)-based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text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messages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forecasts,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alerts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Thompson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Scoones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SMS-based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low-end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(Braun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Duveskog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2008).</w:t>
      </w:r>
    </w:p>
    <w:p>
      <w:pPr>
        <w:pStyle w:val="style179"/>
        <w:numPr>
          <w:ilvl w:val="0"/>
          <w:numId w:val="13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Applications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(Apps):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multimedia-rich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calendars,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diagnostic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tools,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Mittal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Meharia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smartphones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connectivity,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(GSMA,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2020).</w:t>
      </w:r>
    </w:p>
    <w:p>
      <w:pPr>
        <w:pStyle w:val="style179"/>
        <w:numPr>
          <w:ilvl w:val="0"/>
          <w:numId w:val="13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(IVR)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IVR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systems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voice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beneficial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auditory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learning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Braun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Duveskog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2008).</w:t>
      </w:r>
    </w:p>
    <w:p>
      <w:pPr>
        <w:pStyle w:val="style179"/>
        <w:numPr>
          <w:ilvl w:val="0"/>
          <w:numId w:val="13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WhatsApp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Facebook,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Twitter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disseminate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farmer-to-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</w:t>
      </w:r>
      <w:r>
        <w:rPr>
          <w:rFonts w:ascii="MS Gothic" w:cs="MS Gothic" w:eastAsia="MS Gothic" w:hAnsi="MS Gothic" w:hint="eastAsia"/>
          <w:b w:val="false"/>
          <w:i w:val="false"/>
          <w:caps w:val="false"/>
          <w:spacing w:val="0"/>
          <w:w w:val="100"/>
          <w:sz w:val="24"/>
          <w:szCs w:val="24"/>
        </w:rPr>
        <w:t>交流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Babu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2013).</w:t>
      </w:r>
    </w:p>
    <w:p>
      <w:pPr>
        <w:pStyle w:val="style179"/>
        <w:numPr>
          <w:ilvl w:val="0"/>
          <w:numId w:val="13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Web-based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websites,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computers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Web-based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comprehensive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modalities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(FAO,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2018).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affordability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environment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(Aker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Mbiti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2010;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Kumar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Babu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2016).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2.2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Farmers’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Knowledge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opportunities,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strategies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(Cole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Fernando,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2012).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efficient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profitability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Fabregas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2019;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Krishnan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Ramaswamy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2011).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example,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Daudi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(2018)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Tanzania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scores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regarding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fertilizer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Similarly,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Mittal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(2012)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received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integrated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disseminating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climate-smart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adapt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patterns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mitigate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McCown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2009).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forecasts,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drought-resistant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varieties,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conservation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resilience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climate-related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shocks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Thornton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2018).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uniform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across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complementary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resources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inputs),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Aker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Mbiti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tailor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delivery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methods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preferences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audience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maximize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2.3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Practices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Enhanced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efficiency,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Baumüller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encourage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including:</w:t>
      </w:r>
    </w:p>
    <w:p>
      <w:pPr>
        <w:pStyle w:val="style179"/>
        <w:numPr>
          <w:ilvl w:val="0"/>
          <w:numId w:val="14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varieties: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availability,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performance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varieties,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Walker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Alwang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2015).</w:t>
      </w:r>
    </w:p>
    <w:p>
      <w:pPr>
        <w:pStyle w:val="style179"/>
        <w:numPr>
          <w:ilvl w:val="0"/>
          <w:numId w:val="14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Optimal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fertilizer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application: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guide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correct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type,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amount,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timing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fertilizer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application,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maximizing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nutrient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uptake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minimizing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environmental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Zhang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2016).</w:t>
      </w:r>
    </w:p>
    <w:p>
      <w:pPr>
        <w:pStyle w:val="style179"/>
        <w:numPr>
          <w:ilvl w:val="0"/>
          <w:numId w:val="14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Integrated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diseases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early,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implement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appropriate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control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harmful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pesticides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2000).</w:t>
      </w:r>
    </w:p>
    <w:p>
      <w:pPr>
        <w:pStyle w:val="style179"/>
        <w:numPr>
          <w:ilvl w:val="0"/>
          <w:numId w:val="14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efficient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irrigation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conservation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drought-resistant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varieties,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cope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scarcity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Pereira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2002).</w:t>
      </w:r>
    </w:p>
    <w:p>
      <w:pPr>
        <w:pStyle w:val="style179"/>
        <w:numPr>
          <w:ilvl w:val="0"/>
          <w:numId w:val="14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Post-harvest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harvesting,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storage,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handling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minimize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post-harvest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Kader,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2005).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documented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example,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Fabregas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(2019)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Kenya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received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SMS-based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densities,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fertilizer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weeding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Similarly,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Porgo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(2015)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Ghana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water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conservation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smallholder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However,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solely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risk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aversion,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norms,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incentives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1985).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complemented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interventions,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input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subsidies,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linkages,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enabling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environment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2.4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Case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Agriculture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Numerous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illustrate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countries.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examples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include: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Esoko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(Ghana):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Esoko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weather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forecasts,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markets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bargaining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(esoko.com).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iCow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(Kenya):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iCow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dairy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animal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husbandry,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feeding,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milk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(iCow.co.ke).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Avaana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(India):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Avaana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personalized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irrigation,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platform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tailor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(avaana.com).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Plantwise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(Global):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Plantwise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initiative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health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diagnostic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network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plant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clinics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initiative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security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(plantwise.org).</w:t>
      </w:r>
    </w:p>
    <w:p>
      <w:pPr>
        <w:pStyle w:val="style179"/>
        <w:numPr>
          <w:ilvl w:val="0"/>
          <w:numId w:val="15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(India):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videos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remote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videos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screenings,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peer-to-peer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learning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sharing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(digitalgreen.org).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highlight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importance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tailoring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demonstrate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public-private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partnerships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Sinha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2016).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2.5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Services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Despite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sustainability.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include: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Divide: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connectivity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women,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elderly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(GSMA,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2020).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Bridging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investments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infrastructure,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affordable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skills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interpret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(FAO,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programs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advantage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Language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Barriers: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available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languages,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difficult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Kumar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Babu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2016).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multilingual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Relevance: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tailored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reducing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usefulness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Mittal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Meharia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2015).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feedback.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skeptical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negative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ою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Gneezy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2008).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Building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trust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credibility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transparency,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accountability,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collaboration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reputable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Sustainability: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donor-funded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Batchelor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2003).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generate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revenue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attract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private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essential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long-term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viability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179"/>
        <w:numPr>
          <w:ilvl w:val="0"/>
          <w:numId w:val="16"/>
        </w:numPr>
        <w:snapToGrid w:val="false"/>
        <w:spacing w:before="0" w:beforeAutospacing="false" w:after="0" w:afterAutospacing="false" w:lineRule="auto" w:line="48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Inequality: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Women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often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barriers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utilizing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limited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phones,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norms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restrict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(FAO,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2011).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inequality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interventions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women's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training,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participate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decision-making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processes.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challenges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multi-faceted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collaboration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private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actors,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civil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society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organizations,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institutions.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investing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infrastructure,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promoting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digital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literacy,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culturally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appropriate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fostering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sustainable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business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models,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addressing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inequalities,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possible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unlock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m-advisory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transform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livelihoods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millions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around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world.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CHAPTER</w:t>
      </w: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THREE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 w:val="false"/>
          <w:spacing w:val="0"/>
          <w:w w:val="100"/>
          <w:sz w:val="24"/>
          <w:szCs w:val="24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3.1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Area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conducted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across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Nigeria,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strategically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North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Central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geopolitical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offering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variety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agro-ecological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cultivating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maize,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sorghum,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cassava,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yam,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vegetables.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Livestock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poultry,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cattle,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goats,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sheep,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substantial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portion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knowledge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predicated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several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programs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presence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communities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mix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smallholder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commercial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Additionally,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among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making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evaluating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3.2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encompasses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engaged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smallholder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commercial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members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cooperatives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associations.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rationale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broad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capture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comprehensive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across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different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operational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models.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diversity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livestock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holistic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facets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sector.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Understanding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gender,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crucial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contextualizing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findings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influence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adoption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3.3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Procedure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Size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multi-stage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technique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employed.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First,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zones: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North,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Central,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South.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stratification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proportional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accounting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Secondly,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random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(LGAs)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LGAs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proportional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zone.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step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helps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minimize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bias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accurately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reflects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distribution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across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Finally,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LGAs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randomly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participation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study.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registered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obtained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Kwara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Ministry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Development,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random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select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individual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Cochran’s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formula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calculation: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(Z^2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*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*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/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E^2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Where: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required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Z-score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corresponding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confidence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1.96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95%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confidence)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estimated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proportion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attribute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0.5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unknown)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error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0.05)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Considering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95%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confidence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level,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estimated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proportion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0.5,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margin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error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0.05,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calculated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adjusted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upwards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account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non-response.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final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least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400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adequate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power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significant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effects.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3.4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Collection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primary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structured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detailed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information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changes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practices,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closed-ended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open-ended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Closed-ended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Likert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scales,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multiple-choice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formats,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dichotomous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(Yes/No)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facilitate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Open-ended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detailed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explanations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insights,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enriching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3.5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Instrument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validity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panel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agricultural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extension,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technology,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survey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review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instrument.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relevance,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clarity,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comprehensiveness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feedback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refine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ensure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accurately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measures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constructs.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reliability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assessed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Cronbach's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alpha.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pilot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conducted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small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sample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(n=30)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representative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target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population.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pilot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calculate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Cronbach's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alpha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each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section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Cronbach's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alpha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value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0.7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higher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considered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acceptable,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indicating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internal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consistency.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3.6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eastAsia="Times New Roman" w:hAnsi="Times New Roman"/>
          <w:b/>
          <w:i w:val="false"/>
          <w:caps/>
          <w:spacing w:val="0"/>
          <w:w w:val="100"/>
          <w:sz w:val="24"/>
          <w:szCs w:val="24"/>
        </w:rPr>
        <w:t>Techniques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Quantitative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questionnaires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inferential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frequencies,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percentages,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standard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deviations,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summarize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respondents,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access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impacts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Inferential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statistics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hypotheses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determine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variables.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T-tests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not).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ANOVA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compare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means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across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multiple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groups.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Regression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examine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relationships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independent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variables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mobile-based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advisory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services,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demographic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characteristics)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dependent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variables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(e.g.,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owledge,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productivity,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income).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Qualitative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collected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pen-ended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questions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Thematic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analysis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involves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identifying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recurring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patterns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data.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identified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themes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provide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descriptions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explanations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farmers'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experiences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  <w:t>perceptions.</w:t>
      </w:r>
      <w:bookmarkStart w:id="0" w:name="_GoBack"/>
      <w:bookmarkEnd w:id="0"/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32E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4068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7A4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590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38266D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1992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39A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896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FE6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94AA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921A9C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88C45D6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43D840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D896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332D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E92E0D4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BDA4C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0000011"/>
    <w:multiLevelType w:val="hybridMultilevel"/>
    <w:tmpl w:val="B2588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5"/>
  </w:num>
  <w:num w:numId="5">
    <w:abstractNumId w:val="11"/>
  </w:num>
  <w:num w:numId="6">
    <w:abstractNumId w:val="10"/>
  </w:num>
  <w:num w:numId="7">
    <w:abstractNumId w:val="16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17"/>
  </w:num>
  <w:num w:numId="13">
    <w:abstractNumId w:val="3"/>
  </w:num>
  <w:num w:numId="14">
    <w:abstractNumId w:val="0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7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4">
    <w:name w:val="heading 4"/>
    <w:basedOn w:val="style0"/>
    <w:next w:val="style4"/>
    <w:link w:val="style4098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c2a09495-f68c-43e2-b640-e3b37cb94efc"/>
    <w:basedOn w:val="style65"/>
    <w:next w:val="style4097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customStyle="1" w:styleId="style4098">
    <w:name w:val="Heading 4 Char_c7e2d0d2-a3a8-4614-b056-6b1e58c7e2e7"/>
    <w:basedOn w:val="style65"/>
    <w:next w:val="style4098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Words>280</Words>
  <Pages>28</Pages>
  <Characters>27816</Characters>
  <Application>WPS Office</Application>
  <DocSecurity>0</DocSecurity>
  <Paragraphs>310</Paragraphs>
  <ScaleCrop>false</ScaleCrop>
  <LinksUpToDate>false</LinksUpToDate>
  <CharactersWithSpaces>27979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2025-02-11T04:09:00Z</dcterms:created>
  <dc:creator>IfeTemiNikan</dc:creator>
  <lastModifiedBy>Infinix X6531B</lastModifiedBy>
  <dcterms:modified xsi:type="dcterms:W3CDTF">2025-06-04T07:25:41Z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2636e31e36f84d9ebd28ce5bb68f7fba</vt:lpwstr>
  </property>
</Properties>
</file>