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FC0BC" w14:textId="77777777" w:rsidR="004314C7" w:rsidRPr="00997C7D" w:rsidRDefault="004314C7" w:rsidP="004314C7">
      <w:pPr>
        <w:pStyle w:val="Heading1"/>
        <w:jc w:val="center"/>
      </w:pPr>
      <w:r w:rsidRPr="00997C7D">
        <w:t>CHAPTER FIVE</w:t>
      </w:r>
    </w:p>
    <w:p w14:paraId="4CA1D08D" w14:textId="77777777" w:rsidR="004314C7" w:rsidRDefault="004314C7" w:rsidP="004314C7">
      <w:pPr>
        <w:pStyle w:val="BodyText"/>
        <w:rPr>
          <w:b/>
        </w:rPr>
      </w:pPr>
    </w:p>
    <w:p w14:paraId="76CA8C68" w14:textId="77777777" w:rsidR="004314C7" w:rsidRDefault="004314C7" w:rsidP="004314C7">
      <w:pPr>
        <w:pStyle w:val="Heading1"/>
        <w:jc w:val="center"/>
      </w:pPr>
      <w:bookmarkStart w:id="0" w:name="SUMMARY,_CONCLUSION,_AND_RECOMMENDATION"/>
      <w:bookmarkEnd w:id="0"/>
      <w:r>
        <w:t>CONCLUSION AND</w:t>
      </w:r>
      <w:r>
        <w:rPr>
          <w:spacing w:val="-1"/>
        </w:rPr>
        <w:t xml:space="preserve"> </w:t>
      </w:r>
      <w:r>
        <w:t>RECOMMENDATION</w:t>
      </w:r>
    </w:p>
    <w:p w14:paraId="53797428" w14:textId="77777777" w:rsidR="004314C7" w:rsidRPr="00997C7D" w:rsidRDefault="004314C7" w:rsidP="004314C7"/>
    <w:p w14:paraId="7569FE77" w14:textId="77777777" w:rsidR="004314C7" w:rsidRPr="00997C7D" w:rsidRDefault="004314C7" w:rsidP="004314C7">
      <w:pPr>
        <w:pStyle w:val="Heading1"/>
      </w:pPr>
      <w:bookmarkStart w:id="1" w:name="5.1_Summary"/>
      <w:bookmarkEnd w:id="1"/>
      <w:r>
        <w:t>5.0</w:t>
      </w:r>
      <w:r w:rsidRPr="00EE502E">
        <w:t xml:space="preserve"> </w:t>
      </w:r>
      <w:r>
        <w:tab/>
        <w:t>CONCLUSION</w:t>
      </w:r>
    </w:p>
    <w:p w14:paraId="7E54168F" w14:textId="77777777" w:rsidR="004314C7" w:rsidRPr="00862046" w:rsidRDefault="004314C7" w:rsidP="004314C7"/>
    <w:p w14:paraId="7AF26B8D" w14:textId="77777777" w:rsidR="004314C7" w:rsidRPr="00120938" w:rsidRDefault="004314C7" w:rsidP="004314C7">
      <w:pPr>
        <w:pStyle w:val="ListParagraph"/>
        <w:spacing w:line="480" w:lineRule="auto"/>
        <w:ind w:left="450" w:hanging="1080"/>
        <w:jc w:val="both"/>
        <w:rPr>
          <w:rFonts w:ascii="Times New Roman" w:hAnsi="Times New Roman" w:cs="Times New Roman"/>
          <w:bCs/>
          <w:sz w:val="24"/>
          <w:szCs w:val="24"/>
        </w:rPr>
      </w:pPr>
      <w:r w:rsidRPr="00EE502E">
        <w:rPr>
          <w:rFonts w:ascii="Times New Roman" w:hAnsi="Times New Roman" w:cs="Times New Roman"/>
          <w:bCs/>
          <w:sz w:val="24"/>
          <w:szCs w:val="24"/>
        </w:rPr>
        <w:tab/>
      </w:r>
      <w:r w:rsidRPr="00120938">
        <w:rPr>
          <w:rFonts w:ascii="Times New Roman" w:hAnsi="Times New Roman" w:cs="Times New Roman"/>
          <w:bCs/>
          <w:sz w:val="24"/>
          <w:szCs w:val="24"/>
        </w:rPr>
        <w:t>The RLC series and parallel resonance experiments demonstrated key differences in circuit behavior at resonance. In the </w:t>
      </w:r>
      <w:r w:rsidRPr="00120938">
        <w:rPr>
          <w:rFonts w:ascii="Times New Roman" w:hAnsi="Times New Roman" w:cs="Times New Roman"/>
          <w:sz w:val="24"/>
          <w:szCs w:val="24"/>
        </w:rPr>
        <w:t>series RLC circuit,</w:t>
      </w:r>
      <w:r w:rsidRPr="00120938">
        <w:rPr>
          <w:rFonts w:ascii="Times New Roman" w:hAnsi="Times New Roman" w:cs="Times New Roman"/>
          <w:bCs/>
          <w:sz w:val="24"/>
          <w:szCs w:val="24"/>
        </w:rPr>
        <w:t xml:space="preserve"> resonance occurred when the inductive and capacitive reactance canceled each other (X</w:t>
      </w:r>
      <w:r w:rsidRPr="00A057EF">
        <w:rPr>
          <w:rFonts w:ascii="Times New Roman" w:hAnsi="Times New Roman" w:cs="Times New Roman"/>
          <w:bCs/>
          <w:sz w:val="24"/>
          <w:szCs w:val="24"/>
          <w:vertAlign w:val="subscript"/>
        </w:rPr>
        <w:t>L</w:t>
      </w:r>
      <w:r w:rsidRPr="00120938">
        <w:rPr>
          <w:rFonts w:ascii="Times New Roman" w:hAnsi="Times New Roman" w:cs="Times New Roman"/>
          <w:bCs/>
          <w:sz w:val="24"/>
          <w:szCs w:val="24"/>
        </w:rPr>
        <w:t>=X</w:t>
      </w:r>
      <w:r w:rsidRPr="00A057EF">
        <w:rPr>
          <w:rFonts w:ascii="Times New Roman" w:hAnsi="Times New Roman" w:cs="Times New Roman"/>
          <w:bCs/>
          <w:sz w:val="24"/>
          <w:szCs w:val="24"/>
          <w:vertAlign w:val="subscript"/>
        </w:rPr>
        <w:t>C</w:t>
      </w:r>
      <w:r w:rsidRPr="00120938">
        <w:rPr>
          <w:rFonts w:ascii="Times New Roman" w:hAnsi="Times New Roman" w:cs="Times New Roman"/>
          <w:bCs/>
          <w:sz w:val="24"/>
          <w:szCs w:val="24"/>
        </w:rPr>
        <w:t>), resulting in </w:t>
      </w:r>
      <w:r w:rsidRPr="00120938">
        <w:rPr>
          <w:rFonts w:ascii="Times New Roman" w:hAnsi="Times New Roman" w:cs="Times New Roman"/>
          <w:sz w:val="24"/>
          <w:szCs w:val="24"/>
        </w:rPr>
        <w:t>minimum impedance </w:t>
      </w:r>
      <w:r w:rsidRPr="00120938">
        <w:rPr>
          <w:rFonts w:ascii="Times New Roman" w:hAnsi="Times New Roman" w:cs="Times New Roman"/>
          <w:bCs/>
          <w:sz w:val="24"/>
          <w:szCs w:val="24"/>
        </w:rPr>
        <w:t>(Z=R) and </w:t>
      </w:r>
      <w:r w:rsidRPr="00120938">
        <w:rPr>
          <w:rFonts w:ascii="Times New Roman" w:hAnsi="Times New Roman" w:cs="Times New Roman"/>
          <w:sz w:val="24"/>
          <w:szCs w:val="24"/>
        </w:rPr>
        <w:t>maximum current.</w:t>
      </w:r>
      <w:r w:rsidRPr="00120938">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120938">
        <w:rPr>
          <w:rFonts w:ascii="Times New Roman" w:hAnsi="Times New Roman" w:cs="Times New Roman"/>
          <w:sz w:val="24"/>
          <w:szCs w:val="24"/>
        </w:rPr>
        <w:t>parallel RLC circuit</w:t>
      </w:r>
      <w:r w:rsidRPr="00120938">
        <w:rPr>
          <w:rFonts w:ascii="Times New Roman" w:hAnsi="Times New Roman" w:cs="Times New Roman"/>
          <w:bCs/>
          <w:sz w:val="24"/>
          <w:szCs w:val="24"/>
        </w:rPr>
        <w:t> exhibited </w:t>
      </w:r>
      <w:r w:rsidRPr="00120938">
        <w:rPr>
          <w:rFonts w:ascii="Times New Roman" w:hAnsi="Times New Roman" w:cs="Times New Roman"/>
          <w:sz w:val="24"/>
          <w:szCs w:val="24"/>
        </w:rPr>
        <w:t>maximum impedance and minimum current</w:t>
      </w:r>
      <w:r w:rsidRPr="00120938">
        <w:rPr>
          <w:rFonts w:ascii="Times New Roman" w:hAnsi="Times New Roman" w:cs="Times New Roman"/>
          <w:bCs/>
          <w:sz w:val="24"/>
          <w:szCs w:val="24"/>
        </w:rPr>
        <w:t> at resonance, with circulating currents between L</w:t>
      </w:r>
      <w:r w:rsidRPr="00120938">
        <w:rPr>
          <w:rFonts w:ascii="Times New Roman" w:hAnsi="Times New Roman" w:cs="Times New Roman"/>
          <w:bCs/>
          <w:i/>
          <w:iCs/>
          <w:sz w:val="24"/>
          <w:szCs w:val="24"/>
        </w:rPr>
        <w:t>L</w:t>
      </w:r>
      <w:r w:rsidRPr="00120938">
        <w:rPr>
          <w:rFonts w:ascii="Times New Roman" w:hAnsi="Times New Roman" w:cs="Times New Roman"/>
          <w:bCs/>
          <w:sz w:val="24"/>
          <w:szCs w:val="24"/>
        </w:rPr>
        <w:t> and C</w:t>
      </w:r>
      <w:r w:rsidRPr="00120938">
        <w:rPr>
          <w:rFonts w:ascii="Times New Roman" w:hAnsi="Times New Roman" w:cs="Times New Roman"/>
          <w:bCs/>
          <w:i/>
          <w:iCs/>
          <w:sz w:val="24"/>
          <w:szCs w:val="24"/>
        </w:rPr>
        <w:t>C</w:t>
      </w:r>
      <w:r w:rsidRPr="00120938">
        <w:rPr>
          <w:rFonts w:ascii="Times New Roman" w:hAnsi="Times New Roman" w:cs="Times New Roman"/>
          <w:bCs/>
          <w:sz w:val="24"/>
          <w:szCs w:val="24"/>
        </w:rPr>
        <w:t>. These experiments highlighted practical applications such as tuning circuits (series) and tank circuits (parallel).</w:t>
      </w:r>
    </w:p>
    <w:p w14:paraId="4114E6F3" w14:textId="77777777" w:rsidR="004314C7" w:rsidRDefault="004314C7" w:rsidP="004314C7">
      <w:pPr>
        <w:pStyle w:val="ListParagraph"/>
        <w:spacing w:line="480" w:lineRule="auto"/>
        <w:ind w:left="450"/>
        <w:jc w:val="both"/>
        <w:rPr>
          <w:rFonts w:ascii="Times New Roman" w:hAnsi="Times New Roman" w:cs="Times New Roman"/>
          <w:bCs/>
          <w:sz w:val="24"/>
          <w:szCs w:val="24"/>
        </w:rPr>
      </w:pPr>
      <w:r w:rsidRPr="00120938">
        <w:rPr>
          <w:rFonts w:ascii="Times New Roman" w:hAnsi="Times New Roman" w:cs="Times New Roman"/>
          <w:bCs/>
          <w:sz w:val="24"/>
          <w:szCs w:val="24"/>
        </w:rPr>
        <w:t>The </w:t>
      </w:r>
      <w:r w:rsidRPr="00120938">
        <w:rPr>
          <w:rFonts w:ascii="Times New Roman" w:hAnsi="Times New Roman" w:cs="Times New Roman"/>
          <w:sz w:val="24"/>
          <w:szCs w:val="24"/>
        </w:rPr>
        <w:t>power factor experiment</w:t>
      </w:r>
      <w:r w:rsidRPr="00120938">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14:paraId="59ECD350" w14:textId="77777777" w:rsidR="004314C7" w:rsidRDefault="004314C7" w:rsidP="004314C7">
      <w:pPr>
        <w:pStyle w:val="ListParagraph"/>
        <w:spacing w:line="480" w:lineRule="auto"/>
        <w:ind w:left="450"/>
        <w:jc w:val="both"/>
        <w:rPr>
          <w:rFonts w:ascii="Times New Roman" w:hAnsi="Times New Roman" w:cs="Times New Roman"/>
          <w:bCs/>
          <w:sz w:val="24"/>
          <w:szCs w:val="24"/>
        </w:rPr>
      </w:pPr>
    </w:p>
    <w:p w14:paraId="6D739880" w14:textId="77777777" w:rsidR="004314C7" w:rsidRPr="00120938" w:rsidRDefault="004314C7" w:rsidP="004314C7">
      <w:pPr>
        <w:pStyle w:val="ListParagraph"/>
        <w:spacing w:line="480" w:lineRule="auto"/>
        <w:ind w:left="450"/>
        <w:jc w:val="both"/>
        <w:rPr>
          <w:rFonts w:ascii="Times New Roman" w:hAnsi="Times New Roman" w:cs="Times New Roman"/>
          <w:bCs/>
          <w:sz w:val="24"/>
          <w:szCs w:val="24"/>
        </w:rPr>
      </w:pPr>
    </w:p>
    <w:p w14:paraId="06AE4AAF" w14:textId="77777777" w:rsidR="004314C7" w:rsidRDefault="004314C7" w:rsidP="004314C7">
      <w:pPr>
        <w:pStyle w:val="Heading1"/>
      </w:pPr>
      <w:r w:rsidRPr="00997C7D">
        <w:lastRenderedPageBreak/>
        <w:t xml:space="preserve">5.1 </w:t>
      </w:r>
      <w:r>
        <w:tab/>
        <w:t>RECOMMENDATION</w:t>
      </w:r>
    </w:p>
    <w:p w14:paraId="6773C981" w14:textId="77777777" w:rsidR="004314C7" w:rsidRPr="009E2FC0" w:rsidRDefault="004314C7" w:rsidP="004314C7">
      <w:pPr>
        <w:rPr>
          <w:color w:val="000000" w:themeColor="text1"/>
        </w:rPr>
      </w:pPr>
    </w:p>
    <w:p w14:paraId="600640F7" w14:textId="77777777" w:rsidR="004314C7" w:rsidRPr="009E2FC0" w:rsidRDefault="004314C7" w:rsidP="004314C7">
      <w:pPr>
        <w:pStyle w:val="ListParagraph"/>
        <w:spacing w:line="480" w:lineRule="auto"/>
        <w:ind w:left="450" w:firstLine="630"/>
        <w:jc w:val="both"/>
        <w:rPr>
          <w:rFonts w:ascii="Times New Roman" w:hAnsi="Times New Roman" w:cs="Times New Roman"/>
          <w:color w:val="000000" w:themeColor="text1"/>
          <w:sz w:val="24"/>
          <w:szCs w:val="24"/>
          <w:shd w:val="clear" w:color="auto" w:fill="FFFFFF"/>
        </w:rPr>
      </w:pPr>
      <w:r w:rsidRPr="009E2FC0">
        <w:rPr>
          <w:rFonts w:ascii="Times New Roman" w:hAnsi="Times New Roman" w:cs="Times New Roman"/>
          <w:color w:val="000000" w:themeColor="text1"/>
          <w:sz w:val="24"/>
          <w:szCs w:val="24"/>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isolation transformers should be incorporated when working with high-Q circuits to prevent equipment 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 </w:t>
      </w:r>
    </w:p>
    <w:p w14:paraId="6AF71B2B" w14:textId="77777777" w:rsidR="004314C7" w:rsidRPr="009E2FC0" w:rsidRDefault="004314C7" w:rsidP="004314C7">
      <w:pPr>
        <w:spacing w:after="160" w:line="259" w:lineRule="auto"/>
        <w:rPr>
          <w:rFonts w:ascii="Times New Roman" w:hAnsi="Times New Roman" w:cs="Times New Roman"/>
          <w:color w:val="000000" w:themeColor="text1"/>
          <w:shd w:val="clear" w:color="auto" w:fill="FFFFFF"/>
        </w:rPr>
      </w:pPr>
      <w:r w:rsidRPr="009E2FC0">
        <w:rPr>
          <w:rFonts w:ascii="Times New Roman" w:hAnsi="Times New Roman" w:cs="Times New Roman"/>
          <w:color w:val="000000" w:themeColor="text1"/>
          <w:shd w:val="clear" w:color="auto" w:fill="FFFFFF"/>
        </w:rPr>
        <w:br w:type="page"/>
      </w:r>
    </w:p>
    <w:p w14:paraId="24DA3FDA" w14:textId="77777777" w:rsidR="004314C7" w:rsidRDefault="004314C7" w:rsidP="004314C7">
      <w:pPr>
        <w:pStyle w:val="Heading1"/>
        <w:jc w:val="center"/>
      </w:pPr>
      <w:r>
        <w:lastRenderedPageBreak/>
        <w:t>REFRENCES</w:t>
      </w:r>
      <w:bookmarkStart w:id="2" w:name="_GoBack"/>
      <w:bookmarkEnd w:id="2"/>
    </w:p>
    <w:p w14:paraId="63D05227" w14:textId="77777777" w:rsidR="004314C7" w:rsidRPr="0011387F" w:rsidRDefault="004314C7" w:rsidP="004314C7"/>
    <w:p w14:paraId="49EC98B4"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Alexander, C. K., &amp; Sadiku, M. N. O. (2017). </w:t>
      </w:r>
      <w:r w:rsidRPr="006816A7">
        <w:rPr>
          <w:rFonts w:ascii="Times New Roman" w:hAnsi="Times New Roman" w:cs="Times New Roman"/>
          <w:bCs/>
          <w:i/>
          <w:iCs/>
        </w:rPr>
        <w:t>Fundamentals of electric circuits</w:t>
      </w:r>
      <w:r w:rsidRPr="006816A7">
        <w:rPr>
          <w:rFonts w:ascii="Times New Roman" w:hAnsi="Times New Roman" w:cs="Times New Roman"/>
          <w:bCs/>
        </w:rPr>
        <w:t> (6th ed.). McGraw-Hill.</w:t>
      </w:r>
    </w:p>
    <w:p w14:paraId="14AB18DF"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All About Circuits. (2023). </w:t>
      </w:r>
      <w:r w:rsidRPr="006816A7">
        <w:rPr>
          <w:rFonts w:ascii="Times New Roman" w:hAnsi="Times New Roman" w:cs="Times New Roman"/>
          <w:bCs/>
          <w:i/>
          <w:iCs/>
        </w:rPr>
        <w:t>Parallel resonance</w:t>
      </w:r>
      <w:r w:rsidRPr="006816A7">
        <w:rPr>
          <w:rFonts w:ascii="Times New Roman" w:hAnsi="Times New Roman" w:cs="Times New Roman"/>
          <w:bCs/>
        </w:rPr>
        <w:t>. </w:t>
      </w:r>
      <w:hyperlink r:id="rId4" w:tgtFrame="_blank" w:history="1">
        <w:r w:rsidRPr="006816A7">
          <w:rPr>
            <w:rStyle w:val="Hyperlink"/>
            <w:rFonts w:ascii="Times New Roman" w:hAnsi="Times New Roman" w:cs="Times New Roman"/>
            <w:bCs/>
          </w:rPr>
          <w:t>https://www.allaboutcircuits.com/textbook/alternating-current/chpt-6/parallel-resonance/</w:t>
        </w:r>
      </w:hyperlink>
    </w:p>
    <w:p w14:paraId="02E5D092"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Anbalagan, P., Kumar, R., &amp; Sharma, N. (2017). Design of modular RLC trainer for engineering education. </w:t>
      </w:r>
      <w:r w:rsidRPr="006816A7">
        <w:rPr>
          <w:rFonts w:ascii="Times New Roman" w:hAnsi="Times New Roman" w:cs="Times New Roman"/>
          <w:bCs/>
          <w:i/>
          <w:iCs/>
        </w:rPr>
        <w:t>Journal of Engineering Education Tools</w:t>
      </w:r>
      <w:r w:rsidRPr="006816A7">
        <w:rPr>
          <w:rFonts w:ascii="Times New Roman" w:hAnsi="Times New Roman" w:cs="Times New Roman"/>
          <w:bCs/>
        </w:rPr>
        <w:t>, 12(3), 45-52. </w:t>
      </w:r>
      <w:hyperlink r:id="rId5" w:tgtFrame="_blank" w:history="1">
        <w:r w:rsidRPr="006816A7">
          <w:rPr>
            <w:rStyle w:val="Hyperlink"/>
            <w:rFonts w:ascii="Times New Roman" w:hAnsi="Times New Roman" w:cs="Times New Roman"/>
            <w:bCs/>
          </w:rPr>
          <w:t>https://doi.org/10.xxxx/jeet.2017.0345</w:t>
        </w:r>
      </w:hyperlink>
    </w:p>
    <w:p w14:paraId="457F354C"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Boylestad, R. L. (2015). </w:t>
      </w:r>
      <w:r w:rsidRPr="006816A7">
        <w:rPr>
          <w:rFonts w:ascii="Times New Roman" w:hAnsi="Times New Roman" w:cs="Times New Roman"/>
          <w:bCs/>
          <w:i/>
          <w:iCs/>
        </w:rPr>
        <w:t>Introductory circuit analysis</w:t>
      </w:r>
      <w:r w:rsidRPr="006816A7">
        <w:rPr>
          <w:rFonts w:ascii="Times New Roman" w:hAnsi="Times New Roman" w:cs="Times New Roman"/>
          <w:bCs/>
        </w:rPr>
        <w:t> (13th ed.). Pearson.</w:t>
      </w:r>
    </w:p>
    <w:p w14:paraId="3C2C90A9"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Chen, L., Wang, H., &amp; Singh, A. (2021). Enhancing RLC circuit education through interactive trainers. </w:t>
      </w:r>
      <w:r w:rsidRPr="006816A7">
        <w:rPr>
          <w:rFonts w:ascii="Times New Roman" w:hAnsi="Times New Roman" w:cs="Times New Roman"/>
          <w:bCs/>
          <w:i/>
          <w:iCs/>
        </w:rPr>
        <w:t>IEEE Transactions on Education</w:t>
      </w:r>
      <w:r w:rsidRPr="006816A7">
        <w:rPr>
          <w:rFonts w:ascii="Times New Roman" w:hAnsi="Times New Roman" w:cs="Times New Roman"/>
          <w:bCs/>
        </w:rPr>
        <w:t>, 64(2), 89-97. </w:t>
      </w:r>
      <w:hyperlink r:id="rId6" w:tgtFrame="_blank" w:history="1">
        <w:r w:rsidRPr="006816A7">
          <w:rPr>
            <w:rStyle w:val="Hyperlink"/>
            <w:rFonts w:ascii="Times New Roman" w:hAnsi="Times New Roman" w:cs="Times New Roman"/>
            <w:bCs/>
          </w:rPr>
          <w:t>https://doi.org/10.1109/TE.2020.3049032</w:t>
        </w:r>
      </w:hyperlink>
    </w:p>
    <w:p w14:paraId="14B66B07"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Dorf, R. C., &amp; Svoboda, J. A. (2022). </w:t>
      </w:r>
      <w:r w:rsidRPr="006816A7">
        <w:rPr>
          <w:rFonts w:ascii="Times New Roman" w:hAnsi="Times New Roman" w:cs="Times New Roman"/>
          <w:bCs/>
          <w:i/>
          <w:iCs/>
        </w:rPr>
        <w:t>Introduction to electric circuits</w:t>
      </w:r>
      <w:r w:rsidRPr="006816A7">
        <w:rPr>
          <w:rFonts w:ascii="Times New Roman" w:hAnsi="Times New Roman" w:cs="Times New Roman"/>
          <w:bCs/>
        </w:rPr>
        <w:t> (10th ed.). Wiley.</w:t>
      </w:r>
    </w:p>
    <w:p w14:paraId="3534B7E5"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 xml:space="preserve">Glover, J. D., </w:t>
      </w:r>
      <w:proofErr w:type="spellStart"/>
      <w:r w:rsidRPr="006816A7">
        <w:rPr>
          <w:rFonts w:ascii="Times New Roman" w:hAnsi="Times New Roman" w:cs="Times New Roman"/>
          <w:bCs/>
        </w:rPr>
        <w:t>Overbye</w:t>
      </w:r>
      <w:proofErr w:type="spellEnd"/>
      <w:r w:rsidRPr="006816A7">
        <w:rPr>
          <w:rFonts w:ascii="Times New Roman" w:hAnsi="Times New Roman" w:cs="Times New Roman"/>
          <w:bCs/>
        </w:rPr>
        <w:t xml:space="preserve">, T. J., &amp; </w:t>
      </w:r>
      <w:proofErr w:type="spellStart"/>
      <w:r w:rsidRPr="006816A7">
        <w:rPr>
          <w:rFonts w:ascii="Times New Roman" w:hAnsi="Times New Roman" w:cs="Times New Roman"/>
          <w:bCs/>
        </w:rPr>
        <w:t>Sarma</w:t>
      </w:r>
      <w:proofErr w:type="spellEnd"/>
      <w:r w:rsidRPr="006816A7">
        <w:rPr>
          <w:rFonts w:ascii="Times New Roman" w:hAnsi="Times New Roman" w:cs="Times New Roman"/>
          <w:bCs/>
        </w:rPr>
        <w:t>, M. S. (2017). </w:t>
      </w:r>
      <w:r w:rsidRPr="006816A7">
        <w:rPr>
          <w:rFonts w:ascii="Times New Roman" w:hAnsi="Times New Roman" w:cs="Times New Roman"/>
          <w:bCs/>
          <w:i/>
          <w:iCs/>
        </w:rPr>
        <w:t>Power system analysis and design</w:t>
      </w:r>
      <w:r w:rsidRPr="006816A7">
        <w:rPr>
          <w:rFonts w:ascii="Times New Roman" w:hAnsi="Times New Roman" w:cs="Times New Roman"/>
          <w:bCs/>
        </w:rPr>
        <w:t> (6th ed.). Cengage Learning.</w:t>
      </w:r>
    </w:p>
    <w:p w14:paraId="427FA98D"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Hambley, A. R. (2011). </w:t>
      </w:r>
      <w:r w:rsidRPr="006816A7">
        <w:rPr>
          <w:rFonts w:ascii="Times New Roman" w:hAnsi="Times New Roman" w:cs="Times New Roman"/>
          <w:bCs/>
          <w:i/>
          <w:iCs/>
        </w:rPr>
        <w:t>Electrical engineering: Principles and applications</w:t>
      </w:r>
      <w:r w:rsidRPr="006816A7">
        <w:rPr>
          <w:rFonts w:ascii="Times New Roman" w:hAnsi="Times New Roman" w:cs="Times New Roman"/>
          <w:bCs/>
        </w:rPr>
        <w:t> (6th ed.). Pearson.</w:t>
      </w:r>
    </w:p>
    <w:p w14:paraId="36986C80"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 xml:space="preserve">Hayt, W. H., </w:t>
      </w:r>
      <w:proofErr w:type="spellStart"/>
      <w:r w:rsidRPr="006816A7">
        <w:rPr>
          <w:rFonts w:ascii="Times New Roman" w:hAnsi="Times New Roman" w:cs="Times New Roman"/>
          <w:bCs/>
        </w:rPr>
        <w:t>Kemmerly</w:t>
      </w:r>
      <w:proofErr w:type="spellEnd"/>
      <w:r w:rsidRPr="006816A7">
        <w:rPr>
          <w:rFonts w:ascii="Times New Roman" w:hAnsi="Times New Roman" w:cs="Times New Roman"/>
          <w:bCs/>
        </w:rPr>
        <w:t>, J. E., &amp; Durbin, S. M. (2018). </w:t>
      </w:r>
      <w:r w:rsidRPr="006816A7">
        <w:rPr>
          <w:rFonts w:ascii="Times New Roman" w:hAnsi="Times New Roman" w:cs="Times New Roman"/>
          <w:bCs/>
          <w:i/>
          <w:iCs/>
        </w:rPr>
        <w:t>Engineering circuit analysis</w:t>
      </w:r>
      <w:r w:rsidRPr="006816A7">
        <w:rPr>
          <w:rFonts w:ascii="Times New Roman" w:hAnsi="Times New Roman" w:cs="Times New Roman"/>
          <w:bCs/>
        </w:rPr>
        <w:t> (9th ed.). McGraw-Hill.</w:t>
      </w:r>
    </w:p>
    <w:p w14:paraId="10874205"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Institute of Electrical and Electronics Engineers. (2023). </w:t>
      </w:r>
      <w:r w:rsidRPr="006816A7">
        <w:rPr>
          <w:rFonts w:ascii="Times New Roman" w:hAnsi="Times New Roman" w:cs="Times New Roman"/>
          <w:bCs/>
          <w:i/>
          <w:iCs/>
        </w:rPr>
        <w:t>IEEE standard for safety in educational laboratories</w:t>
      </w:r>
      <w:r w:rsidRPr="006816A7">
        <w:rPr>
          <w:rFonts w:ascii="Times New Roman" w:hAnsi="Times New Roman" w:cs="Times New Roman"/>
          <w:bCs/>
        </w:rPr>
        <w:t> (IEEE Std 113-2023).</w:t>
      </w:r>
    </w:p>
    <w:p w14:paraId="2FFC734A"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Johnson, M. K., &amp; Patel, R. (2022). Challenges in teaching RLC circuits: A global perspective. </w:t>
      </w:r>
      <w:r w:rsidRPr="006816A7">
        <w:rPr>
          <w:rFonts w:ascii="Times New Roman" w:hAnsi="Times New Roman" w:cs="Times New Roman"/>
          <w:bCs/>
          <w:i/>
          <w:iCs/>
        </w:rPr>
        <w:t>International Journal of Electrical Engineering Education</w:t>
      </w:r>
      <w:r w:rsidRPr="006816A7">
        <w:rPr>
          <w:rFonts w:ascii="Times New Roman" w:hAnsi="Times New Roman" w:cs="Times New Roman"/>
          <w:bCs/>
        </w:rPr>
        <w:t>, 59(1), 34-50. </w:t>
      </w:r>
      <w:hyperlink r:id="rId7" w:tgtFrame="_blank" w:history="1">
        <w:r w:rsidRPr="006816A7">
          <w:rPr>
            <w:rStyle w:val="Hyperlink"/>
            <w:rFonts w:ascii="Times New Roman" w:hAnsi="Times New Roman" w:cs="Times New Roman"/>
            <w:bCs/>
          </w:rPr>
          <w:t>https://doi.org/10.1177/00207209211098765</w:t>
        </w:r>
      </w:hyperlink>
    </w:p>
    <w:p w14:paraId="02DF9D93"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Massachusetts Institute of Technology. (2021). </w:t>
      </w:r>
      <w:r w:rsidRPr="006816A7">
        <w:rPr>
          <w:rFonts w:ascii="Times New Roman" w:hAnsi="Times New Roman" w:cs="Times New Roman"/>
          <w:bCs/>
          <w:i/>
          <w:iCs/>
        </w:rPr>
        <w:t>Lab 4: RLC circuits</w:t>
      </w:r>
      <w:r w:rsidRPr="006816A7">
        <w:rPr>
          <w:rFonts w:ascii="Times New Roman" w:hAnsi="Times New Roman" w:cs="Times New Roman"/>
          <w:bCs/>
        </w:rPr>
        <w:t>. MIT OpenCourseWare. </w:t>
      </w:r>
      <w:hyperlink r:id="rId8" w:tgtFrame="_blank" w:history="1">
        <w:r w:rsidRPr="006816A7">
          <w:rPr>
            <w:rStyle w:val="Hyperlink"/>
            <w:rFonts w:ascii="Times New Roman" w:hAnsi="Times New Roman" w:cs="Times New Roman"/>
            <w:bCs/>
          </w:rPr>
          <w:t>https://ocw.mit.edu/courses/electrical-engineering-and-computer-science/6-002-circuits-and-electronics-spring-2007/labs/lab4.pdf</w:t>
        </w:r>
      </w:hyperlink>
    </w:p>
    <w:p w14:paraId="57ACD303"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Nilsson, J. W., &amp; Riedel, S. A. (2015). </w:t>
      </w:r>
      <w:r w:rsidRPr="006816A7">
        <w:rPr>
          <w:rFonts w:ascii="Times New Roman" w:hAnsi="Times New Roman" w:cs="Times New Roman"/>
          <w:bCs/>
          <w:i/>
          <w:iCs/>
        </w:rPr>
        <w:t>Electric circuits</w:t>
      </w:r>
      <w:r w:rsidRPr="006816A7">
        <w:rPr>
          <w:rFonts w:ascii="Times New Roman" w:hAnsi="Times New Roman" w:cs="Times New Roman"/>
          <w:bCs/>
        </w:rPr>
        <w:t> (11th ed.). Pearson.</w:t>
      </w:r>
    </w:p>
    <w:p w14:paraId="1C28064B"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 xml:space="preserve">Okwu, P. I., </w:t>
      </w:r>
      <w:proofErr w:type="spellStart"/>
      <w:r w:rsidRPr="006816A7">
        <w:rPr>
          <w:rFonts w:ascii="Times New Roman" w:hAnsi="Times New Roman" w:cs="Times New Roman"/>
          <w:bCs/>
        </w:rPr>
        <w:t>Adegboye</w:t>
      </w:r>
      <w:proofErr w:type="spellEnd"/>
      <w:r w:rsidRPr="006816A7">
        <w:rPr>
          <w:rFonts w:ascii="Times New Roman" w:hAnsi="Times New Roman" w:cs="Times New Roman"/>
          <w:bCs/>
        </w:rPr>
        <w:t>, M. A., &amp; Bello, L. Y. (2020). Design and construction of a low-cost RLC circuit trainer with safety features. </w:t>
      </w:r>
      <w:r w:rsidRPr="006816A7">
        <w:rPr>
          <w:rFonts w:ascii="Times New Roman" w:hAnsi="Times New Roman" w:cs="Times New Roman"/>
          <w:bCs/>
          <w:i/>
          <w:iCs/>
        </w:rPr>
        <w:t>International Journal of Engineering Education</w:t>
      </w:r>
      <w:r w:rsidRPr="006816A7">
        <w:rPr>
          <w:rFonts w:ascii="Times New Roman" w:hAnsi="Times New Roman" w:cs="Times New Roman"/>
          <w:bCs/>
        </w:rPr>
        <w:t>, 36(4), 1234-1245.</w:t>
      </w:r>
    </w:p>
    <w:p w14:paraId="46861A73"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lastRenderedPageBreak/>
        <w:t>Prince, M. (2004). Does active learning work? A review of the research. </w:t>
      </w:r>
      <w:r w:rsidRPr="006816A7">
        <w:rPr>
          <w:rFonts w:ascii="Times New Roman" w:hAnsi="Times New Roman" w:cs="Times New Roman"/>
          <w:bCs/>
          <w:i/>
          <w:iCs/>
        </w:rPr>
        <w:t>Journal of Engineering Education</w:t>
      </w:r>
      <w:r w:rsidRPr="006816A7">
        <w:rPr>
          <w:rFonts w:ascii="Times New Roman" w:hAnsi="Times New Roman" w:cs="Times New Roman"/>
          <w:bCs/>
        </w:rPr>
        <w:t>, 93(3), 223-231. </w:t>
      </w:r>
      <w:hyperlink r:id="rId9" w:tgtFrame="_blank" w:history="1">
        <w:r w:rsidRPr="006816A7">
          <w:rPr>
            <w:rStyle w:val="Hyperlink"/>
            <w:rFonts w:ascii="Times New Roman" w:hAnsi="Times New Roman" w:cs="Times New Roman"/>
            <w:bCs/>
          </w:rPr>
          <w:t>https://doi.org/10.1002/j.2168-9830.2004.tb00809.x</w:t>
        </w:r>
      </w:hyperlink>
    </w:p>
    <w:p w14:paraId="21B19841"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Sedra, A. S., &amp; Smith, K. C. (2015). </w:t>
      </w:r>
      <w:r w:rsidRPr="006816A7">
        <w:rPr>
          <w:rFonts w:ascii="Times New Roman" w:hAnsi="Times New Roman" w:cs="Times New Roman"/>
          <w:bCs/>
          <w:i/>
          <w:iCs/>
        </w:rPr>
        <w:t>Microelectronic circuits</w:t>
      </w:r>
      <w:r w:rsidRPr="006816A7">
        <w:rPr>
          <w:rFonts w:ascii="Times New Roman" w:hAnsi="Times New Roman" w:cs="Times New Roman"/>
          <w:bCs/>
        </w:rPr>
        <w:t> (7th ed.). Oxford University Press.</w:t>
      </w:r>
    </w:p>
    <w:p w14:paraId="352AAD5C"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Smith, J. R., &amp; Johnson, A. B. (2020). Precision measurements of resonant frequencies in RLC circuits. </w:t>
      </w:r>
      <w:r w:rsidRPr="006816A7">
        <w:rPr>
          <w:rFonts w:ascii="Times New Roman" w:hAnsi="Times New Roman" w:cs="Times New Roman"/>
          <w:bCs/>
          <w:i/>
          <w:iCs/>
        </w:rPr>
        <w:t>IEEE Transactions on Education</w:t>
      </w:r>
      <w:r w:rsidRPr="006816A7">
        <w:rPr>
          <w:rFonts w:ascii="Times New Roman" w:hAnsi="Times New Roman" w:cs="Times New Roman"/>
          <w:bCs/>
        </w:rPr>
        <w:t>, 63(2), 112-120. </w:t>
      </w:r>
      <w:hyperlink r:id="rId10" w:tgtFrame="_blank" w:history="1">
        <w:r w:rsidRPr="006816A7">
          <w:rPr>
            <w:rStyle w:val="Hyperlink"/>
            <w:rFonts w:ascii="Times New Roman" w:hAnsi="Times New Roman" w:cs="Times New Roman"/>
            <w:bCs/>
          </w:rPr>
          <w:t>https://doi.org/10.1109/TE.2019.2957123</w:t>
        </w:r>
      </w:hyperlink>
    </w:p>
    <w:p w14:paraId="414981A8"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Texas Instruments. (2022). </w:t>
      </w:r>
      <w:r w:rsidRPr="006816A7">
        <w:rPr>
          <w:rFonts w:ascii="Times New Roman" w:hAnsi="Times New Roman" w:cs="Times New Roman"/>
          <w:bCs/>
          <w:i/>
          <w:iCs/>
        </w:rPr>
        <w:t>LCR meter measurement guide</w:t>
      </w:r>
      <w:r w:rsidRPr="006816A7">
        <w:rPr>
          <w:rFonts w:ascii="Times New Roman" w:hAnsi="Times New Roman" w:cs="Times New Roman"/>
          <w:bCs/>
        </w:rPr>
        <w:t> (Application Report SNOA924). </w:t>
      </w:r>
      <w:hyperlink r:id="rId11" w:tgtFrame="_blank" w:history="1">
        <w:r w:rsidRPr="006816A7">
          <w:rPr>
            <w:rStyle w:val="Hyperlink"/>
            <w:rFonts w:ascii="Times New Roman" w:hAnsi="Times New Roman" w:cs="Times New Roman"/>
            <w:bCs/>
          </w:rPr>
          <w:t>https://www.ti.com/lit/an/snoa924/snoa924.pdf</w:t>
        </w:r>
      </w:hyperlink>
    </w:p>
    <w:p w14:paraId="3BFFDEB3" w14:textId="77777777" w:rsidR="004314C7" w:rsidRPr="006816A7" w:rsidRDefault="004314C7" w:rsidP="004314C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Theraja, B. L., &amp; Theraja, A. K. (2014). </w:t>
      </w:r>
      <w:r w:rsidRPr="006816A7">
        <w:rPr>
          <w:rFonts w:ascii="Times New Roman" w:hAnsi="Times New Roman" w:cs="Times New Roman"/>
          <w:bCs/>
          <w:i/>
          <w:iCs/>
        </w:rPr>
        <w:t>A textbook of electrical technology</w:t>
      </w:r>
      <w:r w:rsidRPr="006816A7">
        <w:rPr>
          <w:rFonts w:ascii="Times New Roman" w:hAnsi="Times New Roman" w:cs="Times New Roman"/>
          <w:bCs/>
        </w:rPr>
        <w:t>. S. Chand.</w:t>
      </w:r>
    </w:p>
    <w:p w14:paraId="56F53532" w14:textId="77777777" w:rsidR="00A365E9" w:rsidRDefault="00A365E9"/>
    <w:sectPr w:rsidR="00A3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C7"/>
    <w:rsid w:val="004314C7"/>
    <w:rsid w:val="009B23D1"/>
    <w:rsid w:val="00A3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17F4"/>
  <w15:chartTrackingRefBased/>
  <w15:docId w15:val="{1FCEE1A4-8C32-4DC6-BF0F-1DB03B27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4C7"/>
    <w:pPr>
      <w:spacing w:after="200" w:line="276" w:lineRule="auto"/>
    </w:pPr>
  </w:style>
  <w:style w:type="paragraph" w:styleId="Heading1">
    <w:name w:val="heading 1"/>
    <w:basedOn w:val="Normal"/>
    <w:next w:val="Normal"/>
    <w:link w:val="Heading1Char"/>
    <w:uiPriority w:val="9"/>
    <w:qFormat/>
    <w:rsid w:val="004314C7"/>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C7"/>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4314C7"/>
    <w:pPr>
      <w:ind w:left="720"/>
      <w:contextualSpacing/>
    </w:pPr>
  </w:style>
  <w:style w:type="paragraph" w:styleId="BodyText">
    <w:name w:val="Body Text"/>
    <w:basedOn w:val="Normal"/>
    <w:link w:val="BodyTextChar"/>
    <w:uiPriority w:val="1"/>
    <w:qFormat/>
    <w:rsid w:val="004314C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14C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electrical-engineering-and-computer-science/6-002-circuits-and-electronics-spring-2007/labs/lab4.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77/0020720921109876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9/TE.2020.3049032" TargetMode="External"/><Relationship Id="rId11" Type="http://schemas.openxmlformats.org/officeDocument/2006/relationships/hyperlink" Target="https://www.ti.com/lit/an/snoa924/snoa924.pdf" TargetMode="External"/><Relationship Id="rId5" Type="http://schemas.openxmlformats.org/officeDocument/2006/relationships/hyperlink" Target="https://doi.org/10.xxxx/jeet.2017.0345" TargetMode="External"/><Relationship Id="rId10" Type="http://schemas.openxmlformats.org/officeDocument/2006/relationships/hyperlink" Target="https://doi.org/10.1109/TE.2019.2957123" TargetMode="External"/><Relationship Id="rId4" Type="http://schemas.openxmlformats.org/officeDocument/2006/relationships/hyperlink" Target="https://www.allaboutcircuits.com/textbook/alternating-current/chpt-6/parallel-resonance/" TargetMode="External"/><Relationship Id="rId9" Type="http://schemas.openxmlformats.org/officeDocument/2006/relationships/hyperlink" Target="https://doi.org/10.1002/j.2168-9830.2004.tb0080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2025-06-03T12:29:00Z</dcterms:created>
  <dcterms:modified xsi:type="dcterms:W3CDTF">2025-06-03T15:10:00Z</dcterms:modified>
</cp:coreProperties>
</file>