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AAAF5" w14:textId="2D438CF9" w:rsidR="004A2E28" w:rsidRPr="00ED47E9" w:rsidRDefault="00032B39" w:rsidP="004A2E28">
      <w:pPr>
        <w:pStyle w:val="Title"/>
        <w:rPr>
          <w:rFonts w:ascii="Times New Roman" w:hAnsi="Times New Roman" w:cs="Times New Roman"/>
          <w:b/>
          <w:bCs/>
          <w:sz w:val="24"/>
          <w:szCs w:val="24"/>
        </w:rPr>
      </w:pPr>
      <w:r w:rsidRPr="00ED47E9">
        <w:rPr>
          <w:rFonts w:ascii="Times New Roman" w:hAnsi="Times New Roman" w:cs="Times New Roman"/>
          <w:b/>
          <w:bCs/>
          <w:sz w:val="24"/>
          <w:szCs w:val="24"/>
        </w:rPr>
        <w:t>5.</w:t>
      </w:r>
      <w:r w:rsidR="00ED47E9">
        <w:rPr>
          <w:rFonts w:ascii="Times New Roman" w:hAnsi="Times New Roman" w:cs="Times New Roman"/>
          <w:b/>
          <w:bCs/>
          <w:sz w:val="24"/>
          <w:szCs w:val="24"/>
        </w:rPr>
        <w:t xml:space="preserve">1 </w:t>
      </w:r>
      <w:r w:rsidR="0074218B" w:rsidRPr="00ED47E9">
        <w:rPr>
          <w:rFonts w:ascii="Times New Roman" w:hAnsi="Times New Roman" w:cs="Times New Roman"/>
          <w:b/>
          <w:bCs/>
          <w:sz w:val="24"/>
          <w:szCs w:val="24"/>
        </w:rPr>
        <w:t xml:space="preserve">CONCLUSION </w:t>
      </w:r>
    </w:p>
    <w:p w14:paraId="4B0D1B79" w14:textId="77777777" w:rsidR="004A2E28" w:rsidRDefault="004A2E28">
      <w:pPr>
        <w:pStyle w:val="NormalWeb"/>
        <w:divId w:val="1745880660"/>
      </w:pPr>
      <w:r>
        <w:t>The successful installation of the hybrid solar power system demonstrates the effective integration of key components including monocrystalline solar panels, a tubular battery bank, a 4.2 kVA hybrid inverter with MPPT, as well as proper DC and AC cabling, circuit protection, and secure mounting. Each component was selected based on performance, efficiency, and suitability for the operational environment, ensuring a reliable and sustainable energy solution.</w:t>
      </w:r>
    </w:p>
    <w:p w14:paraId="50E3C537" w14:textId="77777777" w:rsidR="004A2E28" w:rsidRDefault="004A2E28">
      <w:pPr>
        <w:pStyle w:val="NormalWeb"/>
        <w:divId w:val="1745880660"/>
      </w:pPr>
      <w:r>
        <w:t>The monocrystalline panels provide high energy efficiency and superior performance in varied lighting conditions. The use of high-capacity tubular batteries offers extended backup with low maintenance. The hybrid inverter plays a central role in converting and managing energy between the solar array, battery, and grid, ensuring uninterrupted power supply. Proper wiring and protective components enhance system safety and longevity.</w:t>
      </w:r>
    </w:p>
    <w:p w14:paraId="71F7F5AE" w14:textId="31724BE4" w:rsidR="004A2E28" w:rsidRDefault="004A2E28" w:rsidP="00950603">
      <w:pPr>
        <w:pStyle w:val="NormalWeb"/>
        <w:divId w:val="1745880660"/>
      </w:pPr>
      <w:r>
        <w:t xml:space="preserve">Overall, this installation not only supports the goal of reducing dependency on the national grid but also promotes the use of renewable energy technology for consistent and clean electricity supply. The system serves as a model for similar future deployments aimed at sustainable energy </w:t>
      </w:r>
      <w:r w:rsidR="00F277C9">
        <w:t>generation</w:t>
      </w:r>
      <w:r w:rsidR="00ED47E9">
        <w:t>.</w:t>
      </w:r>
    </w:p>
    <w:p w14:paraId="4F78D656" w14:textId="12C11DAF" w:rsidR="00C86577" w:rsidRPr="00C86577" w:rsidRDefault="00ED47E9" w:rsidP="00C86577">
      <w:pPr>
        <w:pStyle w:val="NormalWeb"/>
        <w:divId w:val="1745880660"/>
        <w:rPr>
          <w:b/>
          <w:bCs/>
        </w:rPr>
      </w:pPr>
      <w:r w:rsidRPr="00ED47E9">
        <w:rPr>
          <w:b/>
          <w:bCs/>
        </w:rPr>
        <w:t>5.2</w:t>
      </w:r>
      <w:r>
        <w:rPr>
          <w:b/>
          <w:bCs/>
        </w:rPr>
        <w:t xml:space="preserve"> RECOMMENDATION </w:t>
      </w:r>
    </w:p>
    <w:p w14:paraId="69C391C8" w14:textId="77777777" w:rsidR="00C86577" w:rsidRDefault="00C86577">
      <w:pPr>
        <w:pStyle w:val="NormalWeb"/>
        <w:divId w:val="1046564497"/>
      </w:pPr>
      <w:r>
        <w:t>Based on the successful implementation and performance of this hybrid solar power system, it is recommended that similar systems be adopted in other institutions, homes, and commercial facilities to reduce reliance on the national grid and promote energy sustainability. For future installations, the following considerations are advised:</w:t>
      </w:r>
    </w:p>
    <w:p w14:paraId="0EBC9F1E" w14:textId="77777777" w:rsidR="00C86577" w:rsidRDefault="00C86577" w:rsidP="00C86577">
      <w:pPr>
        <w:pStyle w:val="NormalWeb"/>
        <w:numPr>
          <w:ilvl w:val="0"/>
          <w:numId w:val="2"/>
        </w:numPr>
        <w:divId w:val="1046564497"/>
      </w:pPr>
      <w:r>
        <w:rPr>
          <w:rStyle w:val="Strong"/>
        </w:rPr>
        <w:t>System Scaling</w:t>
      </w:r>
      <w:r>
        <w:t>: For higher energy demands, consider scaling up the system by increasing the number of solar panels and battery capacity to ensure consistent power supply during extended periods of low sunlight.</w:t>
      </w:r>
    </w:p>
    <w:p w14:paraId="7531063B" w14:textId="77777777" w:rsidR="00C86577" w:rsidRDefault="00C86577" w:rsidP="00C86577">
      <w:pPr>
        <w:pStyle w:val="NormalWeb"/>
        <w:numPr>
          <w:ilvl w:val="0"/>
          <w:numId w:val="2"/>
        </w:numPr>
        <w:divId w:val="1046564497"/>
      </w:pPr>
      <w:r>
        <w:rPr>
          <w:rStyle w:val="Strong"/>
        </w:rPr>
        <w:t>Routine Maintenance</w:t>
      </w:r>
      <w:r>
        <w:t>: Although the system components are low-maintenance, periodic inspections and preventive maintenance should be conducted to ensure optimal performance and longevity.</w:t>
      </w:r>
    </w:p>
    <w:p w14:paraId="74C8F872" w14:textId="77777777" w:rsidR="00C86577" w:rsidRDefault="00C86577" w:rsidP="00C86577">
      <w:pPr>
        <w:pStyle w:val="NormalWeb"/>
        <w:numPr>
          <w:ilvl w:val="0"/>
          <w:numId w:val="2"/>
        </w:numPr>
        <w:divId w:val="1046564497"/>
      </w:pPr>
      <w:r>
        <w:rPr>
          <w:rStyle w:val="Strong"/>
        </w:rPr>
        <w:t>Surge Protection and Grounding</w:t>
      </w:r>
      <w:r>
        <w:t>: Proper grounding and surge protection must always be implemented to prevent damage from lightning strikes or power surges.</w:t>
      </w:r>
    </w:p>
    <w:p w14:paraId="5CF026B9" w14:textId="77777777" w:rsidR="00C86577" w:rsidRDefault="00C86577" w:rsidP="00C86577">
      <w:pPr>
        <w:pStyle w:val="NormalWeb"/>
        <w:numPr>
          <w:ilvl w:val="0"/>
          <w:numId w:val="2"/>
        </w:numPr>
        <w:divId w:val="1046564497"/>
      </w:pPr>
      <w:r>
        <w:rPr>
          <w:rStyle w:val="Strong"/>
        </w:rPr>
        <w:t>Monitoring System</w:t>
      </w:r>
      <w:r>
        <w:t>: Incorporate a real-time monitoring system to track energy production, storage, and consumption, which aids in performance analysis and troubleshooting.</w:t>
      </w:r>
    </w:p>
    <w:p w14:paraId="040A640C" w14:textId="77777777" w:rsidR="00C86577" w:rsidRDefault="00C86577" w:rsidP="00C86577">
      <w:pPr>
        <w:pStyle w:val="NormalWeb"/>
        <w:numPr>
          <w:ilvl w:val="0"/>
          <w:numId w:val="2"/>
        </w:numPr>
        <w:divId w:val="1046564497"/>
      </w:pPr>
      <w:r>
        <w:rPr>
          <w:rStyle w:val="Strong"/>
        </w:rPr>
        <w:t>User Training</w:t>
      </w:r>
      <w:r>
        <w:t>: Basic training should be provided to users or maintenance personnel to enable them to handle simple system diagnostics and respond effectively to alerts or faults.</w:t>
      </w:r>
    </w:p>
    <w:p w14:paraId="170308F3" w14:textId="6D9967D4" w:rsidR="00C86577" w:rsidRPr="00AB0A8D" w:rsidRDefault="00C86577" w:rsidP="00AB0A8D">
      <w:pPr>
        <w:pStyle w:val="NormalWeb"/>
        <w:divId w:val="1046564497"/>
      </w:pPr>
      <w:r>
        <w:t xml:space="preserve">The hybrid solar power setup proves to be a cost-effective and eco-friendly solution, and its wider adoption can significantly contribute to cleaner energy use and improved energy </w:t>
      </w:r>
      <w:r w:rsidR="00E225C1">
        <w:t xml:space="preserve">security. </w:t>
      </w:r>
    </w:p>
    <w:p w14:paraId="1714E73C" w14:textId="77777777" w:rsidR="00FF1E01" w:rsidRPr="00ED47E9" w:rsidRDefault="00FF1E01" w:rsidP="00950603">
      <w:pPr>
        <w:pStyle w:val="NormalWeb"/>
        <w:divId w:val="1745880660"/>
        <w:rPr>
          <w:b/>
          <w:bCs/>
        </w:rPr>
      </w:pPr>
    </w:p>
    <w:sectPr w:rsidR="00FF1E01" w:rsidRPr="00ED4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B7D6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D17A0F"/>
    <w:multiLevelType w:val="hybridMultilevel"/>
    <w:tmpl w:val="E2F8D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22786">
    <w:abstractNumId w:val="1"/>
  </w:num>
  <w:num w:numId="2" w16cid:durableId="71049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DF"/>
    <w:rsid w:val="00032B39"/>
    <w:rsid w:val="004A2E28"/>
    <w:rsid w:val="00640AE7"/>
    <w:rsid w:val="00687661"/>
    <w:rsid w:val="0074218B"/>
    <w:rsid w:val="00766EB4"/>
    <w:rsid w:val="00950603"/>
    <w:rsid w:val="00A84235"/>
    <w:rsid w:val="00AB0A8D"/>
    <w:rsid w:val="00BA3BDE"/>
    <w:rsid w:val="00C86577"/>
    <w:rsid w:val="00E225C1"/>
    <w:rsid w:val="00ED47E9"/>
    <w:rsid w:val="00F017DF"/>
    <w:rsid w:val="00F277C9"/>
    <w:rsid w:val="00FF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0D9E"/>
  <w15:chartTrackingRefBased/>
  <w15:docId w15:val="{D8F26B00-B30B-1742-A9E8-2BBE67A0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7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7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7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7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7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7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7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7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7DF"/>
    <w:rPr>
      <w:rFonts w:eastAsiaTheme="majorEastAsia" w:cstheme="majorBidi"/>
      <w:color w:val="272727" w:themeColor="text1" w:themeTint="D8"/>
    </w:rPr>
  </w:style>
  <w:style w:type="paragraph" w:styleId="Title">
    <w:name w:val="Title"/>
    <w:basedOn w:val="Normal"/>
    <w:next w:val="Normal"/>
    <w:link w:val="TitleChar"/>
    <w:uiPriority w:val="10"/>
    <w:qFormat/>
    <w:rsid w:val="00F017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7DF"/>
    <w:pPr>
      <w:spacing w:before="160"/>
      <w:jc w:val="center"/>
    </w:pPr>
    <w:rPr>
      <w:i/>
      <w:iCs/>
      <w:color w:val="404040" w:themeColor="text1" w:themeTint="BF"/>
    </w:rPr>
  </w:style>
  <w:style w:type="character" w:customStyle="1" w:styleId="QuoteChar">
    <w:name w:val="Quote Char"/>
    <w:basedOn w:val="DefaultParagraphFont"/>
    <w:link w:val="Quote"/>
    <w:uiPriority w:val="29"/>
    <w:rsid w:val="00F017DF"/>
    <w:rPr>
      <w:i/>
      <w:iCs/>
      <w:color w:val="404040" w:themeColor="text1" w:themeTint="BF"/>
    </w:rPr>
  </w:style>
  <w:style w:type="paragraph" w:styleId="ListParagraph">
    <w:name w:val="List Paragraph"/>
    <w:basedOn w:val="Normal"/>
    <w:uiPriority w:val="34"/>
    <w:qFormat/>
    <w:rsid w:val="00F017DF"/>
    <w:pPr>
      <w:ind w:left="720"/>
      <w:contextualSpacing/>
    </w:pPr>
  </w:style>
  <w:style w:type="character" w:styleId="IntenseEmphasis">
    <w:name w:val="Intense Emphasis"/>
    <w:basedOn w:val="DefaultParagraphFont"/>
    <w:uiPriority w:val="21"/>
    <w:qFormat/>
    <w:rsid w:val="00F017DF"/>
    <w:rPr>
      <w:i/>
      <w:iCs/>
      <w:color w:val="0F4761" w:themeColor="accent1" w:themeShade="BF"/>
    </w:rPr>
  </w:style>
  <w:style w:type="paragraph" w:styleId="IntenseQuote">
    <w:name w:val="Intense Quote"/>
    <w:basedOn w:val="Normal"/>
    <w:next w:val="Normal"/>
    <w:link w:val="IntenseQuoteChar"/>
    <w:uiPriority w:val="30"/>
    <w:qFormat/>
    <w:rsid w:val="00F01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7DF"/>
    <w:rPr>
      <w:i/>
      <w:iCs/>
      <w:color w:val="0F4761" w:themeColor="accent1" w:themeShade="BF"/>
    </w:rPr>
  </w:style>
  <w:style w:type="character" w:styleId="IntenseReference">
    <w:name w:val="Intense Reference"/>
    <w:basedOn w:val="DefaultParagraphFont"/>
    <w:uiPriority w:val="32"/>
    <w:qFormat/>
    <w:rsid w:val="00F017DF"/>
    <w:rPr>
      <w:b/>
      <w:bCs/>
      <w:smallCaps/>
      <w:color w:val="0F4761" w:themeColor="accent1" w:themeShade="BF"/>
      <w:spacing w:val="5"/>
    </w:rPr>
  </w:style>
  <w:style w:type="paragraph" w:styleId="NormalWeb">
    <w:name w:val="Normal (Web)"/>
    <w:basedOn w:val="Normal"/>
    <w:uiPriority w:val="99"/>
    <w:unhideWhenUsed/>
    <w:rsid w:val="004A2E28"/>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4A2E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880660">
      <w:bodyDiv w:val="1"/>
      <w:marLeft w:val="0"/>
      <w:marRight w:val="0"/>
      <w:marTop w:val="0"/>
      <w:marBottom w:val="0"/>
      <w:divBdr>
        <w:top w:val="none" w:sz="0" w:space="0" w:color="auto"/>
        <w:left w:val="none" w:sz="0" w:space="0" w:color="auto"/>
        <w:bottom w:val="none" w:sz="0" w:space="0" w:color="auto"/>
        <w:right w:val="none" w:sz="0" w:space="0" w:color="auto"/>
      </w:divBdr>
      <w:divsChild>
        <w:div w:id="1046564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abdulbasitsaliman8@gmail.com</dc:creator>
  <cp:keywords/>
  <dc:description/>
  <cp:lastModifiedBy>abdulbasitsaliman8@gmail.com</cp:lastModifiedBy>
  <cp:revision>8</cp:revision>
  <dcterms:created xsi:type="dcterms:W3CDTF">2025-05-27T08:29:00Z</dcterms:created>
  <dcterms:modified xsi:type="dcterms:W3CDTF">2025-05-27T08:35:00Z</dcterms:modified>
</cp:coreProperties>
</file>