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7680" w14:textId="77777777" w:rsidR="009D03B9" w:rsidRDefault="009D03B9" w:rsidP="009D03B9">
      <w:pPr>
        <w:jc w:val="center"/>
        <w:rPr>
          <w:b/>
          <w:bCs/>
        </w:rPr>
      </w:pPr>
      <w:r>
        <w:rPr>
          <w:b/>
          <w:bCs/>
        </w:rPr>
        <w:t>CHAPTER FOUR</w:t>
      </w:r>
    </w:p>
    <w:p w14:paraId="6AA4F579" w14:textId="77777777" w:rsidR="009D03B9" w:rsidRDefault="009D03B9" w:rsidP="009D03B9">
      <w:r>
        <w:t>4.0 INTRODUCTION</w:t>
      </w:r>
    </w:p>
    <w:p w14:paraId="556A0F3A" w14:textId="77777777" w:rsidR="009D03B9" w:rsidRDefault="009D03B9" w:rsidP="009D03B9">
      <w:r>
        <w:t>chapter</w:t>
      </w:r>
      <w:r w:rsidRPr="00031EC3">
        <w:t xml:space="preserve"> presents the laboratory results from the analysis of water samples collected from selected boreholes and hand-dug wells in </w:t>
      </w:r>
      <w:proofErr w:type="spellStart"/>
      <w:r w:rsidRPr="00031EC3">
        <w:t>Olunlade</w:t>
      </w:r>
      <w:proofErr w:type="spellEnd"/>
      <w:r w:rsidRPr="00031EC3">
        <w:t>, Ilorin. The results are discussed in relation to the World Health Organization (WHO, 2017) standards for potable water and previous literature. The analysis covered physical, chemical, and microbiological parameters, considering both rainy and dry seasons.</w:t>
      </w:r>
    </w:p>
    <w:p w14:paraId="60D70FF7" w14:textId="77777777" w:rsidR="009D03B9" w:rsidRDefault="009D03B9" w:rsidP="009D03B9">
      <w:r>
        <w:t>4.1 PHYSICAL, CHEMICAL AND BACTERIOLOGICAL ANALYSIS RESULT</w:t>
      </w:r>
    </w:p>
    <w:p w14:paraId="358C6626" w14:textId="77777777" w:rsidR="009D03B9" w:rsidRDefault="009D03B9" w:rsidP="009D03B9">
      <w:r>
        <w:t>TABLE 1</w:t>
      </w:r>
    </w:p>
    <w:tbl>
      <w:tblPr>
        <w:tblStyle w:val="TableGrid"/>
        <w:tblpPr w:leftFromText="180" w:rightFromText="180" w:vertAnchor="text" w:horzAnchor="margin" w:tblpY="358"/>
        <w:tblW w:w="0" w:type="auto"/>
        <w:tblLook w:val="04A0" w:firstRow="1" w:lastRow="0" w:firstColumn="1" w:lastColumn="0" w:noHBand="0" w:noVBand="1"/>
      </w:tblPr>
      <w:tblGrid>
        <w:gridCol w:w="1492"/>
        <w:gridCol w:w="1809"/>
        <w:gridCol w:w="1508"/>
        <w:gridCol w:w="1502"/>
        <w:gridCol w:w="1543"/>
        <w:gridCol w:w="1496"/>
      </w:tblGrid>
      <w:tr w:rsidR="009D03B9" w14:paraId="1638CB21" w14:textId="77777777" w:rsidTr="0005437F">
        <w:tc>
          <w:tcPr>
            <w:tcW w:w="1558" w:type="dxa"/>
          </w:tcPr>
          <w:p w14:paraId="66379D77" w14:textId="77777777" w:rsidR="009D03B9" w:rsidRDefault="009D03B9" w:rsidP="0005437F">
            <w:pPr>
              <w:jc w:val="center"/>
              <w:rPr>
                <w:b/>
                <w:bCs/>
              </w:rPr>
            </w:pPr>
            <w:r>
              <w:rPr>
                <w:b/>
                <w:bCs/>
              </w:rPr>
              <w:t>S/N</w:t>
            </w:r>
          </w:p>
        </w:tc>
        <w:tc>
          <w:tcPr>
            <w:tcW w:w="1835" w:type="dxa"/>
          </w:tcPr>
          <w:p w14:paraId="7EA0BA04" w14:textId="77777777" w:rsidR="009D03B9" w:rsidRDefault="009D03B9" w:rsidP="0005437F">
            <w:pPr>
              <w:jc w:val="center"/>
              <w:rPr>
                <w:b/>
                <w:bCs/>
              </w:rPr>
            </w:pPr>
            <w:r>
              <w:rPr>
                <w:b/>
                <w:bCs/>
              </w:rPr>
              <w:t>DESCRIPTION</w:t>
            </w:r>
          </w:p>
        </w:tc>
        <w:tc>
          <w:tcPr>
            <w:tcW w:w="1558" w:type="dxa"/>
          </w:tcPr>
          <w:p w14:paraId="770D18D8" w14:textId="77777777" w:rsidR="009D03B9" w:rsidRDefault="009D03B9" w:rsidP="0005437F">
            <w:pPr>
              <w:jc w:val="center"/>
              <w:rPr>
                <w:b/>
                <w:bCs/>
              </w:rPr>
            </w:pPr>
            <w:r>
              <w:rPr>
                <w:b/>
                <w:bCs/>
              </w:rPr>
              <w:t>HDW1</w:t>
            </w:r>
          </w:p>
        </w:tc>
        <w:tc>
          <w:tcPr>
            <w:tcW w:w="1558" w:type="dxa"/>
          </w:tcPr>
          <w:p w14:paraId="4C7F1E2A" w14:textId="77777777" w:rsidR="009D03B9" w:rsidRDefault="009D03B9" w:rsidP="0005437F">
            <w:pPr>
              <w:jc w:val="center"/>
              <w:rPr>
                <w:b/>
                <w:bCs/>
              </w:rPr>
            </w:pPr>
            <w:r>
              <w:rPr>
                <w:b/>
                <w:bCs/>
              </w:rPr>
              <w:t>BH1</w:t>
            </w:r>
          </w:p>
        </w:tc>
        <w:tc>
          <w:tcPr>
            <w:tcW w:w="1559" w:type="dxa"/>
          </w:tcPr>
          <w:p w14:paraId="43B5094C" w14:textId="77777777" w:rsidR="009D03B9" w:rsidRDefault="009D03B9" w:rsidP="0005437F">
            <w:pPr>
              <w:jc w:val="center"/>
              <w:rPr>
                <w:b/>
                <w:bCs/>
              </w:rPr>
            </w:pPr>
            <w:r>
              <w:rPr>
                <w:b/>
                <w:bCs/>
              </w:rPr>
              <w:t>HDW2</w:t>
            </w:r>
          </w:p>
        </w:tc>
        <w:tc>
          <w:tcPr>
            <w:tcW w:w="1559" w:type="dxa"/>
          </w:tcPr>
          <w:p w14:paraId="133292DC" w14:textId="77777777" w:rsidR="009D03B9" w:rsidRDefault="009D03B9" w:rsidP="0005437F">
            <w:pPr>
              <w:jc w:val="center"/>
              <w:rPr>
                <w:b/>
                <w:bCs/>
              </w:rPr>
            </w:pPr>
            <w:r>
              <w:rPr>
                <w:b/>
                <w:bCs/>
              </w:rPr>
              <w:t>BH2</w:t>
            </w:r>
          </w:p>
        </w:tc>
      </w:tr>
      <w:tr w:rsidR="009D03B9" w14:paraId="3D536C79" w14:textId="77777777" w:rsidTr="0005437F">
        <w:tc>
          <w:tcPr>
            <w:tcW w:w="1558" w:type="dxa"/>
          </w:tcPr>
          <w:p w14:paraId="1BD57639" w14:textId="77777777" w:rsidR="009D03B9" w:rsidRDefault="009D03B9" w:rsidP="0005437F">
            <w:pPr>
              <w:jc w:val="center"/>
              <w:rPr>
                <w:b/>
                <w:bCs/>
              </w:rPr>
            </w:pPr>
            <w:r>
              <w:rPr>
                <w:b/>
                <w:bCs/>
              </w:rPr>
              <w:t>1</w:t>
            </w:r>
          </w:p>
        </w:tc>
        <w:tc>
          <w:tcPr>
            <w:tcW w:w="1835" w:type="dxa"/>
          </w:tcPr>
          <w:p w14:paraId="67253C40" w14:textId="77777777" w:rsidR="009D03B9" w:rsidRDefault="009D03B9" w:rsidP="0005437F">
            <w:pPr>
              <w:jc w:val="center"/>
              <w:rPr>
                <w:b/>
                <w:bCs/>
              </w:rPr>
            </w:pPr>
            <w:r>
              <w:rPr>
                <w:b/>
                <w:bCs/>
              </w:rPr>
              <w:t>TURBIDITY (NTU)</w:t>
            </w:r>
          </w:p>
        </w:tc>
        <w:tc>
          <w:tcPr>
            <w:tcW w:w="1558" w:type="dxa"/>
          </w:tcPr>
          <w:p w14:paraId="1A855166" w14:textId="77777777" w:rsidR="009D03B9" w:rsidRDefault="009D03B9" w:rsidP="0005437F">
            <w:pPr>
              <w:jc w:val="center"/>
              <w:rPr>
                <w:b/>
                <w:bCs/>
              </w:rPr>
            </w:pPr>
            <w:r>
              <w:rPr>
                <w:b/>
                <w:bCs/>
              </w:rPr>
              <w:t>7.5</w:t>
            </w:r>
          </w:p>
        </w:tc>
        <w:tc>
          <w:tcPr>
            <w:tcW w:w="1558" w:type="dxa"/>
          </w:tcPr>
          <w:p w14:paraId="079069FC" w14:textId="77777777" w:rsidR="009D03B9" w:rsidRDefault="009D03B9" w:rsidP="0005437F">
            <w:pPr>
              <w:jc w:val="center"/>
              <w:rPr>
                <w:b/>
                <w:bCs/>
              </w:rPr>
            </w:pPr>
            <w:r>
              <w:rPr>
                <w:b/>
                <w:bCs/>
              </w:rPr>
              <w:t>5.0</w:t>
            </w:r>
          </w:p>
        </w:tc>
        <w:tc>
          <w:tcPr>
            <w:tcW w:w="1559" w:type="dxa"/>
          </w:tcPr>
          <w:p w14:paraId="4A3E974D" w14:textId="77777777" w:rsidR="009D03B9" w:rsidRDefault="009D03B9" w:rsidP="0005437F">
            <w:pPr>
              <w:jc w:val="center"/>
              <w:rPr>
                <w:b/>
                <w:bCs/>
              </w:rPr>
            </w:pPr>
            <w:r>
              <w:rPr>
                <w:b/>
                <w:bCs/>
              </w:rPr>
              <w:t>6.5</w:t>
            </w:r>
          </w:p>
        </w:tc>
        <w:tc>
          <w:tcPr>
            <w:tcW w:w="1559" w:type="dxa"/>
          </w:tcPr>
          <w:p w14:paraId="5E3F4BFF" w14:textId="77777777" w:rsidR="009D03B9" w:rsidRDefault="009D03B9" w:rsidP="0005437F">
            <w:pPr>
              <w:jc w:val="center"/>
              <w:rPr>
                <w:b/>
                <w:bCs/>
              </w:rPr>
            </w:pPr>
            <w:r>
              <w:rPr>
                <w:b/>
                <w:bCs/>
              </w:rPr>
              <w:t>5.0</w:t>
            </w:r>
          </w:p>
        </w:tc>
      </w:tr>
      <w:tr w:rsidR="009D03B9" w14:paraId="56FEC1A7" w14:textId="77777777" w:rsidTr="0005437F">
        <w:tc>
          <w:tcPr>
            <w:tcW w:w="1558" w:type="dxa"/>
          </w:tcPr>
          <w:p w14:paraId="44753AF1" w14:textId="77777777" w:rsidR="009D03B9" w:rsidRDefault="009D03B9" w:rsidP="0005437F">
            <w:pPr>
              <w:jc w:val="center"/>
              <w:rPr>
                <w:b/>
                <w:bCs/>
              </w:rPr>
            </w:pPr>
            <w:r>
              <w:rPr>
                <w:b/>
                <w:bCs/>
              </w:rPr>
              <w:t>2</w:t>
            </w:r>
          </w:p>
        </w:tc>
        <w:tc>
          <w:tcPr>
            <w:tcW w:w="1835" w:type="dxa"/>
          </w:tcPr>
          <w:p w14:paraId="60631959" w14:textId="77777777" w:rsidR="009D03B9" w:rsidRDefault="009D03B9" w:rsidP="0005437F">
            <w:pPr>
              <w:jc w:val="center"/>
              <w:rPr>
                <w:b/>
                <w:bCs/>
              </w:rPr>
            </w:pPr>
            <w:r>
              <w:rPr>
                <w:b/>
                <w:bCs/>
              </w:rPr>
              <w:t>Ph</w:t>
            </w:r>
          </w:p>
        </w:tc>
        <w:tc>
          <w:tcPr>
            <w:tcW w:w="1558" w:type="dxa"/>
          </w:tcPr>
          <w:p w14:paraId="54D05774" w14:textId="77777777" w:rsidR="009D03B9" w:rsidRDefault="009D03B9" w:rsidP="0005437F">
            <w:pPr>
              <w:jc w:val="center"/>
              <w:rPr>
                <w:b/>
                <w:bCs/>
              </w:rPr>
            </w:pPr>
            <w:r>
              <w:rPr>
                <w:b/>
                <w:bCs/>
              </w:rPr>
              <w:t>6.25</w:t>
            </w:r>
          </w:p>
        </w:tc>
        <w:tc>
          <w:tcPr>
            <w:tcW w:w="1558" w:type="dxa"/>
          </w:tcPr>
          <w:p w14:paraId="57B7DB19" w14:textId="77777777" w:rsidR="009D03B9" w:rsidRDefault="009D03B9" w:rsidP="0005437F">
            <w:pPr>
              <w:jc w:val="center"/>
              <w:rPr>
                <w:b/>
                <w:bCs/>
              </w:rPr>
            </w:pPr>
            <w:r>
              <w:rPr>
                <w:b/>
                <w:bCs/>
              </w:rPr>
              <w:t>7.16</w:t>
            </w:r>
          </w:p>
        </w:tc>
        <w:tc>
          <w:tcPr>
            <w:tcW w:w="1559" w:type="dxa"/>
          </w:tcPr>
          <w:p w14:paraId="435D45BE" w14:textId="77777777" w:rsidR="009D03B9" w:rsidRDefault="009D03B9" w:rsidP="0005437F">
            <w:pPr>
              <w:jc w:val="center"/>
              <w:rPr>
                <w:b/>
                <w:bCs/>
              </w:rPr>
            </w:pPr>
            <w:r>
              <w:rPr>
                <w:b/>
                <w:bCs/>
              </w:rPr>
              <w:t>6.43</w:t>
            </w:r>
          </w:p>
        </w:tc>
        <w:tc>
          <w:tcPr>
            <w:tcW w:w="1559" w:type="dxa"/>
          </w:tcPr>
          <w:p w14:paraId="6C4966EF" w14:textId="77777777" w:rsidR="009D03B9" w:rsidRDefault="009D03B9" w:rsidP="0005437F">
            <w:pPr>
              <w:jc w:val="center"/>
              <w:rPr>
                <w:b/>
                <w:bCs/>
              </w:rPr>
            </w:pPr>
            <w:r>
              <w:rPr>
                <w:b/>
                <w:bCs/>
              </w:rPr>
              <w:t>6.87</w:t>
            </w:r>
          </w:p>
        </w:tc>
      </w:tr>
      <w:tr w:rsidR="009D03B9" w14:paraId="548BE87B" w14:textId="77777777" w:rsidTr="0005437F">
        <w:tc>
          <w:tcPr>
            <w:tcW w:w="1558" w:type="dxa"/>
          </w:tcPr>
          <w:p w14:paraId="065813FD" w14:textId="77777777" w:rsidR="009D03B9" w:rsidRDefault="009D03B9" w:rsidP="0005437F">
            <w:pPr>
              <w:jc w:val="center"/>
              <w:rPr>
                <w:b/>
                <w:bCs/>
              </w:rPr>
            </w:pPr>
            <w:r>
              <w:rPr>
                <w:b/>
                <w:bCs/>
              </w:rPr>
              <w:t>3</w:t>
            </w:r>
          </w:p>
        </w:tc>
        <w:tc>
          <w:tcPr>
            <w:tcW w:w="1835" w:type="dxa"/>
          </w:tcPr>
          <w:p w14:paraId="7C038F19" w14:textId="77777777" w:rsidR="009D03B9" w:rsidRDefault="009D03B9" w:rsidP="0005437F">
            <w:pPr>
              <w:jc w:val="center"/>
              <w:rPr>
                <w:b/>
                <w:bCs/>
              </w:rPr>
            </w:pPr>
            <w:r>
              <w:rPr>
                <w:b/>
                <w:bCs/>
              </w:rPr>
              <w:t>COLOR (HU)</w:t>
            </w:r>
          </w:p>
        </w:tc>
        <w:tc>
          <w:tcPr>
            <w:tcW w:w="1558" w:type="dxa"/>
          </w:tcPr>
          <w:p w14:paraId="2F95A925" w14:textId="77777777" w:rsidR="009D03B9" w:rsidRDefault="009D03B9" w:rsidP="0005437F">
            <w:pPr>
              <w:jc w:val="center"/>
              <w:rPr>
                <w:b/>
                <w:bCs/>
              </w:rPr>
            </w:pPr>
            <w:r>
              <w:rPr>
                <w:b/>
                <w:bCs/>
              </w:rPr>
              <w:t>7</w:t>
            </w:r>
          </w:p>
        </w:tc>
        <w:tc>
          <w:tcPr>
            <w:tcW w:w="1558" w:type="dxa"/>
          </w:tcPr>
          <w:p w14:paraId="1B86BC0C" w14:textId="77777777" w:rsidR="009D03B9" w:rsidRDefault="009D03B9" w:rsidP="0005437F">
            <w:pPr>
              <w:jc w:val="center"/>
              <w:rPr>
                <w:b/>
                <w:bCs/>
              </w:rPr>
            </w:pPr>
            <w:r>
              <w:rPr>
                <w:b/>
                <w:bCs/>
              </w:rPr>
              <w:t>5</w:t>
            </w:r>
          </w:p>
        </w:tc>
        <w:tc>
          <w:tcPr>
            <w:tcW w:w="1559" w:type="dxa"/>
          </w:tcPr>
          <w:p w14:paraId="1AE8D667" w14:textId="77777777" w:rsidR="009D03B9" w:rsidRDefault="009D03B9" w:rsidP="0005437F">
            <w:pPr>
              <w:jc w:val="center"/>
              <w:rPr>
                <w:b/>
                <w:bCs/>
              </w:rPr>
            </w:pPr>
            <w:r>
              <w:rPr>
                <w:b/>
                <w:bCs/>
              </w:rPr>
              <w:t>7</w:t>
            </w:r>
          </w:p>
        </w:tc>
        <w:tc>
          <w:tcPr>
            <w:tcW w:w="1559" w:type="dxa"/>
          </w:tcPr>
          <w:p w14:paraId="7175F02D" w14:textId="77777777" w:rsidR="009D03B9" w:rsidRDefault="009D03B9" w:rsidP="0005437F">
            <w:pPr>
              <w:jc w:val="center"/>
              <w:rPr>
                <w:b/>
                <w:bCs/>
              </w:rPr>
            </w:pPr>
            <w:r>
              <w:rPr>
                <w:b/>
                <w:bCs/>
              </w:rPr>
              <w:t>5</w:t>
            </w:r>
          </w:p>
        </w:tc>
      </w:tr>
      <w:tr w:rsidR="009D03B9" w14:paraId="09BC0BAA" w14:textId="77777777" w:rsidTr="0005437F">
        <w:tc>
          <w:tcPr>
            <w:tcW w:w="1558" w:type="dxa"/>
          </w:tcPr>
          <w:p w14:paraId="16629386" w14:textId="77777777" w:rsidR="009D03B9" w:rsidRDefault="009D03B9" w:rsidP="0005437F">
            <w:pPr>
              <w:jc w:val="center"/>
              <w:rPr>
                <w:b/>
                <w:bCs/>
              </w:rPr>
            </w:pPr>
            <w:r>
              <w:rPr>
                <w:b/>
                <w:bCs/>
              </w:rPr>
              <w:t>4</w:t>
            </w:r>
          </w:p>
        </w:tc>
        <w:tc>
          <w:tcPr>
            <w:tcW w:w="1835" w:type="dxa"/>
          </w:tcPr>
          <w:p w14:paraId="5EC2312D" w14:textId="77777777" w:rsidR="009D03B9" w:rsidRDefault="009D03B9" w:rsidP="0005437F">
            <w:pPr>
              <w:jc w:val="center"/>
              <w:rPr>
                <w:b/>
                <w:bCs/>
              </w:rPr>
            </w:pPr>
            <w:r>
              <w:rPr>
                <w:b/>
                <w:bCs/>
              </w:rPr>
              <w:t>TDS (mg/l)</w:t>
            </w:r>
          </w:p>
        </w:tc>
        <w:tc>
          <w:tcPr>
            <w:tcW w:w="1558" w:type="dxa"/>
          </w:tcPr>
          <w:p w14:paraId="5AE57FB6" w14:textId="77777777" w:rsidR="009D03B9" w:rsidRDefault="009D03B9" w:rsidP="0005437F">
            <w:pPr>
              <w:jc w:val="center"/>
              <w:rPr>
                <w:b/>
                <w:bCs/>
              </w:rPr>
            </w:pPr>
            <w:r>
              <w:rPr>
                <w:b/>
                <w:bCs/>
              </w:rPr>
              <w:t>264.0</w:t>
            </w:r>
          </w:p>
        </w:tc>
        <w:tc>
          <w:tcPr>
            <w:tcW w:w="1558" w:type="dxa"/>
          </w:tcPr>
          <w:p w14:paraId="31614654" w14:textId="77777777" w:rsidR="009D03B9" w:rsidRDefault="009D03B9" w:rsidP="0005437F">
            <w:pPr>
              <w:jc w:val="center"/>
              <w:rPr>
                <w:b/>
                <w:bCs/>
              </w:rPr>
            </w:pPr>
            <w:r>
              <w:rPr>
                <w:b/>
                <w:bCs/>
              </w:rPr>
              <w:t>192.0</w:t>
            </w:r>
          </w:p>
        </w:tc>
        <w:tc>
          <w:tcPr>
            <w:tcW w:w="1559" w:type="dxa"/>
          </w:tcPr>
          <w:p w14:paraId="7BD3DCDA" w14:textId="77777777" w:rsidR="009D03B9" w:rsidRDefault="009D03B9" w:rsidP="0005437F">
            <w:pPr>
              <w:jc w:val="center"/>
              <w:rPr>
                <w:b/>
                <w:bCs/>
              </w:rPr>
            </w:pPr>
            <w:r>
              <w:rPr>
                <w:b/>
                <w:bCs/>
              </w:rPr>
              <w:t>252.0</w:t>
            </w:r>
          </w:p>
        </w:tc>
        <w:tc>
          <w:tcPr>
            <w:tcW w:w="1559" w:type="dxa"/>
          </w:tcPr>
          <w:p w14:paraId="09CC9D52" w14:textId="77777777" w:rsidR="009D03B9" w:rsidRDefault="009D03B9" w:rsidP="0005437F">
            <w:pPr>
              <w:jc w:val="center"/>
              <w:rPr>
                <w:b/>
                <w:bCs/>
              </w:rPr>
            </w:pPr>
            <w:r>
              <w:rPr>
                <w:b/>
                <w:bCs/>
              </w:rPr>
              <w:t>-</w:t>
            </w:r>
          </w:p>
        </w:tc>
      </w:tr>
      <w:tr w:rsidR="009D03B9" w14:paraId="4EB44F72" w14:textId="77777777" w:rsidTr="0005437F">
        <w:tc>
          <w:tcPr>
            <w:tcW w:w="1558" w:type="dxa"/>
          </w:tcPr>
          <w:p w14:paraId="0E182711" w14:textId="77777777" w:rsidR="009D03B9" w:rsidRDefault="009D03B9" w:rsidP="0005437F">
            <w:pPr>
              <w:jc w:val="center"/>
              <w:rPr>
                <w:b/>
                <w:bCs/>
              </w:rPr>
            </w:pPr>
            <w:r>
              <w:rPr>
                <w:b/>
                <w:bCs/>
              </w:rPr>
              <w:t>5</w:t>
            </w:r>
          </w:p>
        </w:tc>
        <w:tc>
          <w:tcPr>
            <w:tcW w:w="1835" w:type="dxa"/>
          </w:tcPr>
          <w:p w14:paraId="4F9F7464" w14:textId="77777777" w:rsidR="009D03B9" w:rsidRDefault="009D03B9" w:rsidP="0005437F">
            <w:pPr>
              <w:jc w:val="center"/>
              <w:rPr>
                <w:b/>
                <w:bCs/>
              </w:rPr>
            </w:pPr>
            <w:r>
              <w:rPr>
                <w:b/>
                <w:bCs/>
              </w:rPr>
              <w:t>LEAD (mg/l)</w:t>
            </w:r>
          </w:p>
        </w:tc>
        <w:tc>
          <w:tcPr>
            <w:tcW w:w="1558" w:type="dxa"/>
          </w:tcPr>
          <w:p w14:paraId="33410987" w14:textId="77777777" w:rsidR="009D03B9" w:rsidRDefault="009D03B9" w:rsidP="0005437F">
            <w:pPr>
              <w:jc w:val="center"/>
              <w:rPr>
                <w:b/>
                <w:bCs/>
              </w:rPr>
            </w:pPr>
            <w:r>
              <w:rPr>
                <w:b/>
                <w:bCs/>
              </w:rPr>
              <w:t>0.15</w:t>
            </w:r>
          </w:p>
        </w:tc>
        <w:tc>
          <w:tcPr>
            <w:tcW w:w="1558" w:type="dxa"/>
          </w:tcPr>
          <w:p w14:paraId="61175AC8" w14:textId="77777777" w:rsidR="009D03B9" w:rsidRDefault="009D03B9" w:rsidP="0005437F">
            <w:pPr>
              <w:jc w:val="center"/>
              <w:rPr>
                <w:b/>
                <w:bCs/>
              </w:rPr>
            </w:pPr>
            <w:r>
              <w:rPr>
                <w:b/>
                <w:bCs/>
              </w:rPr>
              <w:t>0.00</w:t>
            </w:r>
          </w:p>
        </w:tc>
        <w:tc>
          <w:tcPr>
            <w:tcW w:w="1559" w:type="dxa"/>
          </w:tcPr>
          <w:p w14:paraId="58028338" w14:textId="77777777" w:rsidR="009D03B9" w:rsidRDefault="009D03B9" w:rsidP="0005437F">
            <w:pPr>
              <w:jc w:val="center"/>
              <w:rPr>
                <w:b/>
                <w:bCs/>
              </w:rPr>
            </w:pPr>
            <w:r>
              <w:rPr>
                <w:b/>
                <w:bCs/>
              </w:rPr>
              <w:t>0.10</w:t>
            </w:r>
          </w:p>
        </w:tc>
        <w:tc>
          <w:tcPr>
            <w:tcW w:w="1559" w:type="dxa"/>
          </w:tcPr>
          <w:p w14:paraId="7370F001" w14:textId="77777777" w:rsidR="009D03B9" w:rsidRDefault="009D03B9" w:rsidP="0005437F">
            <w:pPr>
              <w:jc w:val="center"/>
              <w:rPr>
                <w:b/>
                <w:bCs/>
              </w:rPr>
            </w:pPr>
            <w:r>
              <w:rPr>
                <w:b/>
                <w:bCs/>
              </w:rPr>
              <w:t>0.00</w:t>
            </w:r>
          </w:p>
        </w:tc>
      </w:tr>
      <w:tr w:rsidR="009D03B9" w14:paraId="29628958" w14:textId="77777777" w:rsidTr="0005437F">
        <w:tc>
          <w:tcPr>
            <w:tcW w:w="1558" w:type="dxa"/>
          </w:tcPr>
          <w:p w14:paraId="7658B6A1" w14:textId="77777777" w:rsidR="009D03B9" w:rsidRDefault="009D03B9" w:rsidP="0005437F">
            <w:pPr>
              <w:jc w:val="center"/>
              <w:rPr>
                <w:b/>
                <w:bCs/>
              </w:rPr>
            </w:pPr>
            <w:r>
              <w:rPr>
                <w:b/>
                <w:bCs/>
              </w:rPr>
              <w:t>6</w:t>
            </w:r>
          </w:p>
        </w:tc>
        <w:tc>
          <w:tcPr>
            <w:tcW w:w="1835" w:type="dxa"/>
          </w:tcPr>
          <w:p w14:paraId="4463461C" w14:textId="77777777" w:rsidR="009D03B9" w:rsidRDefault="009D03B9" w:rsidP="0005437F">
            <w:pPr>
              <w:jc w:val="center"/>
              <w:rPr>
                <w:b/>
                <w:bCs/>
              </w:rPr>
            </w:pPr>
            <w:r>
              <w:rPr>
                <w:b/>
                <w:bCs/>
              </w:rPr>
              <w:t>CADMIUM (mg/l)</w:t>
            </w:r>
          </w:p>
        </w:tc>
        <w:tc>
          <w:tcPr>
            <w:tcW w:w="1558" w:type="dxa"/>
          </w:tcPr>
          <w:p w14:paraId="2F857152" w14:textId="77777777" w:rsidR="009D03B9" w:rsidRDefault="009D03B9" w:rsidP="0005437F">
            <w:pPr>
              <w:jc w:val="center"/>
              <w:rPr>
                <w:b/>
                <w:bCs/>
              </w:rPr>
            </w:pPr>
            <w:r>
              <w:rPr>
                <w:b/>
                <w:bCs/>
              </w:rPr>
              <w:t>0.005</w:t>
            </w:r>
          </w:p>
        </w:tc>
        <w:tc>
          <w:tcPr>
            <w:tcW w:w="1558" w:type="dxa"/>
          </w:tcPr>
          <w:p w14:paraId="2D5925C4" w14:textId="77777777" w:rsidR="009D03B9" w:rsidRDefault="009D03B9" w:rsidP="0005437F">
            <w:pPr>
              <w:jc w:val="center"/>
              <w:rPr>
                <w:b/>
                <w:bCs/>
              </w:rPr>
            </w:pPr>
            <w:r>
              <w:rPr>
                <w:b/>
                <w:bCs/>
              </w:rPr>
              <w:t>0.001</w:t>
            </w:r>
          </w:p>
        </w:tc>
        <w:tc>
          <w:tcPr>
            <w:tcW w:w="1559" w:type="dxa"/>
          </w:tcPr>
          <w:p w14:paraId="500A94E9" w14:textId="77777777" w:rsidR="009D03B9" w:rsidRDefault="009D03B9" w:rsidP="0005437F">
            <w:pPr>
              <w:jc w:val="center"/>
              <w:rPr>
                <w:b/>
                <w:bCs/>
              </w:rPr>
            </w:pPr>
            <w:r>
              <w:rPr>
                <w:b/>
                <w:bCs/>
              </w:rPr>
              <w:t>0.003</w:t>
            </w:r>
          </w:p>
        </w:tc>
        <w:tc>
          <w:tcPr>
            <w:tcW w:w="1559" w:type="dxa"/>
          </w:tcPr>
          <w:p w14:paraId="40FF9E23" w14:textId="77777777" w:rsidR="009D03B9" w:rsidRDefault="009D03B9" w:rsidP="0005437F">
            <w:pPr>
              <w:jc w:val="center"/>
              <w:rPr>
                <w:b/>
                <w:bCs/>
              </w:rPr>
            </w:pPr>
            <w:r>
              <w:rPr>
                <w:b/>
                <w:bCs/>
              </w:rPr>
              <w:t>0.00</w:t>
            </w:r>
          </w:p>
        </w:tc>
      </w:tr>
      <w:tr w:rsidR="009D03B9" w14:paraId="61E3A5FB" w14:textId="77777777" w:rsidTr="0005437F">
        <w:tc>
          <w:tcPr>
            <w:tcW w:w="1558" w:type="dxa"/>
          </w:tcPr>
          <w:p w14:paraId="443BCCA3" w14:textId="77777777" w:rsidR="009D03B9" w:rsidRDefault="009D03B9" w:rsidP="0005437F">
            <w:pPr>
              <w:jc w:val="center"/>
              <w:rPr>
                <w:b/>
                <w:bCs/>
              </w:rPr>
            </w:pPr>
            <w:r>
              <w:rPr>
                <w:b/>
                <w:bCs/>
              </w:rPr>
              <w:t>7</w:t>
            </w:r>
          </w:p>
        </w:tc>
        <w:tc>
          <w:tcPr>
            <w:tcW w:w="1835" w:type="dxa"/>
          </w:tcPr>
          <w:p w14:paraId="4526509F" w14:textId="77777777" w:rsidR="009D03B9" w:rsidRDefault="009D03B9" w:rsidP="0005437F">
            <w:pPr>
              <w:jc w:val="center"/>
              <w:rPr>
                <w:b/>
                <w:bCs/>
              </w:rPr>
            </w:pPr>
            <w:r>
              <w:rPr>
                <w:b/>
                <w:bCs/>
              </w:rPr>
              <w:t>COLIFORM</w:t>
            </w:r>
          </w:p>
        </w:tc>
        <w:tc>
          <w:tcPr>
            <w:tcW w:w="1558" w:type="dxa"/>
          </w:tcPr>
          <w:p w14:paraId="69EFC192" w14:textId="77777777" w:rsidR="009D03B9" w:rsidRDefault="009D03B9" w:rsidP="0005437F">
            <w:pPr>
              <w:jc w:val="center"/>
              <w:rPr>
                <w:b/>
                <w:bCs/>
              </w:rPr>
            </w:pPr>
            <w:r>
              <w:rPr>
                <w:b/>
                <w:bCs/>
              </w:rPr>
              <w:t>180*</w:t>
            </w:r>
          </w:p>
        </w:tc>
        <w:tc>
          <w:tcPr>
            <w:tcW w:w="1558" w:type="dxa"/>
          </w:tcPr>
          <w:p w14:paraId="2DE1E7C4" w14:textId="77777777" w:rsidR="009D03B9" w:rsidRDefault="009D03B9" w:rsidP="0005437F">
            <w:pPr>
              <w:jc w:val="center"/>
              <w:rPr>
                <w:b/>
                <w:bCs/>
              </w:rPr>
            </w:pPr>
            <w:r>
              <w:rPr>
                <w:b/>
                <w:bCs/>
              </w:rPr>
              <w:t>58</w:t>
            </w:r>
          </w:p>
        </w:tc>
        <w:tc>
          <w:tcPr>
            <w:tcW w:w="1559" w:type="dxa"/>
          </w:tcPr>
          <w:p w14:paraId="4E8508FE" w14:textId="77777777" w:rsidR="009D03B9" w:rsidRDefault="009D03B9" w:rsidP="0005437F">
            <w:pPr>
              <w:jc w:val="center"/>
              <w:rPr>
                <w:b/>
                <w:bCs/>
              </w:rPr>
            </w:pPr>
            <w:r>
              <w:rPr>
                <w:b/>
                <w:bCs/>
              </w:rPr>
              <w:t>180*</w:t>
            </w:r>
          </w:p>
        </w:tc>
        <w:tc>
          <w:tcPr>
            <w:tcW w:w="1559" w:type="dxa"/>
          </w:tcPr>
          <w:p w14:paraId="60B6DA5A" w14:textId="77777777" w:rsidR="009D03B9" w:rsidRDefault="009D03B9" w:rsidP="0005437F">
            <w:pPr>
              <w:jc w:val="center"/>
              <w:rPr>
                <w:b/>
                <w:bCs/>
              </w:rPr>
            </w:pPr>
            <w:r>
              <w:rPr>
                <w:b/>
                <w:bCs/>
              </w:rPr>
              <w:t>64</w:t>
            </w:r>
          </w:p>
        </w:tc>
      </w:tr>
      <w:tr w:rsidR="009D03B9" w14:paraId="473BA826" w14:textId="77777777" w:rsidTr="0005437F">
        <w:tc>
          <w:tcPr>
            <w:tcW w:w="1558" w:type="dxa"/>
          </w:tcPr>
          <w:p w14:paraId="75636E9D" w14:textId="77777777" w:rsidR="009D03B9" w:rsidRDefault="009D03B9" w:rsidP="0005437F">
            <w:pPr>
              <w:jc w:val="center"/>
              <w:rPr>
                <w:b/>
                <w:bCs/>
              </w:rPr>
            </w:pPr>
            <w:r>
              <w:rPr>
                <w:b/>
                <w:bCs/>
              </w:rPr>
              <w:t>8</w:t>
            </w:r>
          </w:p>
        </w:tc>
        <w:tc>
          <w:tcPr>
            <w:tcW w:w="1835" w:type="dxa"/>
          </w:tcPr>
          <w:p w14:paraId="0297747A" w14:textId="77777777" w:rsidR="009D03B9" w:rsidRDefault="009D03B9" w:rsidP="0005437F">
            <w:pPr>
              <w:jc w:val="center"/>
              <w:rPr>
                <w:b/>
                <w:bCs/>
              </w:rPr>
            </w:pPr>
            <w:r>
              <w:rPr>
                <w:b/>
                <w:bCs/>
              </w:rPr>
              <w:t>E. COLI</w:t>
            </w:r>
          </w:p>
        </w:tc>
        <w:tc>
          <w:tcPr>
            <w:tcW w:w="1558" w:type="dxa"/>
          </w:tcPr>
          <w:p w14:paraId="075C0E1E" w14:textId="77777777" w:rsidR="009D03B9" w:rsidRDefault="009D03B9" w:rsidP="0005437F">
            <w:pPr>
              <w:jc w:val="center"/>
              <w:rPr>
                <w:b/>
                <w:bCs/>
              </w:rPr>
            </w:pPr>
            <w:r>
              <w:rPr>
                <w:b/>
                <w:bCs/>
              </w:rPr>
              <w:t>5</w:t>
            </w:r>
          </w:p>
        </w:tc>
        <w:tc>
          <w:tcPr>
            <w:tcW w:w="1558" w:type="dxa"/>
          </w:tcPr>
          <w:p w14:paraId="7196454D" w14:textId="77777777" w:rsidR="009D03B9" w:rsidRDefault="009D03B9" w:rsidP="0005437F">
            <w:pPr>
              <w:jc w:val="center"/>
              <w:rPr>
                <w:b/>
                <w:bCs/>
              </w:rPr>
            </w:pPr>
            <w:r>
              <w:rPr>
                <w:b/>
                <w:bCs/>
              </w:rPr>
              <w:t>NIL</w:t>
            </w:r>
          </w:p>
        </w:tc>
        <w:tc>
          <w:tcPr>
            <w:tcW w:w="1559" w:type="dxa"/>
          </w:tcPr>
          <w:p w14:paraId="2CED98D8" w14:textId="77777777" w:rsidR="009D03B9" w:rsidRDefault="009D03B9" w:rsidP="0005437F">
            <w:pPr>
              <w:jc w:val="center"/>
              <w:rPr>
                <w:b/>
                <w:bCs/>
              </w:rPr>
            </w:pPr>
            <w:r>
              <w:rPr>
                <w:b/>
                <w:bCs/>
              </w:rPr>
              <w:t>NUMEROUS</w:t>
            </w:r>
          </w:p>
        </w:tc>
        <w:tc>
          <w:tcPr>
            <w:tcW w:w="1559" w:type="dxa"/>
          </w:tcPr>
          <w:p w14:paraId="320D672B" w14:textId="77777777" w:rsidR="009D03B9" w:rsidRDefault="009D03B9" w:rsidP="0005437F">
            <w:pPr>
              <w:jc w:val="center"/>
              <w:rPr>
                <w:b/>
                <w:bCs/>
              </w:rPr>
            </w:pPr>
            <w:r>
              <w:rPr>
                <w:b/>
                <w:bCs/>
              </w:rPr>
              <w:t>NIL</w:t>
            </w:r>
          </w:p>
        </w:tc>
      </w:tr>
    </w:tbl>
    <w:p w14:paraId="56AE973D" w14:textId="77777777" w:rsidR="009D03B9" w:rsidRDefault="009D03B9" w:rsidP="009D03B9"/>
    <w:p w14:paraId="02ECEC69" w14:textId="77777777" w:rsidR="009D03B9" w:rsidRDefault="009D03B9" w:rsidP="009D03B9"/>
    <w:p w14:paraId="5636252D" w14:textId="77777777" w:rsidR="009D03B9" w:rsidRPr="00031EC3" w:rsidRDefault="009D03B9" w:rsidP="009D03B9"/>
    <w:p w14:paraId="763D0F8E" w14:textId="77777777" w:rsidR="009D03B9" w:rsidRDefault="009D03B9" w:rsidP="009D03B9">
      <w:pPr>
        <w:jc w:val="center"/>
        <w:rPr>
          <w:b/>
          <w:bCs/>
        </w:rPr>
      </w:pPr>
    </w:p>
    <w:p w14:paraId="1F8AB41F" w14:textId="77777777" w:rsidR="009D03B9" w:rsidRDefault="009D03B9" w:rsidP="009D03B9">
      <w:pPr>
        <w:jc w:val="center"/>
        <w:rPr>
          <w:b/>
          <w:bCs/>
        </w:rPr>
      </w:pPr>
    </w:p>
    <w:p w14:paraId="272CD4B7" w14:textId="77777777" w:rsidR="009D03B9" w:rsidRDefault="009D03B9" w:rsidP="009D03B9">
      <w:pPr>
        <w:jc w:val="center"/>
        <w:rPr>
          <w:b/>
          <w:bCs/>
        </w:rPr>
      </w:pPr>
    </w:p>
    <w:p w14:paraId="7DE946F2" w14:textId="77777777" w:rsidR="009D03B9" w:rsidRDefault="009D03B9" w:rsidP="009D03B9">
      <w:pPr>
        <w:jc w:val="center"/>
        <w:rPr>
          <w:b/>
          <w:bCs/>
        </w:rPr>
      </w:pPr>
    </w:p>
    <w:p w14:paraId="7953A347" w14:textId="77777777" w:rsidR="009D03B9" w:rsidRDefault="009D03B9" w:rsidP="009D03B9">
      <w:pPr>
        <w:jc w:val="center"/>
        <w:rPr>
          <w:b/>
          <w:bCs/>
        </w:rPr>
      </w:pPr>
    </w:p>
    <w:p w14:paraId="18ABD441" w14:textId="77777777" w:rsidR="009D03B9" w:rsidRDefault="009D03B9" w:rsidP="009D03B9">
      <w:pPr>
        <w:pStyle w:val="ListParagraph"/>
        <w:numPr>
          <w:ilvl w:val="0"/>
          <w:numId w:val="1"/>
        </w:numPr>
      </w:pPr>
      <w:r w:rsidRPr="00031EC3">
        <w:t>Physical Parameters</w:t>
      </w:r>
    </w:p>
    <w:p w14:paraId="12FA8607" w14:textId="77777777" w:rsidR="009D03B9" w:rsidRDefault="009D03B9" w:rsidP="009D03B9">
      <w:pPr>
        <w:pStyle w:val="ListParagraph"/>
        <w:numPr>
          <w:ilvl w:val="0"/>
          <w:numId w:val="2"/>
        </w:numPr>
      </w:pPr>
      <w:r w:rsidRPr="00031EC3">
        <w:t>Temperature values across all samples ranged within the acceptable range (20–30°C). However, slight elevation in temperature during the dry season was noted, likely due to higher ambient temperatures.</w:t>
      </w:r>
    </w:p>
    <w:p w14:paraId="2FF467CD" w14:textId="77777777" w:rsidR="009D03B9" w:rsidRDefault="009D03B9" w:rsidP="009D03B9">
      <w:pPr>
        <w:pStyle w:val="ListParagraph"/>
        <w:numPr>
          <w:ilvl w:val="0"/>
          <w:numId w:val="2"/>
        </w:numPr>
      </w:pPr>
      <w:r w:rsidRPr="00031EC3">
        <w:t>Turbidity levels in hand-dug wells were significantly higher than in boreholes, particularly during the rainy season, exceeding WHO’s recommended limit of 5 NTU in some wells. This suggests surface runoff and poor sanitation practices near the wells.</w:t>
      </w:r>
    </w:p>
    <w:p w14:paraId="4E3EF239" w14:textId="77777777" w:rsidR="009D03B9" w:rsidRDefault="009D03B9" w:rsidP="009D03B9">
      <w:pPr>
        <w:pStyle w:val="ListParagraph"/>
        <w:numPr>
          <w:ilvl w:val="0"/>
          <w:numId w:val="2"/>
        </w:numPr>
      </w:pPr>
      <w:r w:rsidRPr="00031EC3">
        <w:t>Total Dissolved Solids (TDS) and Electrical Conductivity (EC) values were generally within permissible limits, but slightly higher values were recorded in the dry season due to concentration effects from lower water tables.</w:t>
      </w:r>
    </w:p>
    <w:p w14:paraId="5FDF4ADF" w14:textId="77777777" w:rsidR="009D03B9" w:rsidRDefault="009D03B9" w:rsidP="009D03B9">
      <w:pPr>
        <w:pStyle w:val="ListParagraph"/>
        <w:numPr>
          <w:ilvl w:val="0"/>
          <w:numId w:val="1"/>
        </w:numPr>
      </w:pPr>
      <w:r>
        <w:t>Chemical Parameters</w:t>
      </w:r>
    </w:p>
    <w:p w14:paraId="144848DF" w14:textId="77777777" w:rsidR="009D03B9" w:rsidRDefault="009D03B9" w:rsidP="009D03B9">
      <w:pPr>
        <w:pStyle w:val="ListParagraph"/>
        <w:numPr>
          <w:ilvl w:val="0"/>
          <w:numId w:val="3"/>
        </w:numPr>
      </w:pPr>
      <w:r>
        <w:t>pH levels ranged from slightly acidic (below 6.5) in some hand-dug wells to neutral or slightly alkaline in boreholes. Water with pH below 6.5 may cause corrosion of pipes and is less palatable.</w:t>
      </w:r>
    </w:p>
    <w:p w14:paraId="34205027" w14:textId="77777777" w:rsidR="009D03B9" w:rsidRDefault="009D03B9" w:rsidP="009D03B9">
      <w:pPr>
        <w:pStyle w:val="ListParagraph"/>
        <w:numPr>
          <w:ilvl w:val="0"/>
          <w:numId w:val="3"/>
        </w:numPr>
      </w:pPr>
      <w:r>
        <w:t>Nitrate (NO</w:t>
      </w:r>
      <w:r w:rsidRPr="00603211">
        <w:rPr>
          <w:rFonts w:ascii="Cambria Math" w:hAnsi="Cambria Math" w:cs="Cambria Math"/>
        </w:rPr>
        <w:t>₃⁻</w:t>
      </w:r>
      <w:r>
        <w:t>) concentrations in a few hand-dug wells exceeded the WHO guideline of 50 mg/L, indicating possible contamination from latrines, septic tanks, or agricultural runoff.</w:t>
      </w:r>
    </w:p>
    <w:p w14:paraId="56AFCA66" w14:textId="77777777" w:rsidR="009D03B9" w:rsidRDefault="009D03B9" w:rsidP="009D03B9">
      <w:pPr>
        <w:pStyle w:val="ListParagraph"/>
        <w:numPr>
          <w:ilvl w:val="0"/>
          <w:numId w:val="3"/>
        </w:numPr>
      </w:pPr>
      <w:r>
        <w:t>Chloride (Cl</w:t>
      </w:r>
      <w:r w:rsidRPr="00603211">
        <w:rPr>
          <w:rFonts w:ascii="Cambria Math" w:hAnsi="Cambria Math" w:cs="Cambria Math"/>
        </w:rPr>
        <w:t>⁻</w:t>
      </w:r>
      <w:r>
        <w:t>) and sulphate (SO</w:t>
      </w:r>
      <w:r w:rsidRPr="00603211">
        <w:rPr>
          <w:rFonts w:ascii="Cambria Math" w:hAnsi="Cambria Math" w:cs="Cambria Math"/>
        </w:rPr>
        <w:t>₄</w:t>
      </w:r>
      <w:r w:rsidRPr="00603211">
        <w:rPr>
          <w:rFonts w:ascii="Rockwell" w:hAnsi="Rockwell" w:cs="Rockwell"/>
        </w:rPr>
        <w:t>²</w:t>
      </w:r>
      <w:r w:rsidRPr="00603211">
        <w:rPr>
          <w:rFonts w:ascii="Cambria Math" w:hAnsi="Cambria Math" w:cs="Cambria Math"/>
        </w:rPr>
        <w:t>⁻</w:t>
      </w:r>
      <w:r>
        <w:t>) levels were mostly within acceptable limits but showed higher values in boreholes located near waste dumps and abattoirs.</w:t>
      </w:r>
    </w:p>
    <w:p w14:paraId="30F489EA" w14:textId="77777777" w:rsidR="009D03B9" w:rsidRDefault="009D03B9" w:rsidP="009D03B9">
      <w:pPr>
        <w:pStyle w:val="ListParagraph"/>
        <w:numPr>
          <w:ilvl w:val="0"/>
          <w:numId w:val="3"/>
        </w:numPr>
      </w:pPr>
      <w:r>
        <w:t>Heavy metals (e.g., iron, lead, zinc) were detected in trace amounts. Iron levels slightly exceeded permissible levels in some boreholes, likely due to geological influence, while lead was not detected in harmful concentrations in most samples.</w:t>
      </w:r>
    </w:p>
    <w:p w14:paraId="305BAE33" w14:textId="77777777" w:rsidR="009D03B9" w:rsidRDefault="009D03B9" w:rsidP="009D03B9">
      <w:pPr>
        <w:pStyle w:val="ListParagraph"/>
        <w:numPr>
          <w:ilvl w:val="0"/>
          <w:numId w:val="1"/>
        </w:numPr>
      </w:pPr>
      <w:r>
        <w:t>Microbiological Parameters</w:t>
      </w:r>
    </w:p>
    <w:p w14:paraId="4836AC59" w14:textId="77777777" w:rsidR="009D03B9" w:rsidRDefault="009D03B9" w:rsidP="009D03B9">
      <w:pPr>
        <w:pStyle w:val="ListParagraph"/>
        <w:numPr>
          <w:ilvl w:val="0"/>
          <w:numId w:val="4"/>
        </w:numPr>
      </w:pPr>
      <w:r>
        <w:t>Total coliforms and E. coli were present in nearly all hand-dug well samples, especially during the rainy season, confirming fecal contamination and the unsanitary condition of many wells.</w:t>
      </w:r>
    </w:p>
    <w:p w14:paraId="747EB9A8" w14:textId="77777777" w:rsidR="009D03B9" w:rsidRDefault="009D03B9" w:rsidP="009D03B9">
      <w:pPr>
        <w:pStyle w:val="ListParagraph"/>
        <w:numPr>
          <w:ilvl w:val="0"/>
          <w:numId w:val="4"/>
        </w:numPr>
      </w:pPr>
      <w:r>
        <w:t>Boreholes showed significantly lower microbial contamination; however, a few samples still had trace levels of coliforms, suggesting possible breaches in well construction or contamination during water retrieval or storage.</w:t>
      </w:r>
    </w:p>
    <w:p w14:paraId="3CA54E61" w14:textId="77777777" w:rsidR="009D03B9" w:rsidRDefault="009D03B9" w:rsidP="009D03B9">
      <w:pPr>
        <w:pStyle w:val="ListParagraph"/>
        <w:numPr>
          <w:ilvl w:val="0"/>
          <w:numId w:val="4"/>
        </w:numPr>
      </w:pPr>
      <w:r>
        <w:t>The presence of E. coli indicates direct fecal pollution and renders the water unsafe for drinking without treatment.</w:t>
      </w:r>
    </w:p>
    <w:p w14:paraId="2CBCABE4" w14:textId="77777777" w:rsidR="009D03B9" w:rsidRDefault="009D03B9" w:rsidP="009D03B9">
      <w:r>
        <w:t>5. Comparative Assessment</w:t>
      </w:r>
    </w:p>
    <w:p w14:paraId="5D1B1CB3" w14:textId="77777777" w:rsidR="009D03B9" w:rsidRDefault="009D03B9" w:rsidP="009D03B9"/>
    <w:p w14:paraId="7428D4D1" w14:textId="77777777" w:rsidR="009D03B9" w:rsidRDefault="009D03B9" w:rsidP="009D03B9">
      <w:pPr>
        <w:pStyle w:val="ListParagraph"/>
        <w:numPr>
          <w:ilvl w:val="0"/>
          <w:numId w:val="5"/>
        </w:numPr>
      </w:pPr>
      <w:r>
        <w:t>Borehole water was found to be of better quality, particularly in terms of microbial safety and pH stability. However, some boreholes near pollution sources showed higher chemical parameters.</w:t>
      </w:r>
    </w:p>
    <w:p w14:paraId="5D79554D" w14:textId="77777777" w:rsidR="009D03B9" w:rsidRDefault="009D03B9" w:rsidP="009D03B9">
      <w:pPr>
        <w:pStyle w:val="ListParagraph"/>
        <w:numPr>
          <w:ilvl w:val="0"/>
          <w:numId w:val="5"/>
        </w:numPr>
      </w:pPr>
      <w:r>
        <w:t>Hand-dug well water posed serious health risks, especially during the rainy season, due to high levels of coliforms, turbidity, and nitrate concentrations.</w:t>
      </w:r>
    </w:p>
    <w:p w14:paraId="12CA6316" w14:textId="77777777" w:rsidR="009D03B9" w:rsidRDefault="009D03B9" w:rsidP="009D03B9"/>
    <w:p w14:paraId="7947FCFC" w14:textId="77777777" w:rsidR="009D03B9" w:rsidRDefault="009D03B9" w:rsidP="009D03B9">
      <w:pPr>
        <w:pStyle w:val="ListParagraph"/>
        <w:numPr>
          <w:ilvl w:val="0"/>
          <w:numId w:val="1"/>
        </w:numPr>
      </w:pPr>
      <w:r>
        <w:t>Public Health and Environmental Risks</w:t>
      </w:r>
    </w:p>
    <w:p w14:paraId="59C14003" w14:textId="77777777" w:rsidR="009D03B9" w:rsidRDefault="009D03B9" w:rsidP="009D03B9">
      <w:pPr>
        <w:pStyle w:val="ListParagraph"/>
        <w:numPr>
          <w:ilvl w:val="0"/>
          <w:numId w:val="6"/>
        </w:numPr>
      </w:pPr>
      <w:r>
        <w:t xml:space="preserve">Consuming contaminated water can lead to outbreaks of diarrhea, typhoid fever, hepatitis A, and other waterborne diseases. In rural and peri-urban communities like </w:t>
      </w:r>
      <w:proofErr w:type="spellStart"/>
      <w:r>
        <w:t>Olunlade</w:t>
      </w:r>
      <w:proofErr w:type="spellEnd"/>
      <w:r>
        <w:t>, this often translates to high child mortality rates and economic losses due to healthcare costs and lost productivity.</w:t>
      </w:r>
    </w:p>
    <w:p w14:paraId="65C1A5A7" w14:textId="77777777" w:rsidR="009D03B9" w:rsidRDefault="009D03B9" w:rsidP="009D03B9">
      <w:pPr>
        <w:pStyle w:val="ListParagraph"/>
        <w:numPr>
          <w:ilvl w:val="0"/>
          <w:numId w:val="6"/>
        </w:numPr>
      </w:pPr>
      <w:r>
        <w:t>Water sources near waste dumps, pit latrines, and abattoirs pose a serious environmental hazard, especially when groundwater recharge zones are affected.</w:t>
      </w:r>
    </w:p>
    <w:p w14:paraId="50FCED74" w14:textId="77777777" w:rsidR="009D03B9" w:rsidRDefault="009D03B9" w:rsidP="009D03B9">
      <w:pPr>
        <w:pStyle w:val="ListParagraph"/>
        <w:numPr>
          <w:ilvl w:val="0"/>
          <w:numId w:val="6"/>
        </w:numPr>
      </w:pPr>
      <w:r>
        <w:t>The lack of water treatment infrastructure makes these communities highly dependent on raw water quality. Hence, source protection and public hygiene awareness are crucial.</w:t>
      </w:r>
    </w:p>
    <w:p w14:paraId="0320CCD4" w14:textId="77777777" w:rsidR="009D03B9" w:rsidRDefault="009D03B9"/>
    <w:sectPr w:rsidR="009D0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1B0A"/>
    <w:multiLevelType w:val="hybridMultilevel"/>
    <w:tmpl w:val="CE703424"/>
    <w:lvl w:ilvl="0" w:tplc="F90AB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977BF"/>
    <w:multiLevelType w:val="hybridMultilevel"/>
    <w:tmpl w:val="AF1E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01186"/>
    <w:multiLevelType w:val="hybridMultilevel"/>
    <w:tmpl w:val="02A27472"/>
    <w:lvl w:ilvl="0" w:tplc="F96A1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54AA5"/>
    <w:multiLevelType w:val="hybridMultilevel"/>
    <w:tmpl w:val="78DC1DE2"/>
    <w:lvl w:ilvl="0" w:tplc="EA985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A6998"/>
    <w:multiLevelType w:val="hybridMultilevel"/>
    <w:tmpl w:val="5AA00C5C"/>
    <w:lvl w:ilvl="0" w:tplc="B45EEF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A049EF"/>
    <w:multiLevelType w:val="hybridMultilevel"/>
    <w:tmpl w:val="99025DAA"/>
    <w:lvl w:ilvl="0" w:tplc="77B268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791571">
    <w:abstractNumId w:val="1"/>
  </w:num>
  <w:num w:numId="2" w16cid:durableId="2085057105">
    <w:abstractNumId w:val="4"/>
  </w:num>
  <w:num w:numId="3" w16cid:durableId="186213538">
    <w:abstractNumId w:val="3"/>
  </w:num>
  <w:num w:numId="4" w16cid:durableId="1080829813">
    <w:abstractNumId w:val="0"/>
  </w:num>
  <w:num w:numId="5" w16cid:durableId="116724324">
    <w:abstractNumId w:val="5"/>
  </w:num>
  <w:num w:numId="6" w16cid:durableId="1958753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B9"/>
    <w:rsid w:val="00035ADD"/>
    <w:rsid w:val="009D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C4CB"/>
  <w15:chartTrackingRefBased/>
  <w15:docId w15:val="{4C1A4692-9E72-4881-B270-33BB0D9A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B9"/>
    <w:pPr>
      <w:spacing w:line="259" w:lineRule="auto"/>
    </w:pPr>
    <w:rPr>
      <w:sz w:val="22"/>
      <w:szCs w:val="22"/>
    </w:rPr>
  </w:style>
  <w:style w:type="paragraph" w:styleId="Heading1">
    <w:name w:val="heading 1"/>
    <w:basedOn w:val="Normal"/>
    <w:next w:val="Normal"/>
    <w:link w:val="Heading1Char"/>
    <w:uiPriority w:val="9"/>
    <w:qFormat/>
    <w:rsid w:val="009D03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3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3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3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3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3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3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3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3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3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3B9"/>
    <w:rPr>
      <w:rFonts w:eastAsiaTheme="majorEastAsia" w:cstheme="majorBidi"/>
      <w:color w:val="272727" w:themeColor="text1" w:themeTint="D8"/>
    </w:rPr>
  </w:style>
  <w:style w:type="paragraph" w:styleId="Title">
    <w:name w:val="Title"/>
    <w:basedOn w:val="Normal"/>
    <w:next w:val="Normal"/>
    <w:link w:val="TitleChar"/>
    <w:uiPriority w:val="10"/>
    <w:qFormat/>
    <w:rsid w:val="009D0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3B9"/>
    <w:pPr>
      <w:spacing w:before="160"/>
      <w:jc w:val="center"/>
    </w:pPr>
    <w:rPr>
      <w:i/>
      <w:iCs/>
      <w:color w:val="404040" w:themeColor="text1" w:themeTint="BF"/>
    </w:rPr>
  </w:style>
  <w:style w:type="character" w:customStyle="1" w:styleId="QuoteChar">
    <w:name w:val="Quote Char"/>
    <w:basedOn w:val="DefaultParagraphFont"/>
    <w:link w:val="Quote"/>
    <w:uiPriority w:val="29"/>
    <w:rsid w:val="009D03B9"/>
    <w:rPr>
      <w:i/>
      <w:iCs/>
      <w:color w:val="404040" w:themeColor="text1" w:themeTint="BF"/>
    </w:rPr>
  </w:style>
  <w:style w:type="paragraph" w:styleId="ListParagraph">
    <w:name w:val="List Paragraph"/>
    <w:basedOn w:val="Normal"/>
    <w:uiPriority w:val="34"/>
    <w:qFormat/>
    <w:rsid w:val="009D03B9"/>
    <w:pPr>
      <w:ind w:left="720"/>
      <w:contextualSpacing/>
    </w:pPr>
  </w:style>
  <w:style w:type="character" w:styleId="IntenseEmphasis">
    <w:name w:val="Intense Emphasis"/>
    <w:basedOn w:val="DefaultParagraphFont"/>
    <w:uiPriority w:val="21"/>
    <w:qFormat/>
    <w:rsid w:val="009D03B9"/>
    <w:rPr>
      <w:i/>
      <w:iCs/>
      <w:color w:val="2F5496" w:themeColor="accent1" w:themeShade="BF"/>
    </w:rPr>
  </w:style>
  <w:style w:type="paragraph" w:styleId="IntenseQuote">
    <w:name w:val="Intense Quote"/>
    <w:basedOn w:val="Normal"/>
    <w:next w:val="Normal"/>
    <w:link w:val="IntenseQuoteChar"/>
    <w:uiPriority w:val="30"/>
    <w:qFormat/>
    <w:rsid w:val="009D0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3B9"/>
    <w:rPr>
      <w:i/>
      <w:iCs/>
      <w:color w:val="2F5496" w:themeColor="accent1" w:themeShade="BF"/>
    </w:rPr>
  </w:style>
  <w:style w:type="character" w:styleId="IntenseReference">
    <w:name w:val="Intense Reference"/>
    <w:basedOn w:val="DefaultParagraphFont"/>
    <w:uiPriority w:val="32"/>
    <w:qFormat/>
    <w:rsid w:val="009D03B9"/>
    <w:rPr>
      <w:b/>
      <w:bCs/>
      <w:smallCaps/>
      <w:color w:val="2F5496" w:themeColor="accent1" w:themeShade="BF"/>
      <w:spacing w:val="5"/>
    </w:rPr>
  </w:style>
  <w:style w:type="table" w:styleId="TableGrid">
    <w:name w:val="Table Grid"/>
    <w:basedOn w:val="TableNormal"/>
    <w:uiPriority w:val="39"/>
    <w:rsid w:val="009D03B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Badrudeen Temidayo</dc:creator>
  <cp:keywords/>
  <dc:description/>
  <cp:lastModifiedBy>Badrudeen Temidayo</cp:lastModifiedBy>
  <cp:revision>1</cp:revision>
  <dcterms:created xsi:type="dcterms:W3CDTF">2025-05-30T00:44:00Z</dcterms:created>
  <dcterms:modified xsi:type="dcterms:W3CDTF">2025-05-30T00:45:00Z</dcterms:modified>
</cp:coreProperties>
</file>