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28A" w:rsidRPr="00A76AD4" w:rsidRDefault="00BE728A" w:rsidP="00BE728A">
      <w:pPr>
        <w:spacing w:after="0" w:line="480" w:lineRule="auto"/>
        <w:jc w:val="center"/>
        <w:rPr>
          <w:rFonts w:ascii="Times New Roman" w:hAnsi="Times New Roman" w:cs="Times New Roman"/>
          <w:sz w:val="24"/>
          <w:szCs w:val="24"/>
        </w:rPr>
      </w:pPr>
      <w:r w:rsidRPr="00F1452E">
        <w:rPr>
          <w:rFonts w:ascii="Times New Roman" w:eastAsia="Times New Roman" w:hAnsi="Times New Roman" w:cs="Times New Roman"/>
          <w:b/>
          <w:bCs/>
          <w:szCs w:val="24"/>
        </w:rPr>
        <w:t>CHAPTER FOUR</w:t>
      </w:r>
    </w:p>
    <w:p w:rsidR="00BE728A" w:rsidRPr="009E610D" w:rsidRDefault="00BE728A" w:rsidP="00BE728A">
      <w:pPr>
        <w:pStyle w:val="Heading2"/>
        <w:spacing w:after="0" w:line="480" w:lineRule="auto"/>
        <w:ind w:left="-5"/>
        <w:jc w:val="both"/>
        <w:rPr>
          <w:rFonts w:ascii="Times New Roman" w:hAnsi="Times New Roman" w:cs="Times New Roman"/>
          <w:color w:val="auto"/>
          <w:szCs w:val="24"/>
        </w:rPr>
      </w:pPr>
      <w:r>
        <w:rPr>
          <w:rFonts w:ascii="Times New Roman" w:eastAsia="Times New Roman" w:hAnsi="Times New Roman" w:cs="Times New Roman"/>
          <w:color w:val="auto"/>
          <w:szCs w:val="24"/>
        </w:rPr>
        <w:t xml:space="preserve">4.1 DATA PRESENTATION AND ANALYSIS </w:t>
      </w:r>
    </w:p>
    <w:p w:rsidR="00BE728A" w:rsidRPr="00D52533" w:rsidRDefault="00BE728A" w:rsidP="00BE728A">
      <w:pPr>
        <w:spacing w:after="0" w:line="480" w:lineRule="auto"/>
        <w:ind w:firstLine="720"/>
        <w:jc w:val="both"/>
        <w:rPr>
          <w:rFonts w:ascii="Times New Roman" w:hAnsi="Times New Roman" w:cs="Times New Roman"/>
          <w:b/>
          <w:bCs/>
          <w:sz w:val="24"/>
          <w:szCs w:val="24"/>
        </w:rPr>
      </w:pPr>
      <w:r w:rsidRPr="007723FA">
        <w:rPr>
          <w:rFonts w:ascii="Times New Roman" w:eastAsia="Times New Roman" w:hAnsi="Times New Roman" w:cs="Times New Roman"/>
          <w:sz w:val="24"/>
          <w:szCs w:val="24"/>
        </w:rPr>
        <w:t xml:space="preserve">A total of </w:t>
      </w:r>
      <w:r>
        <w:rPr>
          <w:rFonts w:ascii="Times New Roman" w:eastAsia="Times New Roman" w:hAnsi="Times New Roman" w:cs="Times New Roman"/>
          <w:sz w:val="24"/>
          <w:szCs w:val="24"/>
        </w:rPr>
        <w:t>10</w:t>
      </w:r>
      <w:r w:rsidRPr="007723FA">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students </w:t>
      </w:r>
      <w:r w:rsidRPr="007723FA">
        <w:rPr>
          <w:rFonts w:ascii="Times New Roman" w:eastAsia="Times New Roman" w:hAnsi="Times New Roman" w:cs="Times New Roman"/>
          <w:sz w:val="24"/>
          <w:szCs w:val="24"/>
        </w:rPr>
        <w:t xml:space="preserve">of </w:t>
      </w:r>
      <w:r w:rsidRPr="007723FA">
        <w:rPr>
          <w:rFonts w:ascii="Times New Roman" w:hAnsi="Times New Roman" w:cs="Times New Roman"/>
          <w:sz w:val="24"/>
          <w:szCs w:val="24"/>
        </w:rPr>
        <w:t>Kwara</w:t>
      </w:r>
      <w:r w:rsidRPr="007723FA">
        <w:rPr>
          <w:rFonts w:ascii="Times New Roman" w:eastAsia="Times New Roman" w:hAnsi="Times New Roman" w:cs="Times New Roman"/>
          <w:sz w:val="24"/>
          <w:szCs w:val="24"/>
        </w:rPr>
        <w:t xml:space="preserve"> State </w:t>
      </w:r>
      <w:r>
        <w:rPr>
          <w:rFonts w:ascii="Times New Roman" w:eastAsia="Times New Roman" w:hAnsi="Times New Roman" w:cs="Times New Roman"/>
          <w:sz w:val="24"/>
          <w:szCs w:val="24"/>
        </w:rPr>
        <w:t xml:space="preserve">Polytechnic </w:t>
      </w:r>
      <w:r w:rsidRPr="007723FA">
        <w:rPr>
          <w:rFonts w:ascii="Times New Roman" w:eastAsia="Times New Roman" w:hAnsi="Times New Roman" w:cs="Times New Roman"/>
          <w:sz w:val="24"/>
          <w:szCs w:val="24"/>
        </w:rPr>
        <w:t>were interviewed</w:t>
      </w:r>
      <w:r w:rsidRPr="007723FA">
        <w:rPr>
          <w:rFonts w:ascii="Times New Roman" w:hAnsi="Times New Roman" w:cs="Times New Roman"/>
          <w:sz w:val="24"/>
          <w:szCs w:val="24"/>
        </w:rPr>
        <w:t xml:space="preserve">. </w:t>
      </w:r>
      <w:r w:rsidRPr="007723F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knowledge of the respondents on</w:t>
      </w:r>
      <w:r w:rsidRPr="007723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52533">
        <w:rPr>
          <w:rFonts w:ascii="Times New Roman" w:hAnsi="Times New Roman" w:cs="Times New Roman"/>
          <w:b/>
          <w:bCs/>
          <w:sz w:val="24"/>
          <w:szCs w:val="24"/>
        </w:rPr>
        <w:t xml:space="preserve">Audience Perception </w:t>
      </w:r>
      <w:proofErr w:type="gramStart"/>
      <w:r w:rsidRPr="00D52533">
        <w:rPr>
          <w:rFonts w:ascii="Times New Roman" w:hAnsi="Times New Roman" w:cs="Times New Roman"/>
          <w:b/>
          <w:bCs/>
          <w:sz w:val="24"/>
          <w:szCs w:val="24"/>
        </w:rPr>
        <w:t>On</w:t>
      </w:r>
      <w:proofErr w:type="gramEnd"/>
      <w:r w:rsidRPr="00D52533">
        <w:rPr>
          <w:rFonts w:ascii="Times New Roman" w:hAnsi="Times New Roman" w:cs="Times New Roman"/>
          <w:b/>
          <w:bCs/>
          <w:sz w:val="24"/>
          <w:szCs w:val="24"/>
        </w:rPr>
        <w:t xml:space="preserve"> Media Coverage </w:t>
      </w:r>
      <w:proofErr w:type="gramStart"/>
      <w:r w:rsidRPr="00D52533">
        <w:rPr>
          <w:rFonts w:ascii="Times New Roman" w:hAnsi="Times New Roman" w:cs="Times New Roman"/>
          <w:b/>
          <w:bCs/>
          <w:sz w:val="24"/>
          <w:szCs w:val="24"/>
        </w:rPr>
        <w:t>Of</w:t>
      </w:r>
      <w:proofErr w:type="gramEnd"/>
      <w:r w:rsidRPr="00D52533">
        <w:rPr>
          <w:rFonts w:ascii="Times New Roman" w:hAnsi="Times New Roman" w:cs="Times New Roman"/>
          <w:b/>
          <w:bCs/>
          <w:sz w:val="24"/>
          <w:szCs w:val="24"/>
        </w:rPr>
        <w:t xml:space="preserve"> House </w:t>
      </w:r>
      <w:proofErr w:type="gramStart"/>
      <w:r w:rsidRPr="00D52533">
        <w:rPr>
          <w:rFonts w:ascii="Times New Roman" w:hAnsi="Times New Roman" w:cs="Times New Roman"/>
          <w:b/>
          <w:bCs/>
          <w:sz w:val="24"/>
          <w:szCs w:val="24"/>
        </w:rPr>
        <w:t>Of</w:t>
      </w:r>
      <w:proofErr w:type="gramEnd"/>
      <w:r w:rsidRPr="00D52533">
        <w:rPr>
          <w:rFonts w:ascii="Times New Roman" w:hAnsi="Times New Roman" w:cs="Times New Roman"/>
          <w:b/>
          <w:bCs/>
          <w:sz w:val="24"/>
          <w:szCs w:val="24"/>
        </w:rPr>
        <w:t xml:space="preserve"> Representatives Debate </w:t>
      </w:r>
      <w:proofErr w:type="gramStart"/>
      <w:r w:rsidRPr="00D52533">
        <w:rPr>
          <w:rFonts w:ascii="Times New Roman" w:hAnsi="Times New Roman" w:cs="Times New Roman"/>
          <w:b/>
          <w:bCs/>
          <w:sz w:val="24"/>
          <w:szCs w:val="24"/>
        </w:rPr>
        <w:t>On</w:t>
      </w:r>
      <w:proofErr w:type="gramEnd"/>
      <w:r w:rsidRPr="00D52533">
        <w:rPr>
          <w:rFonts w:ascii="Times New Roman" w:hAnsi="Times New Roman" w:cs="Times New Roman"/>
          <w:b/>
          <w:bCs/>
          <w:sz w:val="24"/>
          <w:szCs w:val="24"/>
        </w:rPr>
        <w:t xml:space="preserve"> Fuel Subsidy Removal</w:t>
      </w:r>
      <w:r>
        <w:rPr>
          <w:rFonts w:ascii="Times New Roman" w:hAnsi="Times New Roman" w:cs="Times New Roman"/>
          <w:noProof/>
          <w:sz w:val="24"/>
          <w:szCs w:val="24"/>
        </w:rPr>
        <w:t>”</w:t>
      </w:r>
      <w:r>
        <w:rPr>
          <w:rFonts w:ascii="Times New Roman" w:eastAsia="Times New Roman" w:hAnsi="Times New Roman" w:cs="Times New Roman"/>
          <w:sz w:val="24"/>
          <w:szCs w:val="24"/>
        </w:rPr>
        <w:t xml:space="preserve"> were assessed using questionnaire administration.</w:t>
      </w:r>
    </w:p>
    <w:p w:rsidR="00BE728A" w:rsidRPr="00441DF1" w:rsidRDefault="00BE728A" w:rsidP="00BE728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on socio-demographic and knowledge were analyzed and variables organized into frequency tables. </w:t>
      </w:r>
      <w:r w:rsidRPr="00441DF1">
        <w:rPr>
          <w:rFonts w:ascii="Times New Roman" w:hAnsi="Times New Roman" w:cs="Times New Roman"/>
          <w:sz w:val="24"/>
          <w:szCs w:val="24"/>
        </w:rPr>
        <w:t>The socio-demographic characteristics of the 200 participants are presented below, structured in tables with </w:t>
      </w:r>
      <w:r w:rsidRPr="00441DF1">
        <w:rPr>
          <w:rFonts w:ascii="Times New Roman" w:hAnsi="Times New Roman" w:cs="Times New Roman"/>
          <w:b/>
          <w:bCs/>
          <w:sz w:val="24"/>
          <w:szCs w:val="24"/>
        </w:rPr>
        <w:t>frequency</w:t>
      </w:r>
      <w:r w:rsidRPr="00441DF1">
        <w:rPr>
          <w:rFonts w:ascii="Times New Roman" w:hAnsi="Times New Roman" w:cs="Times New Roman"/>
          <w:sz w:val="24"/>
          <w:szCs w:val="24"/>
        </w:rPr>
        <w:t>, </w:t>
      </w:r>
      <w:r w:rsidRPr="00441DF1">
        <w:rPr>
          <w:rFonts w:ascii="Times New Roman" w:hAnsi="Times New Roman" w:cs="Times New Roman"/>
          <w:b/>
          <w:bCs/>
          <w:sz w:val="24"/>
          <w:szCs w:val="24"/>
        </w:rPr>
        <w:t>percentage</w:t>
      </w:r>
      <w:r w:rsidRPr="00441DF1">
        <w:rPr>
          <w:rFonts w:ascii="Times New Roman" w:hAnsi="Times New Roman" w:cs="Times New Roman"/>
          <w:sz w:val="24"/>
          <w:szCs w:val="24"/>
        </w:rPr>
        <w:t>, </w:t>
      </w:r>
      <w:r w:rsidRPr="00441DF1">
        <w:rPr>
          <w:rFonts w:ascii="Times New Roman" w:hAnsi="Times New Roman" w:cs="Times New Roman"/>
          <w:b/>
          <w:bCs/>
          <w:sz w:val="24"/>
          <w:szCs w:val="24"/>
        </w:rPr>
        <w:t>valid percent</w:t>
      </w:r>
      <w:r w:rsidRPr="00441DF1">
        <w:rPr>
          <w:rFonts w:ascii="Times New Roman" w:hAnsi="Times New Roman" w:cs="Times New Roman"/>
          <w:sz w:val="24"/>
          <w:szCs w:val="24"/>
        </w:rPr>
        <w:t>, and </w:t>
      </w:r>
      <w:r w:rsidRPr="00441DF1">
        <w:rPr>
          <w:rFonts w:ascii="Times New Roman" w:hAnsi="Times New Roman" w:cs="Times New Roman"/>
          <w:b/>
          <w:bCs/>
          <w:sz w:val="24"/>
          <w:szCs w:val="24"/>
        </w:rPr>
        <w:t>cumulative percent</w:t>
      </w:r>
      <w:r w:rsidRPr="00441DF1">
        <w:rPr>
          <w:rFonts w:ascii="Times New Roman" w:hAnsi="Times New Roman" w:cs="Times New Roman"/>
          <w:sz w:val="24"/>
          <w:szCs w:val="24"/>
        </w:rPr>
        <w:t>.</w:t>
      </w:r>
    </w:p>
    <w:p w:rsidR="00BE728A" w:rsidRDefault="00BE728A" w:rsidP="00BE728A">
      <w:pPr>
        <w:spacing w:after="0" w:line="480" w:lineRule="auto"/>
        <w:jc w:val="both"/>
        <w:rPr>
          <w:rFonts w:ascii="Times New Roman" w:hAnsi="Times New Roman" w:cs="Times New Roman"/>
          <w:b/>
          <w:bCs/>
          <w:sz w:val="24"/>
          <w:szCs w:val="24"/>
        </w:rPr>
      </w:pPr>
    </w:p>
    <w:p w:rsidR="00BE728A" w:rsidRPr="00441DF1" w:rsidRDefault="00BE728A" w:rsidP="00BE728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A (SOCIO DEMOGRAPHY)</w:t>
      </w: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4.1 </w:t>
      </w:r>
      <w:r w:rsidRPr="00441DF1">
        <w:rPr>
          <w:rFonts w:ascii="Times New Roman" w:hAnsi="Times New Roman" w:cs="Times New Roman"/>
          <w:b/>
          <w:bCs/>
          <w:sz w:val="24"/>
          <w:szCs w:val="24"/>
        </w:rPr>
        <w:t>Gender Distribution</w:t>
      </w:r>
    </w:p>
    <w:tbl>
      <w:tblPr>
        <w:tblStyle w:val="TableGrid"/>
        <w:tblW w:w="0" w:type="auto"/>
        <w:tblLook w:val="04A0" w:firstRow="1" w:lastRow="0" w:firstColumn="1" w:lastColumn="0" w:noHBand="0" w:noVBand="1"/>
      </w:tblPr>
      <w:tblGrid>
        <w:gridCol w:w="1203"/>
        <w:gridCol w:w="2160"/>
        <w:gridCol w:w="1809"/>
        <w:gridCol w:w="1623"/>
        <w:gridCol w:w="2263"/>
      </w:tblGrid>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Male</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108</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54%</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54%</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54%</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Female</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92</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46%</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46%</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Pr="00441DF1" w:rsidRDefault="00BE728A" w:rsidP="00BE728A">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t>The results from the gender distribution table show that the majority of respondents (54%) were male, while 46% were female.</w:t>
      </w: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4.2</w:t>
      </w:r>
      <w:r w:rsidRPr="00441DF1">
        <w:rPr>
          <w:rFonts w:ascii="Times New Roman" w:hAnsi="Times New Roman" w:cs="Times New Roman"/>
          <w:b/>
          <w:bCs/>
          <w:sz w:val="24"/>
          <w:szCs w:val="24"/>
        </w:rPr>
        <w:t xml:space="preserve"> Age Distribution</w:t>
      </w:r>
    </w:p>
    <w:tbl>
      <w:tblPr>
        <w:tblStyle w:val="TableGrid"/>
        <w:tblW w:w="0" w:type="auto"/>
        <w:tblLook w:val="04A0" w:firstRow="1" w:lastRow="0" w:firstColumn="1" w:lastColumn="0" w:noHBand="0" w:noVBand="1"/>
      </w:tblPr>
      <w:tblGrid>
        <w:gridCol w:w="1496"/>
        <w:gridCol w:w="2160"/>
        <w:gridCol w:w="1809"/>
        <w:gridCol w:w="1623"/>
        <w:gridCol w:w="2263"/>
      </w:tblGrid>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18–25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26–35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lastRenderedPageBreak/>
              <w:t>36–45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46–55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16</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98%</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56 and above</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Pr="00D52533" w:rsidRDefault="00BE728A" w:rsidP="00BE728A">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t>The results from the age distribution table indicate that most respondents (75%) were aged 18–35, with 30% in the 18–25 bracket and 45% in the 26–35 category</w:t>
      </w:r>
      <w:r>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4.3</w:t>
      </w:r>
      <w:r w:rsidRPr="00441DF1">
        <w:rPr>
          <w:rFonts w:ascii="Times New Roman" w:hAnsi="Times New Roman" w:cs="Times New Roman"/>
          <w:b/>
          <w:bCs/>
          <w:sz w:val="24"/>
          <w:szCs w:val="24"/>
        </w:rPr>
        <w:t xml:space="preserve"> Educational Qualification</w:t>
      </w:r>
    </w:p>
    <w:tbl>
      <w:tblPr>
        <w:tblStyle w:val="TableGrid"/>
        <w:tblW w:w="0" w:type="auto"/>
        <w:tblLook w:val="04A0" w:firstRow="1" w:lastRow="0" w:firstColumn="1" w:lastColumn="0" w:noHBand="0" w:noVBand="1"/>
      </w:tblPr>
      <w:tblGrid>
        <w:gridCol w:w="1283"/>
        <w:gridCol w:w="2160"/>
        <w:gridCol w:w="1809"/>
        <w:gridCol w:w="1623"/>
        <w:gridCol w:w="2263"/>
      </w:tblGrid>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SSCE</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OND/NCE</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55%</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HND/BSc</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85%</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MSc/PhD</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Others</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Pr="00984492" w:rsidRDefault="00BE728A" w:rsidP="00BE728A">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t>The results from the educational qualification table reveal that 85% of respondents had at least an OND/NCE qualification, including 35% with OND/NCE and 30% with HND/BSc degrees.</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Pr="00441DF1">
        <w:rPr>
          <w:rFonts w:ascii="Times New Roman" w:hAnsi="Times New Roman" w:cs="Times New Roman"/>
          <w:b/>
          <w:bCs/>
          <w:sz w:val="24"/>
          <w:szCs w:val="24"/>
        </w:rPr>
        <w:t>4.</w:t>
      </w:r>
      <w:r>
        <w:rPr>
          <w:rFonts w:ascii="Times New Roman" w:hAnsi="Times New Roman" w:cs="Times New Roman"/>
          <w:b/>
          <w:bCs/>
          <w:sz w:val="24"/>
          <w:szCs w:val="24"/>
        </w:rPr>
        <w:t>4</w:t>
      </w:r>
      <w:r w:rsidRPr="00441DF1">
        <w:rPr>
          <w:rFonts w:ascii="Times New Roman" w:hAnsi="Times New Roman" w:cs="Times New Roman"/>
          <w:b/>
          <w:bCs/>
          <w:sz w:val="24"/>
          <w:szCs w:val="24"/>
        </w:rPr>
        <w:t xml:space="preserve"> Occupation</w:t>
      </w:r>
    </w:p>
    <w:tbl>
      <w:tblPr>
        <w:tblStyle w:val="TableGrid"/>
        <w:tblW w:w="0" w:type="auto"/>
        <w:tblLook w:val="04A0" w:firstRow="1" w:lastRow="0" w:firstColumn="1" w:lastColumn="0" w:noHBand="0" w:noVBand="1"/>
      </w:tblPr>
      <w:tblGrid>
        <w:gridCol w:w="1776"/>
        <w:gridCol w:w="2143"/>
        <w:gridCol w:w="1800"/>
        <w:gridCol w:w="1611"/>
        <w:gridCol w:w="2246"/>
      </w:tblGrid>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Student</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lastRenderedPageBreak/>
              <w:t>Civil Servant</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55%</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Business Owner</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Unemployed</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Others</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Pr="00984492" w:rsidRDefault="00BE728A" w:rsidP="00BE728A">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t>The results from the occupation table demonstrate that civil servants (30%) and students (25%) dominated the sample, constituting 55% of respondents.</w:t>
      </w:r>
    </w:p>
    <w:p w:rsidR="00BE728A" w:rsidRDefault="00BE728A" w:rsidP="00BE728A">
      <w:pPr>
        <w:spacing w:after="0" w:line="480" w:lineRule="auto"/>
        <w:jc w:val="both"/>
        <w:rPr>
          <w:rFonts w:ascii="Times New Roman" w:hAnsi="Times New Roman" w:cs="Times New Roman"/>
          <w:b/>
          <w:bCs/>
          <w:sz w:val="24"/>
          <w:szCs w:val="24"/>
        </w:rPr>
      </w:pPr>
    </w:p>
    <w:p w:rsidR="00BE728A" w:rsidRDefault="00BE728A" w:rsidP="00BE728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B (ANALYSIS OF QUESTIONNAIRE)</w:t>
      </w:r>
    </w:p>
    <w:p w:rsidR="00BE728A" w:rsidRPr="00441DF1" w:rsidRDefault="00BE728A" w:rsidP="00BE728A">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Objective 1: Effects of Fuel Subsidy Removal on the Nigerian Masses</w:t>
      </w:r>
    </w:p>
    <w:p w:rsidR="00BE728A" w:rsidRPr="00441DF1" w:rsidRDefault="00BE728A" w:rsidP="00BE728A">
      <w:pPr>
        <w:spacing w:after="0" w:line="480" w:lineRule="auto"/>
        <w:jc w:val="both"/>
        <w:rPr>
          <w:rFonts w:ascii="Times New Roman" w:hAnsi="Times New Roman" w:cs="Times New Roman"/>
          <w:i/>
          <w:iCs/>
          <w:sz w:val="24"/>
          <w:szCs w:val="24"/>
        </w:rPr>
      </w:pPr>
      <w:r>
        <w:rPr>
          <w:rFonts w:ascii="Times New Roman" w:hAnsi="Times New Roman" w:cs="Times New Roman"/>
          <w:b/>
          <w:bCs/>
          <w:sz w:val="24"/>
          <w:szCs w:val="24"/>
        </w:rPr>
        <w:t>Table 4.5</w:t>
      </w:r>
      <w:r w:rsidRPr="00441DF1">
        <w:rPr>
          <w:rFonts w:ascii="Times New Roman" w:hAnsi="Times New Roman" w:cs="Times New Roman"/>
          <w:sz w:val="24"/>
          <w:szCs w:val="24"/>
        </w:rPr>
        <w:t>: </w:t>
      </w:r>
      <w:r w:rsidRPr="00441DF1">
        <w:rPr>
          <w:rFonts w:ascii="Times New Roman" w:hAnsi="Times New Roman" w:cs="Times New Roman"/>
          <w:i/>
          <w:iCs/>
          <w:sz w:val="24"/>
          <w:szCs w:val="24"/>
        </w:rPr>
        <w:t>The removal of fuel subsidy has significantly increased the cost of living.</w:t>
      </w:r>
    </w:p>
    <w:tbl>
      <w:tblPr>
        <w:tblStyle w:val="TableGrid"/>
        <w:tblW w:w="0" w:type="auto"/>
        <w:tblLook w:val="04A0" w:firstRow="1" w:lastRow="0" w:firstColumn="1" w:lastColumn="0" w:noHBand="0" w:noVBand="1"/>
      </w:tblPr>
      <w:tblGrid>
        <w:gridCol w:w="2605"/>
        <w:gridCol w:w="1519"/>
        <w:gridCol w:w="1751"/>
        <w:gridCol w:w="1545"/>
        <w:gridCol w:w="2156"/>
      </w:tblGrid>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98%</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lastRenderedPageBreak/>
        <w:t xml:space="preserve">The results from </w:t>
      </w:r>
      <w:r>
        <w:rPr>
          <w:rFonts w:ascii="Times New Roman" w:hAnsi="Times New Roman" w:cs="Times New Roman"/>
          <w:sz w:val="24"/>
          <w:szCs w:val="24"/>
        </w:rPr>
        <w:t xml:space="preserve">table 4.5 </w:t>
      </w:r>
      <w:r w:rsidRPr="00984492">
        <w:rPr>
          <w:rFonts w:ascii="Times New Roman" w:hAnsi="Times New Roman" w:cs="Times New Roman"/>
          <w:sz w:val="24"/>
          <w:szCs w:val="24"/>
        </w:rPr>
        <w:t>show that 65% of respondents strongly agreed and 30% agreed that subsidy removal significantly increased the cost of living, while 3% disagreed and 2% strongly disagreed. This indicates </w:t>
      </w:r>
      <w:r w:rsidRPr="00984492">
        <w:rPr>
          <w:rFonts w:ascii="Times New Roman" w:hAnsi="Times New Roman" w:cs="Times New Roman"/>
          <w:b/>
          <w:bCs/>
          <w:sz w:val="24"/>
          <w:szCs w:val="24"/>
        </w:rPr>
        <w:t>95% agreement</w:t>
      </w:r>
      <w:r w:rsidRPr="00984492">
        <w:rPr>
          <w:rFonts w:ascii="Times New Roman" w:hAnsi="Times New Roman" w:cs="Times New Roman"/>
          <w:sz w:val="24"/>
          <w:szCs w:val="24"/>
        </w:rPr>
        <w:t> that subsidy removal worsened living costs.</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4.6</w:t>
      </w:r>
      <w:r w:rsidRPr="00441DF1">
        <w:rPr>
          <w:rFonts w:ascii="Times New Roman" w:hAnsi="Times New Roman" w:cs="Times New Roman"/>
          <w:sz w:val="24"/>
          <w:szCs w:val="24"/>
        </w:rPr>
        <w:t>: </w:t>
      </w:r>
      <w:r w:rsidRPr="00441DF1">
        <w:rPr>
          <w:rFonts w:ascii="Times New Roman" w:hAnsi="Times New Roman" w:cs="Times New Roman"/>
          <w:i/>
          <w:iCs/>
          <w:sz w:val="24"/>
          <w:szCs w:val="24"/>
        </w:rPr>
        <w:t>Transportation fares have become unaffordable since the subsidy removal.</w:t>
      </w:r>
    </w:p>
    <w:tbl>
      <w:tblPr>
        <w:tblStyle w:val="TableGrid"/>
        <w:tblW w:w="0" w:type="auto"/>
        <w:tblLook w:val="04A0" w:firstRow="1" w:lastRow="0" w:firstColumn="1" w:lastColumn="0" w:noHBand="0" w:noVBand="1"/>
      </w:tblPr>
      <w:tblGrid>
        <w:gridCol w:w="2605"/>
        <w:gridCol w:w="1519"/>
        <w:gridCol w:w="1751"/>
        <w:gridCol w:w="1545"/>
        <w:gridCol w:w="2156"/>
      </w:tblGrid>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99%</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Pr="00441DF1"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Statement </w:t>
      </w:r>
      <w:r>
        <w:rPr>
          <w:rFonts w:ascii="Times New Roman" w:hAnsi="Times New Roman" w:cs="Times New Roman"/>
          <w:sz w:val="24"/>
          <w:szCs w:val="24"/>
        </w:rPr>
        <w:t xml:space="preserve">table 4.6 </w:t>
      </w:r>
      <w:r w:rsidRPr="00AD28DE">
        <w:rPr>
          <w:rFonts w:ascii="Times New Roman" w:hAnsi="Times New Roman" w:cs="Times New Roman"/>
          <w:sz w:val="24"/>
          <w:szCs w:val="24"/>
        </w:rPr>
        <w:t>that 70% strongly agreed and 25% agreed that transportation fares became unaffordable post-subsidy removal, with 4% disagreeing and 1% strongly disagreeing. Cumulatively, </w:t>
      </w:r>
      <w:r w:rsidRPr="00AD28DE">
        <w:rPr>
          <w:rFonts w:ascii="Times New Roman" w:hAnsi="Times New Roman" w:cs="Times New Roman"/>
          <w:b/>
          <w:bCs/>
          <w:sz w:val="24"/>
          <w:szCs w:val="24"/>
        </w:rPr>
        <w:t>95% linked subsidy removal to unaffordable transport fares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4.7</w:t>
      </w:r>
      <w:r w:rsidRPr="00441DF1">
        <w:rPr>
          <w:rFonts w:ascii="Times New Roman" w:hAnsi="Times New Roman" w:cs="Times New Roman"/>
          <w:sz w:val="24"/>
          <w:szCs w:val="24"/>
        </w:rPr>
        <w:t>: </w:t>
      </w:r>
      <w:r w:rsidRPr="00441DF1">
        <w:rPr>
          <w:rFonts w:ascii="Times New Roman" w:hAnsi="Times New Roman" w:cs="Times New Roman"/>
          <w:i/>
          <w:iCs/>
          <w:sz w:val="24"/>
          <w:szCs w:val="24"/>
        </w:rPr>
        <w:t>The removal has led to job losses and economic hardship.</w:t>
      </w:r>
    </w:p>
    <w:tbl>
      <w:tblPr>
        <w:tblStyle w:val="TableGrid"/>
        <w:tblW w:w="0" w:type="auto"/>
        <w:tblLook w:val="04A0" w:firstRow="1" w:lastRow="0" w:firstColumn="1" w:lastColumn="0" w:noHBand="0" w:noVBand="1"/>
      </w:tblPr>
      <w:tblGrid>
        <w:gridCol w:w="2605"/>
        <w:gridCol w:w="1519"/>
        <w:gridCol w:w="1751"/>
        <w:gridCol w:w="1545"/>
        <w:gridCol w:w="2156"/>
      </w:tblGrid>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14</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97%</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lastRenderedPageBreak/>
              <w:t>Strongly Disagree (SD)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4.7 </w:t>
      </w:r>
      <w:r w:rsidRPr="00AD28DE">
        <w:rPr>
          <w:rFonts w:ascii="Times New Roman" w:hAnsi="Times New Roman" w:cs="Times New Roman"/>
          <w:sz w:val="24"/>
          <w:szCs w:val="24"/>
        </w:rPr>
        <w:t>indicate that 60% strongly agreed and 30% agreed that subsidy removal caused job losses and economic hardship, while 7% disagreed and 3% strongly disagreed. Overall, </w:t>
      </w:r>
      <w:r w:rsidRPr="00AD28DE">
        <w:rPr>
          <w:rFonts w:ascii="Times New Roman" w:hAnsi="Times New Roman" w:cs="Times New Roman"/>
          <w:b/>
          <w:bCs/>
          <w:sz w:val="24"/>
          <w:szCs w:val="24"/>
        </w:rPr>
        <w:t>90% associated subsidy removal with economic hardship</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4.8</w:t>
      </w:r>
      <w:r w:rsidRPr="00441DF1">
        <w:rPr>
          <w:rFonts w:ascii="Times New Roman" w:hAnsi="Times New Roman" w:cs="Times New Roman"/>
          <w:sz w:val="24"/>
          <w:szCs w:val="24"/>
        </w:rPr>
        <w:t>: </w:t>
      </w:r>
      <w:r w:rsidRPr="00441DF1">
        <w:rPr>
          <w:rFonts w:ascii="Times New Roman" w:hAnsi="Times New Roman" w:cs="Times New Roman"/>
          <w:i/>
          <w:iCs/>
          <w:sz w:val="24"/>
          <w:szCs w:val="24"/>
        </w:rPr>
        <w:t>The Nigerian government provided adequate alternatives before subsidy removal.</w:t>
      </w:r>
    </w:p>
    <w:tbl>
      <w:tblPr>
        <w:tblStyle w:val="TableGrid"/>
        <w:tblW w:w="0" w:type="auto"/>
        <w:tblLook w:val="04A0" w:firstRow="1" w:lastRow="0" w:firstColumn="1" w:lastColumn="0" w:noHBand="0" w:noVBand="1"/>
      </w:tblPr>
      <w:tblGrid>
        <w:gridCol w:w="2605"/>
        <w:gridCol w:w="1519"/>
        <w:gridCol w:w="1751"/>
        <w:gridCol w:w="1545"/>
        <w:gridCol w:w="2156"/>
      </w:tblGrid>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table 4.8</w:t>
      </w:r>
      <w:r w:rsidRPr="00AD28DE">
        <w:rPr>
          <w:rFonts w:ascii="Times New Roman" w:hAnsi="Times New Roman" w:cs="Times New Roman"/>
          <w:sz w:val="24"/>
          <w:szCs w:val="24"/>
        </w:rPr>
        <w:t xml:space="preserve"> highlight that 45% disagreed and 40% strongly disagreed that the government provided adequate alternatives before subsidy removal, compared to 5% who strongly agreed and 10% who agreed. Thus, </w:t>
      </w:r>
      <w:r w:rsidRPr="00AD28DE">
        <w:rPr>
          <w:rFonts w:ascii="Times New Roman" w:hAnsi="Times New Roman" w:cs="Times New Roman"/>
          <w:b/>
          <w:bCs/>
          <w:sz w:val="24"/>
          <w:szCs w:val="24"/>
        </w:rPr>
        <w:t>85% criticized the lack of government alternatives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b/>
          <w:bCs/>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4.9</w:t>
      </w:r>
      <w:r w:rsidRPr="00441DF1">
        <w:rPr>
          <w:rFonts w:ascii="Times New Roman" w:hAnsi="Times New Roman" w:cs="Times New Roman"/>
          <w:sz w:val="24"/>
          <w:szCs w:val="24"/>
        </w:rPr>
        <w:t>: </w:t>
      </w:r>
      <w:r w:rsidRPr="00441DF1">
        <w:rPr>
          <w:rFonts w:ascii="Times New Roman" w:hAnsi="Times New Roman" w:cs="Times New Roman"/>
          <w:i/>
          <w:iCs/>
          <w:sz w:val="24"/>
          <w:szCs w:val="24"/>
        </w:rPr>
        <w:t>Fuel subsidy removal was necessary for economic progress.</w:t>
      </w:r>
    </w:p>
    <w:tbl>
      <w:tblPr>
        <w:tblStyle w:val="TableGrid"/>
        <w:tblW w:w="0" w:type="auto"/>
        <w:tblLook w:val="04A0" w:firstRow="1" w:lastRow="0" w:firstColumn="1" w:lastColumn="0" w:noHBand="0" w:noVBand="1"/>
      </w:tblPr>
      <w:tblGrid>
        <w:gridCol w:w="2695"/>
        <w:gridCol w:w="1429"/>
        <w:gridCol w:w="1751"/>
        <w:gridCol w:w="1545"/>
        <w:gridCol w:w="2156"/>
      </w:tblGrid>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lastRenderedPageBreak/>
              <w:t>Variables</w:t>
            </w:r>
          </w:p>
        </w:tc>
        <w:tc>
          <w:tcPr>
            <w:tcW w:w="142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4.9 </w:t>
      </w:r>
      <w:r w:rsidRPr="00AD28DE">
        <w:rPr>
          <w:rFonts w:ascii="Times New Roman" w:hAnsi="Times New Roman" w:cs="Times New Roman"/>
          <w:sz w:val="24"/>
          <w:szCs w:val="24"/>
        </w:rPr>
        <w:t>show that 20% strongly agreed and 25% agreed that subsidy removal was economically necessary, while 30% disagreed and 25% strongly disagreed. In total, </w:t>
      </w:r>
      <w:r w:rsidRPr="00AD28DE">
        <w:rPr>
          <w:rFonts w:ascii="Times New Roman" w:hAnsi="Times New Roman" w:cs="Times New Roman"/>
          <w:b/>
          <w:bCs/>
          <w:sz w:val="24"/>
          <w:szCs w:val="24"/>
        </w:rPr>
        <w:t>45% supported subsidy removal as necessary for progress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Objective 2: Audience Perception of Media Objectivity and Bias</w:t>
      </w: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4.10</w:t>
      </w:r>
      <w:r w:rsidRPr="00441DF1">
        <w:rPr>
          <w:rFonts w:ascii="Times New Roman" w:hAnsi="Times New Roman" w:cs="Times New Roman"/>
          <w:sz w:val="24"/>
          <w:szCs w:val="24"/>
        </w:rPr>
        <w:t>: </w:t>
      </w:r>
      <w:r w:rsidRPr="00441DF1">
        <w:rPr>
          <w:rFonts w:ascii="Times New Roman" w:hAnsi="Times New Roman" w:cs="Times New Roman"/>
          <w:i/>
          <w:iCs/>
          <w:sz w:val="24"/>
          <w:szCs w:val="24"/>
        </w:rPr>
        <w:t>The media reported the House of Representatives debate fairly and objectively.</w:t>
      </w:r>
    </w:p>
    <w:tbl>
      <w:tblPr>
        <w:tblStyle w:val="TableGrid"/>
        <w:tblW w:w="0" w:type="auto"/>
        <w:tblLook w:val="04A0" w:firstRow="1" w:lastRow="0" w:firstColumn="1" w:lastColumn="0" w:noHBand="0" w:noVBand="1"/>
      </w:tblPr>
      <w:tblGrid>
        <w:gridCol w:w="2695"/>
        <w:gridCol w:w="1429"/>
        <w:gridCol w:w="1751"/>
        <w:gridCol w:w="1545"/>
        <w:gridCol w:w="2156"/>
      </w:tblGrid>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lastRenderedPageBreak/>
        <w:t xml:space="preserve">The results from </w:t>
      </w:r>
      <w:r>
        <w:rPr>
          <w:rFonts w:ascii="Times New Roman" w:hAnsi="Times New Roman" w:cs="Times New Roman"/>
          <w:sz w:val="24"/>
          <w:szCs w:val="24"/>
        </w:rPr>
        <w:t xml:space="preserve">table 4.10 </w:t>
      </w:r>
      <w:r w:rsidRPr="00AD28DE">
        <w:rPr>
          <w:rFonts w:ascii="Times New Roman" w:hAnsi="Times New Roman" w:cs="Times New Roman"/>
          <w:sz w:val="24"/>
          <w:szCs w:val="24"/>
        </w:rPr>
        <w:t>reveal that 10% strongly agreed and 25% agreed that media coverage was fair/objective, while 40% disagreed and 25% strongly disagreed. This reflects </w:t>
      </w:r>
      <w:r w:rsidRPr="00AD28DE">
        <w:rPr>
          <w:rFonts w:ascii="Times New Roman" w:hAnsi="Times New Roman" w:cs="Times New Roman"/>
          <w:b/>
          <w:bCs/>
          <w:sz w:val="24"/>
          <w:szCs w:val="24"/>
        </w:rPr>
        <w:t>65% perceiving media coverage as unfair or biased</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4.11</w:t>
      </w:r>
      <w:r w:rsidRPr="00441DF1">
        <w:rPr>
          <w:rFonts w:ascii="Times New Roman" w:hAnsi="Times New Roman" w:cs="Times New Roman"/>
          <w:sz w:val="24"/>
          <w:szCs w:val="24"/>
        </w:rPr>
        <w:t>: </w:t>
      </w:r>
      <w:r w:rsidRPr="00441DF1">
        <w:rPr>
          <w:rFonts w:ascii="Times New Roman" w:hAnsi="Times New Roman" w:cs="Times New Roman"/>
          <w:i/>
          <w:iCs/>
          <w:sz w:val="24"/>
          <w:szCs w:val="24"/>
        </w:rPr>
        <w:t>Some media outlets were biased in their coverage, favoring certain political interests.</w:t>
      </w:r>
    </w:p>
    <w:tbl>
      <w:tblPr>
        <w:tblStyle w:val="TableGrid"/>
        <w:tblW w:w="0" w:type="auto"/>
        <w:tblLook w:val="04A0" w:firstRow="1" w:lastRow="0" w:firstColumn="1" w:lastColumn="0" w:noHBand="0" w:noVBand="1"/>
      </w:tblPr>
      <w:tblGrid>
        <w:gridCol w:w="2695"/>
        <w:gridCol w:w="1429"/>
        <w:gridCol w:w="1751"/>
        <w:gridCol w:w="1545"/>
        <w:gridCol w:w="2156"/>
      </w:tblGrid>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85%</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4.11 </w:t>
      </w:r>
      <w:r w:rsidRPr="00AD28DE">
        <w:rPr>
          <w:rFonts w:ascii="Times New Roman" w:hAnsi="Times New Roman" w:cs="Times New Roman"/>
          <w:sz w:val="24"/>
          <w:szCs w:val="24"/>
        </w:rPr>
        <w:t>indicate that 50% strongly agreed and 35% agreed that media outlets favored political interests, with 10% disagreeing and 5% strongly disagreeing. Cumulatively, </w:t>
      </w:r>
      <w:r w:rsidRPr="00AD28DE">
        <w:rPr>
          <w:rFonts w:ascii="Times New Roman" w:hAnsi="Times New Roman" w:cs="Times New Roman"/>
          <w:b/>
          <w:bCs/>
          <w:sz w:val="24"/>
          <w:szCs w:val="24"/>
        </w:rPr>
        <w:t>85% perceived media bias toward political agendas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4.12</w:t>
      </w:r>
      <w:r w:rsidRPr="00441DF1">
        <w:rPr>
          <w:rFonts w:ascii="Times New Roman" w:hAnsi="Times New Roman" w:cs="Times New Roman"/>
          <w:sz w:val="24"/>
          <w:szCs w:val="24"/>
        </w:rPr>
        <w:t>: </w:t>
      </w:r>
      <w:r w:rsidRPr="00441DF1">
        <w:rPr>
          <w:rFonts w:ascii="Times New Roman" w:hAnsi="Times New Roman" w:cs="Times New Roman"/>
          <w:i/>
          <w:iCs/>
          <w:sz w:val="24"/>
          <w:szCs w:val="24"/>
        </w:rPr>
        <w:t>Media coverage reflected the economic consequences of subsidy removal adequately.</w:t>
      </w:r>
    </w:p>
    <w:tbl>
      <w:tblPr>
        <w:tblStyle w:val="TableGrid"/>
        <w:tblW w:w="0" w:type="auto"/>
        <w:tblLook w:val="04A0" w:firstRow="1" w:lastRow="0" w:firstColumn="1" w:lastColumn="0" w:noHBand="0" w:noVBand="1"/>
      </w:tblPr>
      <w:tblGrid>
        <w:gridCol w:w="2605"/>
        <w:gridCol w:w="1519"/>
        <w:gridCol w:w="1751"/>
        <w:gridCol w:w="1545"/>
        <w:gridCol w:w="2156"/>
      </w:tblGrid>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lastRenderedPageBreak/>
              <w:t>Agree (A)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4.12 </w:t>
      </w:r>
      <w:r w:rsidRPr="00AD28DE">
        <w:rPr>
          <w:rFonts w:ascii="Times New Roman" w:hAnsi="Times New Roman" w:cs="Times New Roman"/>
          <w:sz w:val="24"/>
          <w:szCs w:val="24"/>
        </w:rPr>
        <w:t>show that 15% strongly agreed and 30% agreed that media adequately covered economic consequences, while 35% disagreed and 20% strongly disagreed. Overall, </w:t>
      </w:r>
      <w:r w:rsidRPr="00AD28DE">
        <w:rPr>
          <w:rFonts w:ascii="Times New Roman" w:hAnsi="Times New Roman" w:cs="Times New Roman"/>
          <w:b/>
          <w:bCs/>
          <w:sz w:val="24"/>
          <w:szCs w:val="24"/>
        </w:rPr>
        <w:t>55% felt media inadequately reported economic impacts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b/>
          <w:bCs/>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4.13</w:t>
      </w:r>
      <w:r w:rsidRPr="00441DF1">
        <w:rPr>
          <w:rFonts w:ascii="Times New Roman" w:hAnsi="Times New Roman" w:cs="Times New Roman"/>
          <w:sz w:val="24"/>
          <w:szCs w:val="24"/>
        </w:rPr>
        <w:t>: </w:t>
      </w:r>
      <w:r w:rsidRPr="00441DF1">
        <w:rPr>
          <w:rFonts w:ascii="Times New Roman" w:hAnsi="Times New Roman" w:cs="Times New Roman"/>
          <w:i/>
          <w:iCs/>
          <w:sz w:val="24"/>
          <w:szCs w:val="24"/>
        </w:rPr>
        <w:t>Social implications of subsidy removal were well reported in the media.</w:t>
      </w:r>
    </w:p>
    <w:tbl>
      <w:tblPr>
        <w:tblStyle w:val="TableGrid"/>
        <w:tblW w:w="0" w:type="auto"/>
        <w:tblLook w:val="04A0" w:firstRow="1" w:lastRow="0" w:firstColumn="1" w:lastColumn="0" w:noHBand="0" w:noVBand="1"/>
      </w:tblPr>
      <w:tblGrid>
        <w:gridCol w:w="2605"/>
        <w:gridCol w:w="1519"/>
        <w:gridCol w:w="1751"/>
        <w:gridCol w:w="1545"/>
        <w:gridCol w:w="2156"/>
      </w:tblGrid>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table 4.13</w:t>
      </w:r>
      <w:r w:rsidRPr="00AD28DE">
        <w:rPr>
          <w:rFonts w:ascii="Times New Roman" w:hAnsi="Times New Roman" w:cs="Times New Roman"/>
          <w:sz w:val="24"/>
          <w:szCs w:val="24"/>
        </w:rPr>
        <w:t xml:space="preserve"> highlight that 10% strongly agreed and 20% agreed that social implications were well-reported, compared to 40% disagreeing and 30% strongly disagreeing. Thus, </w:t>
      </w:r>
      <w:r w:rsidRPr="00AD28DE">
        <w:rPr>
          <w:rFonts w:ascii="Times New Roman" w:hAnsi="Times New Roman" w:cs="Times New Roman"/>
          <w:b/>
          <w:bCs/>
          <w:sz w:val="24"/>
          <w:szCs w:val="24"/>
        </w:rPr>
        <w:t>70% criticized poor reporting of social impacts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4.14</w:t>
      </w:r>
      <w:r w:rsidRPr="00441DF1">
        <w:rPr>
          <w:rFonts w:ascii="Times New Roman" w:hAnsi="Times New Roman" w:cs="Times New Roman"/>
          <w:sz w:val="24"/>
          <w:szCs w:val="24"/>
        </w:rPr>
        <w:t>: </w:t>
      </w:r>
      <w:r w:rsidRPr="00441DF1">
        <w:rPr>
          <w:rFonts w:ascii="Times New Roman" w:hAnsi="Times New Roman" w:cs="Times New Roman"/>
          <w:i/>
          <w:iCs/>
          <w:sz w:val="24"/>
          <w:szCs w:val="24"/>
        </w:rPr>
        <w:t>I trust the media to give balanced and unbiased information on fuel subsidy debates.</w:t>
      </w:r>
    </w:p>
    <w:tbl>
      <w:tblPr>
        <w:tblStyle w:val="TableGrid"/>
        <w:tblW w:w="0" w:type="auto"/>
        <w:tblLook w:val="04A0" w:firstRow="1" w:lastRow="0" w:firstColumn="1" w:lastColumn="0" w:noHBand="0" w:noVBand="1"/>
      </w:tblPr>
      <w:tblGrid>
        <w:gridCol w:w="2605"/>
        <w:gridCol w:w="1519"/>
        <w:gridCol w:w="1751"/>
        <w:gridCol w:w="1545"/>
        <w:gridCol w:w="2156"/>
      </w:tblGrid>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4.14 </w:t>
      </w:r>
      <w:r w:rsidRPr="00AD28DE">
        <w:rPr>
          <w:rFonts w:ascii="Times New Roman" w:hAnsi="Times New Roman" w:cs="Times New Roman"/>
          <w:sz w:val="24"/>
          <w:szCs w:val="24"/>
        </w:rPr>
        <w:t>reveal that 5% strongly agreed and 15% agreed they trusted media balance, while 50% disagreed and 30% strongly disagreed. In total, </w:t>
      </w:r>
      <w:r w:rsidRPr="00AD28DE">
        <w:rPr>
          <w:rFonts w:ascii="Times New Roman" w:hAnsi="Times New Roman" w:cs="Times New Roman"/>
          <w:b/>
          <w:bCs/>
          <w:sz w:val="24"/>
          <w:szCs w:val="24"/>
        </w:rPr>
        <w:t>80% distrusted media’s objectivity on subsidy debates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b/>
          <w:bCs/>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Objective 3: Impact of the House of Representatives Debate</w:t>
      </w: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4.15</w:t>
      </w:r>
      <w:r w:rsidRPr="00441DF1">
        <w:rPr>
          <w:rFonts w:ascii="Times New Roman" w:hAnsi="Times New Roman" w:cs="Times New Roman"/>
          <w:sz w:val="24"/>
          <w:szCs w:val="24"/>
        </w:rPr>
        <w:t>: </w:t>
      </w:r>
      <w:r w:rsidRPr="00441DF1">
        <w:rPr>
          <w:rFonts w:ascii="Times New Roman" w:hAnsi="Times New Roman" w:cs="Times New Roman"/>
          <w:i/>
          <w:iCs/>
          <w:sz w:val="24"/>
          <w:szCs w:val="24"/>
        </w:rPr>
        <w:t>I am aware that the House of Representatives held debates on fuel subsidy removal.</w:t>
      </w:r>
    </w:p>
    <w:tbl>
      <w:tblPr>
        <w:tblStyle w:val="TableGrid"/>
        <w:tblW w:w="0" w:type="auto"/>
        <w:tblLook w:val="04A0" w:firstRow="1" w:lastRow="0" w:firstColumn="1" w:lastColumn="0" w:noHBand="0" w:noVBand="1"/>
      </w:tblPr>
      <w:tblGrid>
        <w:gridCol w:w="2605"/>
        <w:gridCol w:w="1519"/>
        <w:gridCol w:w="1751"/>
        <w:gridCol w:w="1545"/>
        <w:gridCol w:w="2156"/>
      </w:tblGrid>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4.15 </w:t>
      </w:r>
      <w:r w:rsidRPr="00AD28DE">
        <w:rPr>
          <w:rFonts w:ascii="Times New Roman" w:hAnsi="Times New Roman" w:cs="Times New Roman"/>
          <w:sz w:val="24"/>
          <w:szCs w:val="24"/>
        </w:rPr>
        <w:t>show that 25% strongly agreed and 30% agreed they were aware of the House debate, while 30% disagreed and 15% strongly disagreed. Cumulatively, </w:t>
      </w:r>
      <w:r w:rsidRPr="00AD28DE">
        <w:rPr>
          <w:rFonts w:ascii="Times New Roman" w:hAnsi="Times New Roman" w:cs="Times New Roman"/>
          <w:b/>
          <w:bCs/>
          <w:sz w:val="24"/>
          <w:szCs w:val="24"/>
        </w:rPr>
        <w:t>55% were aware of the debate</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4.16</w:t>
      </w:r>
      <w:r w:rsidRPr="00441DF1">
        <w:rPr>
          <w:rFonts w:ascii="Times New Roman" w:hAnsi="Times New Roman" w:cs="Times New Roman"/>
          <w:sz w:val="24"/>
          <w:szCs w:val="24"/>
        </w:rPr>
        <w:t>: </w:t>
      </w:r>
      <w:r w:rsidRPr="00441DF1">
        <w:rPr>
          <w:rFonts w:ascii="Times New Roman" w:hAnsi="Times New Roman" w:cs="Times New Roman"/>
          <w:i/>
          <w:iCs/>
          <w:sz w:val="24"/>
          <w:szCs w:val="24"/>
        </w:rPr>
        <w:t>The debate addressed the potential hardship subsidy removal may cause.</w:t>
      </w:r>
    </w:p>
    <w:tbl>
      <w:tblPr>
        <w:tblStyle w:val="TableGrid"/>
        <w:tblW w:w="0" w:type="auto"/>
        <w:tblLook w:val="04A0" w:firstRow="1" w:lastRow="0" w:firstColumn="1" w:lastColumn="0" w:noHBand="0" w:noVBand="1"/>
      </w:tblPr>
      <w:tblGrid>
        <w:gridCol w:w="2785"/>
        <w:gridCol w:w="1339"/>
        <w:gridCol w:w="1751"/>
        <w:gridCol w:w="1545"/>
        <w:gridCol w:w="2156"/>
      </w:tblGrid>
      <w:tr w:rsidR="00BE728A" w:rsidRPr="00441DF1" w:rsidTr="00D61AE0">
        <w:tc>
          <w:tcPr>
            <w:tcW w:w="278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33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78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33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BE728A" w:rsidRPr="00441DF1" w:rsidTr="00D61AE0">
        <w:tc>
          <w:tcPr>
            <w:tcW w:w="278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33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r>
      <w:tr w:rsidR="00BE728A" w:rsidRPr="00441DF1" w:rsidTr="00D61AE0">
        <w:tc>
          <w:tcPr>
            <w:tcW w:w="278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33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BE728A" w:rsidRPr="00441DF1" w:rsidTr="00D61AE0">
        <w:tc>
          <w:tcPr>
            <w:tcW w:w="278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33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78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33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4.16 </w:t>
      </w:r>
      <w:r w:rsidRPr="00AD28DE">
        <w:rPr>
          <w:rFonts w:ascii="Times New Roman" w:hAnsi="Times New Roman" w:cs="Times New Roman"/>
          <w:sz w:val="24"/>
          <w:szCs w:val="24"/>
        </w:rPr>
        <w:t>indicate that 10% strongly agreed and 20% agreed the debate addressed hardships, compared to 45% disagreeing and 25% strongly disagreeing. Thus, </w:t>
      </w:r>
      <w:r w:rsidRPr="00AD28DE">
        <w:rPr>
          <w:rFonts w:ascii="Times New Roman" w:hAnsi="Times New Roman" w:cs="Times New Roman"/>
          <w:b/>
          <w:bCs/>
          <w:sz w:val="24"/>
          <w:szCs w:val="24"/>
        </w:rPr>
        <w:t>70% felt the debate ignored citizens’ hardships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4.17</w:t>
      </w:r>
      <w:r w:rsidRPr="00441DF1">
        <w:rPr>
          <w:rFonts w:ascii="Times New Roman" w:hAnsi="Times New Roman" w:cs="Times New Roman"/>
          <w:sz w:val="24"/>
          <w:szCs w:val="24"/>
        </w:rPr>
        <w:t>: </w:t>
      </w:r>
      <w:r w:rsidRPr="00441DF1">
        <w:rPr>
          <w:rFonts w:ascii="Times New Roman" w:hAnsi="Times New Roman" w:cs="Times New Roman"/>
          <w:i/>
          <w:iCs/>
          <w:sz w:val="24"/>
          <w:szCs w:val="24"/>
        </w:rPr>
        <w:t>Recommendations from the debate were well communicated through the media.</w:t>
      </w:r>
    </w:p>
    <w:tbl>
      <w:tblPr>
        <w:tblStyle w:val="TableGrid"/>
        <w:tblW w:w="0" w:type="auto"/>
        <w:tblLook w:val="04A0" w:firstRow="1" w:lastRow="0" w:firstColumn="1" w:lastColumn="0" w:noHBand="0" w:noVBand="1"/>
      </w:tblPr>
      <w:tblGrid>
        <w:gridCol w:w="2695"/>
        <w:gridCol w:w="1429"/>
        <w:gridCol w:w="1751"/>
        <w:gridCol w:w="1545"/>
        <w:gridCol w:w="2156"/>
      </w:tblGrid>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lastRenderedPageBreak/>
              <w:t>Disagree (D)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4.17 </w:t>
      </w:r>
      <w:r w:rsidRPr="00AD28DE">
        <w:rPr>
          <w:rFonts w:ascii="Times New Roman" w:hAnsi="Times New Roman" w:cs="Times New Roman"/>
          <w:sz w:val="24"/>
          <w:szCs w:val="24"/>
        </w:rPr>
        <w:t>highlight that 5% strongly agreed and 15% agreed debate recommendations were well-communicated, while 50% disagreed and 30% strongly disagreed. Overall, </w:t>
      </w:r>
      <w:r w:rsidRPr="00AD28DE">
        <w:rPr>
          <w:rFonts w:ascii="Times New Roman" w:hAnsi="Times New Roman" w:cs="Times New Roman"/>
          <w:b/>
          <w:bCs/>
          <w:sz w:val="24"/>
          <w:szCs w:val="24"/>
        </w:rPr>
        <w:t>80% criticized poor communication of outcomes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4.18</w:t>
      </w:r>
      <w:r w:rsidRPr="00441DF1">
        <w:rPr>
          <w:rFonts w:ascii="Times New Roman" w:hAnsi="Times New Roman" w:cs="Times New Roman"/>
          <w:sz w:val="24"/>
          <w:szCs w:val="24"/>
        </w:rPr>
        <w:t>: </w:t>
      </w:r>
      <w:r w:rsidRPr="00441DF1">
        <w:rPr>
          <w:rFonts w:ascii="Times New Roman" w:hAnsi="Times New Roman" w:cs="Times New Roman"/>
          <w:i/>
          <w:iCs/>
          <w:sz w:val="24"/>
          <w:szCs w:val="24"/>
        </w:rPr>
        <w:t>The debate influenced government palliative measures.</w:t>
      </w:r>
    </w:p>
    <w:tbl>
      <w:tblPr>
        <w:tblStyle w:val="TableGrid"/>
        <w:tblW w:w="0" w:type="auto"/>
        <w:tblLook w:val="04A0" w:firstRow="1" w:lastRow="0" w:firstColumn="1" w:lastColumn="0" w:noHBand="0" w:noVBand="1"/>
      </w:tblPr>
      <w:tblGrid>
        <w:gridCol w:w="2695"/>
        <w:gridCol w:w="1429"/>
        <w:gridCol w:w="1751"/>
        <w:gridCol w:w="1545"/>
        <w:gridCol w:w="2156"/>
      </w:tblGrid>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9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4.18 </w:t>
      </w:r>
      <w:r w:rsidRPr="00AD28DE">
        <w:rPr>
          <w:rFonts w:ascii="Times New Roman" w:hAnsi="Times New Roman" w:cs="Times New Roman"/>
          <w:sz w:val="24"/>
          <w:szCs w:val="24"/>
        </w:rPr>
        <w:t>reveal that 10% strongly agreed and 25% agreed the debate influenced palliative measures, with 40% disagreeing and 25% strongly disagreeing. This reflects </w:t>
      </w:r>
      <w:r w:rsidRPr="00AD28DE">
        <w:rPr>
          <w:rFonts w:ascii="Times New Roman" w:hAnsi="Times New Roman" w:cs="Times New Roman"/>
          <w:b/>
          <w:bCs/>
          <w:sz w:val="24"/>
          <w:szCs w:val="24"/>
        </w:rPr>
        <w:t>65% doubting the debate’s impact on palliatives</w:t>
      </w:r>
      <w:r w:rsidRPr="00AD28DE">
        <w:rPr>
          <w:rFonts w:ascii="Times New Roman" w:hAnsi="Times New Roman" w:cs="Times New Roman"/>
          <w:sz w:val="24"/>
          <w:szCs w:val="24"/>
        </w:rPr>
        <w:t>.</w:t>
      </w:r>
    </w:p>
    <w:p w:rsidR="00BE728A" w:rsidRPr="00441DF1" w:rsidRDefault="00BE728A" w:rsidP="00BE728A">
      <w:pPr>
        <w:spacing w:after="0" w:line="480" w:lineRule="auto"/>
        <w:jc w:val="both"/>
        <w:rPr>
          <w:rFonts w:ascii="Times New Roman" w:hAnsi="Times New Roman" w:cs="Times New Roman"/>
          <w:sz w:val="24"/>
          <w:szCs w:val="24"/>
        </w:rPr>
      </w:pPr>
    </w:p>
    <w:p w:rsidR="00BE728A" w:rsidRPr="00441DF1" w:rsidRDefault="00BE728A" w:rsidP="00BE728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4.19</w:t>
      </w:r>
      <w:r w:rsidRPr="00441DF1">
        <w:rPr>
          <w:rFonts w:ascii="Times New Roman" w:hAnsi="Times New Roman" w:cs="Times New Roman"/>
          <w:sz w:val="24"/>
          <w:szCs w:val="24"/>
        </w:rPr>
        <w:t>: </w:t>
      </w:r>
      <w:r w:rsidRPr="00441DF1">
        <w:rPr>
          <w:rFonts w:ascii="Times New Roman" w:hAnsi="Times New Roman" w:cs="Times New Roman"/>
          <w:i/>
          <w:iCs/>
          <w:sz w:val="24"/>
          <w:szCs w:val="24"/>
        </w:rPr>
        <w:t>The House of Representatives played an active role in protecting citizens' welfare post-subsidy removal.</w:t>
      </w:r>
    </w:p>
    <w:tbl>
      <w:tblPr>
        <w:tblStyle w:val="TableGrid"/>
        <w:tblW w:w="0" w:type="auto"/>
        <w:tblLook w:val="04A0" w:firstRow="1" w:lastRow="0" w:firstColumn="1" w:lastColumn="0" w:noHBand="0" w:noVBand="1"/>
      </w:tblPr>
      <w:tblGrid>
        <w:gridCol w:w="2605"/>
        <w:gridCol w:w="1519"/>
        <w:gridCol w:w="1751"/>
        <w:gridCol w:w="1545"/>
        <w:gridCol w:w="2156"/>
      </w:tblGrid>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lastRenderedPageBreak/>
              <w:t>Variables</w:t>
            </w:r>
          </w:p>
        </w:tc>
        <w:tc>
          <w:tcPr>
            <w:tcW w:w="1519" w:type="dxa"/>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BE728A" w:rsidRPr="00441DF1" w:rsidRDefault="00BE728A" w:rsidP="00D61AE0">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BE728A" w:rsidRPr="00441DF1" w:rsidTr="00D61AE0">
        <w:tc>
          <w:tcPr>
            <w:tcW w:w="2605"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BE728A" w:rsidRPr="00441DF1" w:rsidRDefault="00BE728A" w:rsidP="00D61AE0">
            <w:pPr>
              <w:spacing w:after="0" w:line="480" w:lineRule="auto"/>
              <w:jc w:val="both"/>
              <w:rPr>
                <w:rFonts w:ascii="Times New Roman" w:hAnsi="Times New Roman" w:cs="Times New Roman"/>
                <w:sz w:val="24"/>
                <w:szCs w:val="24"/>
              </w:rPr>
            </w:pPr>
          </w:p>
        </w:tc>
      </w:tr>
    </w:tbl>
    <w:p w:rsidR="00BE728A" w:rsidRPr="008B457B" w:rsidRDefault="00BE728A" w:rsidP="00BE72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728A" w:rsidRDefault="00BE728A" w:rsidP="00BE728A">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table 4.19</w:t>
      </w:r>
      <w:r w:rsidRPr="00AD28DE">
        <w:rPr>
          <w:rFonts w:ascii="Times New Roman" w:hAnsi="Times New Roman" w:cs="Times New Roman"/>
          <w:sz w:val="24"/>
          <w:szCs w:val="24"/>
        </w:rPr>
        <w:t xml:space="preserve"> show that 5% strongly agreed and 15% agreed the House protected welfare post-subsidy, while 50% disagreed and 30% strongly disagreed. In total, </w:t>
      </w:r>
      <w:r w:rsidRPr="00AD28DE">
        <w:rPr>
          <w:rFonts w:ascii="Times New Roman" w:hAnsi="Times New Roman" w:cs="Times New Roman"/>
          <w:b/>
          <w:bCs/>
          <w:sz w:val="24"/>
          <w:szCs w:val="24"/>
        </w:rPr>
        <w:t>80% doubted the House’s role in safeguarding welfare</w:t>
      </w:r>
      <w:r w:rsidRPr="00AD28DE">
        <w:rPr>
          <w:rFonts w:ascii="Times New Roman" w:hAnsi="Times New Roman" w:cs="Times New Roman"/>
          <w:sz w:val="24"/>
          <w:szCs w:val="24"/>
        </w:rPr>
        <w:t>.</w:t>
      </w: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b/>
          <w:bCs/>
          <w:sz w:val="24"/>
          <w:szCs w:val="24"/>
        </w:rPr>
        <w:t>DISCUSSION OF FINDINGS</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The study explored audience perception of media coverage of the House of Representatives’ debate on fuel subsidy removal in Nigeria. The findings, structured around three research objectives, reveal critical insights into public sentiment, media credibility, and legislative efficacy. Below is a detailed discussion of the results in relation to the study’s theoretical framework and existing literature.</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b/>
          <w:bCs/>
          <w:sz w:val="24"/>
          <w:szCs w:val="24"/>
        </w:rPr>
        <w:t>Effects of Fuel Subsidy Removal on the Nigerian Masses</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 xml:space="preserve">The findings confirm that fuel subsidy removal has had profound socio-economic consequences. A staggering 95% of respondents agreed that the policy worsened living costs and transportation fares (Tables 4.5 and 4.6), while 90% linked it to job losses and economic hardship (Table 4.7). These results align with studies by </w:t>
      </w:r>
      <w:proofErr w:type="spellStart"/>
      <w:r w:rsidRPr="008E1237">
        <w:rPr>
          <w:rFonts w:ascii="Times New Roman" w:hAnsi="Times New Roman" w:cs="Times New Roman"/>
          <w:sz w:val="24"/>
          <w:szCs w:val="24"/>
        </w:rPr>
        <w:t>Ozili</w:t>
      </w:r>
      <w:proofErr w:type="spellEnd"/>
      <w:r w:rsidRPr="008E1237">
        <w:rPr>
          <w:rFonts w:ascii="Times New Roman" w:hAnsi="Times New Roman" w:cs="Times New Roman"/>
          <w:sz w:val="24"/>
          <w:szCs w:val="24"/>
        </w:rPr>
        <w:t xml:space="preserve"> and Obiora (2023), who noted that subsidy removal triggers inflation and disproportionately affects low-income households. The lack of government alternatives (85% disapproval, Table 4.8) further exacerbates public frustration, reflecting a disconnect between policy formulation and citizen welfare.</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 xml:space="preserve">Notably, 45% of respondents still supported subsidy removal as necessary for economic progress (Table 4.9). This paradox mirrors findings by </w:t>
      </w:r>
      <w:proofErr w:type="spellStart"/>
      <w:r w:rsidRPr="008E1237">
        <w:rPr>
          <w:rFonts w:ascii="Times New Roman" w:hAnsi="Times New Roman" w:cs="Times New Roman"/>
          <w:sz w:val="24"/>
          <w:szCs w:val="24"/>
        </w:rPr>
        <w:t>Osunmuyiwa</w:t>
      </w:r>
      <w:proofErr w:type="spellEnd"/>
      <w:r w:rsidRPr="008E1237">
        <w:rPr>
          <w:rFonts w:ascii="Times New Roman" w:hAnsi="Times New Roman" w:cs="Times New Roman"/>
          <w:sz w:val="24"/>
          <w:szCs w:val="24"/>
        </w:rPr>
        <w:t xml:space="preserve"> and </w:t>
      </w:r>
      <w:proofErr w:type="spellStart"/>
      <w:r w:rsidRPr="008E1237">
        <w:rPr>
          <w:rFonts w:ascii="Times New Roman" w:hAnsi="Times New Roman" w:cs="Times New Roman"/>
          <w:sz w:val="24"/>
          <w:szCs w:val="24"/>
        </w:rPr>
        <w:t>Kalfagianni</w:t>
      </w:r>
      <w:proofErr w:type="spellEnd"/>
      <w:r w:rsidRPr="008E1237">
        <w:rPr>
          <w:rFonts w:ascii="Times New Roman" w:hAnsi="Times New Roman" w:cs="Times New Roman"/>
          <w:sz w:val="24"/>
          <w:szCs w:val="24"/>
        </w:rPr>
        <w:t xml:space="preserve"> (2023), where some citizens acknowledged long-term fiscal benefits despite short-term hardships. However, the overwhelming dissatisfaction (85%) with inadequate government palliatives underscores the urgency of transparent social safety nets.</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b/>
          <w:bCs/>
          <w:sz w:val="24"/>
          <w:szCs w:val="24"/>
        </w:rPr>
        <w:t>Audience Perception of Media Objectivity and Bias</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 xml:space="preserve">Media coverage of the legislative debate was widely perceived as biased and untrustworthy. 85% of respondents accused media outlets of favoring political interests (Table 4.11), </w:t>
      </w:r>
      <w:r w:rsidRPr="008E1237">
        <w:rPr>
          <w:rFonts w:ascii="Times New Roman" w:hAnsi="Times New Roman" w:cs="Times New Roman"/>
          <w:sz w:val="24"/>
          <w:szCs w:val="24"/>
        </w:rPr>
        <w:lastRenderedPageBreak/>
        <w:t>while 65% deemed coverage unfair (Table 4.10). This aligns with framing theory, which posits that media narratives shape public opinion through selective emphasis (</w:t>
      </w:r>
      <w:proofErr w:type="spellStart"/>
      <w:r w:rsidRPr="008E1237">
        <w:rPr>
          <w:rFonts w:ascii="Times New Roman" w:hAnsi="Times New Roman" w:cs="Times New Roman"/>
          <w:sz w:val="24"/>
          <w:szCs w:val="24"/>
        </w:rPr>
        <w:t>Entman</w:t>
      </w:r>
      <w:proofErr w:type="spellEnd"/>
      <w:r w:rsidRPr="008E1237">
        <w:rPr>
          <w:rFonts w:ascii="Times New Roman" w:hAnsi="Times New Roman" w:cs="Times New Roman"/>
          <w:sz w:val="24"/>
          <w:szCs w:val="24"/>
        </w:rPr>
        <w:t>, 1993). For instance, the media’s focus on political rhetoric over social impacts (70% disapproval, Table 4.13) likely amplified public cynicism.</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Distrust in media balance was strikingly high (80%, Table 4.14), reflecting a broader credibility crisis in Nigerian journalism. Similar patterns were observed by Wahl-Jorgensen et al. (2015), who linked declining media trust to sensationalism and partisan reporting. The poor coverage of economic and social consequences (55% and 70% disapproval, Tables 4.12 and 4.13) further highlights media’s failure to fulfill its democratic role as an informer and watchdog.</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b/>
          <w:bCs/>
          <w:sz w:val="24"/>
          <w:szCs w:val="24"/>
        </w:rPr>
        <w:t>Impact of the House of Representatives Debate</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The House of Representatives’ debate had limited public resonance. While 55% were aware of the debate (Table 4.15), 70% felt it ignored citizens’ hardships (Table 4.16), and 80% criticized poor communication of outcomes (Table 4.17). This aligns with agenda-setting theory, which argues that media prioritization influences issue salience (McCombs &amp; Shaw, 1972). The House’s failure to dominate media narratives or translate debates into actionable palliatives (65% disapproval, Table 4.18) weakened its perceived efficacy.</w:t>
      </w:r>
    </w:p>
    <w:p w:rsidR="00BE728A" w:rsidRPr="008E1237" w:rsidRDefault="00BE728A" w:rsidP="00BE728A">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Furthermore, 80% doubted the House’s role in safeguarding welfare post-subsidy (Table 4.19), reflecting public skepticism about legislative accountability. This mirrors Igbokwe-</w:t>
      </w:r>
      <w:proofErr w:type="spellStart"/>
      <w:r w:rsidRPr="008E1237">
        <w:rPr>
          <w:rFonts w:ascii="Times New Roman" w:hAnsi="Times New Roman" w:cs="Times New Roman"/>
          <w:sz w:val="24"/>
          <w:szCs w:val="24"/>
        </w:rPr>
        <w:t>Ibeto</w:t>
      </w:r>
      <w:proofErr w:type="spellEnd"/>
      <w:r w:rsidRPr="008E1237">
        <w:rPr>
          <w:rFonts w:ascii="Times New Roman" w:hAnsi="Times New Roman" w:cs="Times New Roman"/>
          <w:sz w:val="24"/>
          <w:szCs w:val="24"/>
        </w:rPr>
        <w:t xml:space="preserve"> et al. (2015), who noted that Nigerian legislators often prioritize political interests over grassroots needs.</w:t>
      </w:r>
    </w:p>
    <w:p w:rsidR="00BE728A" w:rsidRDefault="00BE728A" w:rsidP="00BE728A">
      <w:pPr>
        <w:spacing w:after="0" w:line="480" w:lineRule="auto"/>
        <w:jc w:val="both"/>
        <w:rPr>
          <w:rFonts w:ascii="Times New Roman" w:hAnsi="Times New Roman" w:cs="Times New Roman"/>
          <w:sz w:val="24"/>
          <w:szCs w:val="24"/>
        </w:rPr>
      </w:pPr>
    </w:p>
    <w:p w:rsidR="00BE728A" w:rsidRDefault="00BE728A" w:rsidP="00BE728A">
      <w:pPr>
        <w:spacing w:after="0" w:line="480" w:lineRule="auto"/>
        <w:jc w:val="both"/>
        <w:rPr>
          <w:rFonts w:ascii="Times New Roman" w:hAnsi="Times New Roman" w:cs="Times New Roman"/>
          <w:sz w:val="24"/>
          <w:szCs w:val="24"/>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9F1"/>
    <w:multiLevelType w:val="multilevel"/>
    <w:tmpl w:val="3D76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945A3"/>
    <w:multiLevelType w:val="multilevel"/>
    <w:tmpl w:val="5E24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5939"/>
    <w:multiLevelType w:val="multilevel"/>
    <w:tmpl w:val="7300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443D7"/>
    <w:multiLevelType w:val="multilevel"/>
    <w:tmpl w:val="7F06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65EAF"/>
    <w:multiLevelType w:val="multilevel"/>
    <w:tmpl w:val="6B5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84D64"/>
    <w:multiLevelType w:val="multilevel"/>
    <w:tmpl w:val="9096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A37F1"/>
    <w:multiLevelType w:val="hybridMultilevel"/>
    <w:tmpl w:val="A150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E0560"/>
    <w:multiLevelType w:val="hybridMultilevel"/>
    <w:tmpl w:val="AD3E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65E4D"/>
    <w:multiLevelType w:val="multilevel"/>
    <w:tmpl w:val="0EC8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F4008"/>
    <w:multiLevelType w:val="multilevel"/>
    <w:tmpl w:val="7E2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5721F"/>
    <w:multiLevelType w:val="multilevel"/>
    <w:tmpl w:val="D902D2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91037"/>
    <w:multiLevelType w:val="multilevel"/>
    <w:tmpl w:val="7EAC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0085A"/>
    <w:multiLevelType w:val="multilevel"/>
    <w:tmpl w:val="1A4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7399B"/>
    <w:multiLevelType w:val="multilevel"/>
    <w:tmpl w:val="7B9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02AA7"/>
    <w:multiLevelType w:val="multilevel"/>
    <w:tmpl w:val="FDD0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0E3F30"/>
    <w:multiLevelType w:val="multilevel"/>
    <w:tmpl w:val="B16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46B05"/>
    <w:multiLevelType w:val="multilevel"/>
    <w:tmpl w:val="DC985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BB10F9"/>
    <w:multiLevelType w:val="multilevel"/>
    <w:tmpl w:val="B6487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006CAB"/>
    <w:multiLevelType w:val="multilevel"/>
    <w:tmpl w:val="3EB0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1726A"/>
    <w:multiLevelType w:val="multilevel"/>
    <w:tmpl w:val="57A6D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209DC"/>
    <w:multiLevelType w:val="multilevel"/>
    <w:tmpl w:val="C5A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E4B6A"/>
    <w:multiLevelType w:val="multilevel"/>
    <w:tmpl w:val="AA62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474DBC"/>
    <w:multiLevelType w:val="multilevel"/>
    <w:tmpl w:val="BAA24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1449019">
    <w:abstractNumId w:val="6"/>
  </w:num>
  <w:num w:numId="2" w16cid:durableId="1126970020">
    <w:abstractNumId w:val="7"/>
  </w:num>
  <w:num w:numId="3" w16cid:durableId="144667095">
    <w:abstractNumId w:val="20"/>
  </w:num>
  <w:num w:numId="4" w16cid:durableId="580330899">
    <w:abstractNumId w:val="5"/>
  </w:num>
  <w:num w:numId="5" w16cid:durableId="1366981349">
    <w:abstractNumId w:val="12"/>
  </w:num>
  <w:num w:numId="6" w16cid:durableId="1554075988">
    <w:abstractNumId w:val="2"/>
  </w:num>
  <w:num w:numId="7" w16cid:durableId="972634795">
    <w:abstractNumId w:val="14"/>
  </w:num>
  <w:num w:numId="8" w16cid:durableId="469251746">
    <w:abstractNumId w:val="0"/>
  </w:num>
  <w:num w:numId="9" w16cid:durableId="1349915295">
    <w:abstractNumId w:val="16"/>
  </w:num>
  <w:num w:numId="10" w16cid:durableId="2782966">
    <w:abstractNumId w:val="18"/>
  </w:num>
  <w:num w:numId="11" w16cid:durableId="1473215123">
    <w:abstractNumId w:val="21"/>
  </w:num>
  <w:num w:numId="12" w16cid:durableId="566913256">
    <w:abstractNumId w:val="9"/>
  </w:num>
  <w:num w:numId="13" w16cid:durableId="769423945">
    <w:abstractNumId w:val="8"/>
  </w:num>
  <w:num w:numId="14" w16cid:durableId="749884334">
    <w:abstractNumId w:val="10"/>
  </w:num>
  <w:num w:numId="15" w16cid:durableId="1426342576">
    <w:abstractNumId w:val="13"/>
  </w:num>
  <w:num w:numId="16" w16cid:durableId="1274169754">
    <w:abstractNumId w:val="22"/>
  </w:num>
  <w:num w:numId="17" w16cid:durableId="1016269736">
    <w:abstractNumId w:val="17"/>
  </w:num>
  <w:num w:numId="18" w16cid:durableId="361976674">
    <w:abstractNumId w:val="15"/>
  </w:num>
  <w:num w:numId="19" w16cid:durableId="1550073904">
    <w:abstractNumId w:val="4"/>
  </w:num>
  <w:num w:numId="20" w16cid:durableId="1303542475">
    <w:abstractNumId w:val="11"/>
  </w:num>
  <w:num w:numId="21" w16cid:durableId="1194223935">
    <w:abstractNumId w:val="3"/>
  </w:num>
  <w:num w:numId="22" w16cid:durableId="1250693590">
    <w:abstractNumId w:val="1"/>
  </w:num>
  <w:num w:numId="23" w16cid:durableId="12395134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E728A"/>
    <w:rsid w:val="000C6B02"/>
    <w:rsid w:val="00474723"/>
    <w:rsid w:val="009D485D"/>
    <w:rsid w:val="00A631FB"/>
    <w:rsid w:val="00B34AB0"/>
    <w:rsid w:val="00BE728A"/>
    <w:rsid w:val="00C237BA"/>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9B15"/>
  <w15:chartTrackingRefBased/>
  <w15:docId w15:val="{69ADACFA-F362-4B8D-A0F8-A54757E3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8A"/>
    <w:pPr>
      <w:spacing w:after="200" w:line="276" w:lineRule="auto"/>
    </w:pPr>
    <w:rPr>
      <w:rFonts w:ascii="Calibri" w:eastAsia="Calibri" w:hAnsi="Calibri" w:cs="SimSun"/>
      <w:kern w:val="0"/>
      <w:sz w:val="22"/>
      <w:szCs w:val="22"/>
    </w:rPr>
  </w:style>
  <w:style w:type="paragraph" w:styleId="Heading1">
    <w:name w:val="heading 1"/>
    <w:basedOn w:val="Normal"/>
    <w:next w:val="Normal"/>
    <w:link w:val="Heading1Char"/>
    <w:uiPriority w:val="9"/>
    <w:qFormat/>
    <w:rsid w:val="00BE7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7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E7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7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E7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8A"/>
    <w:rPr>
      <w:rFonts w:eastAsiaTheme="majorEastAsia" w:cstheme="majorBidi"/>
      <w:color w:val="272727" w:themeColor="text1" w:themeTint="D8"/>
    </w:rPr>
  </w:style>
  <w:style w:type="paragraph" w:styleId="Title">
    <w:name w:val="Title"/>
    <w:basedOn w:val="Normal"/>
    <w:next w:val="Normal"/>
    <w:link w:val="TitleChar"/>
    <w:uiPriority w:val="10"/>
    <w:qFormat/>
    <w:rsid w:val="00BE7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8A"/>
    <w:pPr>
      <w:spacing w:before="160"/>
      <w:jc w:val="center"/>
    </w:pPr>
    <w:rPr>
      <w:i/>
      <w:iCs/>
      <w:color w:val="404040" w:themeColor="text1" w:themeTint="BF"/>
    </w:rPr>
  </w:style>
  <w:style w:type="character" w:customStyle="1" w:styleId="QuoteChar">
    <w:name w:val="Quote Char"/>
    <w:basedOn w:val="DefaultParagraphFont"/>
    <w:link w:val="Quote"/>
    <w:uiPriority w:val="29"/>
    <w:rsid w:val="00BE728A"/>
    <w:rPr>
      <w:i/>
      <w:iCs/>
      <w:color w:val="404040" w:themeColor="text1" w:themeTint="BF"/>
    </w:rPr>
  </w:style>
  <w:style w:type="paragraph" w:styleId="ListParagraph">
    <w:name w:val="List Paragraph"/>
    <w:basedOn w:val="Normal"/>
    <w:uiPriority w:val="34"/>
    <w:qFormat/>
    <w:rsid w:val="00BE728A"/>
    <w:pPr>
      <w:ind w:left="720"/>
      <w:contextualSpacing/>
    </w:pPr>
  </w:style>
  <w:style w:type="character" w:styleId="IntenseEmphasis">
    <w:name w:val="Intense Emphasis"/>
    <w:basedOn w:val="DefaultParagraphFont"/>
    <w:uiPriority w:val="21"/>
    <w:qFormat/>
    <w:rsid w:val="00BE728A"/>
    <w:rPr>
      <w:i/>
      <w:iCs/>
      <w:color w:val="2F5496" w:themeColor="accent1" w:themeShade="BF"/>
    </w:rPr>
  </w:style>
  <w:style w:type="paragraph" w:styleId="IntenseQuote">
    <w:name w:val="Intense Quote"/>
    <w:basedOn w:val="Normal"/>
    <w:next w:val="Normal"/>
    <w:link w:val="IntenseQuoteChar"/>
    <w:uiPriority w:val="30"/>
    <w:qFormat/>
    <w:rsid w:val="00BE7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28A"/>
    <w:rPr>
      <w:i/>
      <w:iCs/>
      <w:color w:val="2F5496" w:themeColor="accent1" w:themeShade="BF"/>
    </w:rPr>
  </w:style>
  <w:style w:type="character" w:styleId="IntenseReference">
    <w:name w:val="Intense Reference"/>
    <w:basedOn w:val="DefaultParagraphFont"/>
    <w:uiPriority w:val="32"/>
    <w:qFormat/>
    <w:rsid w:val="00BE728A"/>
    <w:rPr>
      <w:b/>
      <w:bCs/>
      <w:smallCaps/>
      <w:color w:val="2F5496" w:themeColor="accent1" w:themeShade="BF"/>
      <w:spacing w:val="5"/>
    </w:rPr>
  </w:style>
  <w:style w:type="paragraph" w:customStyle="1" w:styleId="Default">
    <w:name w:val="Default"/>
    <w:rsid w:val="00BE728A"/>
    <w:pPr>
      <w:autoSpaceDE w:val="0"/>
      <w:autoSpaceDN w:val="0"/>
      <w:adjustRightInd w:val="0"/>
      <w:spacing w:after="0" w:line="240" w:lineRule="auto"/>
    </w:pPr>
    <w:rPr>
      <w:rFonts w:ascii="Arial" w:eastAsia="Calibri" w:hAnsi="Arial" w:cs="Arial"/>
      <w:color w:val="000000"/>
      <w:kern w:val="0"/>
      <w:lang w:val="en-GB"/>
    </w:rPr>
  </w:style>
  <w:style w:type="paragraph" w:styleId="NoSpacing">
    <w:name w:val="No Spacing"/>
    <w:uiPriority w:val="1"/>
    <w:qFormat/>
    <w:rsid w:val="00BE728A"/>
    <w:pPr>
      <w:spacing w:after="0" w:line="240" w:lineRule="auto"/>
    </w:pPr>
    <w:rPr>
      <w:rFonts w:ascii="Calibri" w:eastAsia="SimSun" w:hAnsi="Calibri" w:cs="Times New Roman"/>
      <w:kern w:val="0"/>
      <w:sz w:val="22"/>
      <w:szCs w:val="22"/>
      <w:lang w:eastAsia="zh-CN"/>
    </w:rPr>
  </w:style>
  <w:style w:type="character" w:styleId="Hyperlink">
    <w:name w:val="Hyperlink"/>
    <w:basedOn w:val="DefaultParagraphFont"/>
    <w:uiPriority w:val="99"/>
    <w:qFormat/>
    <w:rsid w:val="00BE728A"/>
    <w:rPr>
      <w:color w:val="0563C1"/>
      <w:u w:val="single"/>
    </w:rPr>
  </w:style>
  <w:style w:type="table" w:styleId="TableGrid">
    <w:name w:val="Table Grid"/>
    <w:basedOn w:val="TableNormal"/>
    <w:uiPriority w:val="39"/>
    <w:rsid w:val="00BE728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8A"/>
    <w:rPr>
      <w:color w:val="605E5C"/>
      <w:shd w:val="clear" w:color="auto" w:fill="E1DFDD"/>
    </w:rPr>
  </w:style>
  <w:style w:type="character" w:styleId="Strong">
    <w:name w:val="Strong"/>
    <w:basedOn w:val="DefaultParagraphFont"/>
    <w:uiPriority w:val="22"/>
    <w:qFormat/>
    <w:rsid w:val="00BE728A"/>
    <w:rPr>
      <w:b/>
      <w:bCs/>
    </w:rPr>
  </w:style>
  <w:style w:type="paragraph" w:customStyle="1" w:styleId="ds-markdown-paragraph">
    <w:name w:val="ds-markdown-paragraph"/>
    <w:basedOn w:val="Normal"/>
    <w:rsid w:val="00BE72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7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2180</Words>
  <Characters>12428</Characters>
  <Application>Microsoft Office Word</Application>
  <DocSecurity>0</DocSecurity>
  <Lines>103</Lines>
  <Paragraphs>29</Paragraphs>
  <ScaleCrop>false</ScaleCrop>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2025-05-21T10:35:00Z</dcterms:created>
  <dcterms:modified xsi:type="dcterms:W3CDTF">2025-05-21T10:36:00Z</dcterms:modified>
</cp:coreProperties>
</file>