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CHAPTER FOUR</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SYSTEM IMPLEMENTATION AND TESTING</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4.1 Introduction</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4.2 Implementation Process</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The implementation was carried out in well-structured phases to ensure minimal disruption to laboratory activities and to maintain quality standards. The main stages involved are:</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4.2.1 Site Preparation</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The existing electrical infrastructure was assessed to identify areas requiring upgrades. Equipment placement, cable routes, and distribution points were also mapped out.</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4.2.2 Material Procurement and Logistics</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Essential electrical components and tools were procured based on the specifications in the design. Materials included:</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Copper wires and armored cables</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Miniature Circuit Breakers (MCBs) and Residual Current Devices (RCDs)</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Distribution boards</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Conduits, sockets, and switches</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Power backup units (UPS or inverter)</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Energy meters</w:t>
      </w:r>
    </w:p>
    <w:p w:rsidR="00A210ED" w:rsidRPr="00616867" w:rsidRDefault="00A210ED" w:rsidP="00A210ED">
      <w:pPr>
        <w:numPr>
          <w:ilvl w:val="0"/>
          <w:numId w:val="1"/>
        </w:numPr>
        <w:rPr>
          <w:rFonts w:ascii="Times New Roman" w:hAnsi="Times New Roman" w:cs="Times New Roman"/>
          <w:sz w:val="24"/>
          <w:szCs w:val="24"/>
        </w:rPr>
      </w:pPr>
      <w:r w:rsidRPr="00616867">
        <w:rPr>
          <w:rFonts w:ascii="Times New Roman" w:hAnsi="Times New Roman" w:cs="Times New Roman"/>
          <w:sz w:val="24"/>
          <w:szCs w:val="24"/>
        </w:rPr>
        <w:t>Protective earth rods and grounding cables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4.2.3 Installation</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The installation was executed in line with the approved electrical design layout.</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t>Wiring</w:t>
      </w:r>
      <w:r w:rsidRPr="00616867">
        <w:rPr>
          <w:rFonts w:ascii="Times New Roman" w:hAnsi="Times New Roman" w:cs="Times New Roman"/>
          <w:sz w:val="24"/>
          <w:szCs w:val="24"/>
        </w:rPr>
        <w:t>: Proper trunking and conduiting were carried out for both surface and concealed wiring.</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t>Switches and Sockets</w:t>
      </w:r>
      <w:r w:rsidRPr="00616867">
        <w:rPr>
          <w:rFonts w:ascii="Times New Roman" w:hAnsi="Times New Roman" w:cs="Times New Roman"/>
          <w:sz w:val="24"/>
          <w:szCs w:val="24"/>
        </w:rPr>
        <w:t>: Strategically placed to serve multiple lab benches and testing equipment.</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t>Lighting System</w:t>
      </w:r>
      <w:r w:rsidRPr="00616867">
        <w:rPr>
          <w:rFonts w:ascii="Times New Roman" w:hAnsi="Times New Roman" w:cs="Times New Roman"/>
          <w:sz w:val="24"/>
          <w:szCs w:val="24"/>
        </w:rPr>
        <w:t>: Energy-efficient LED lights were installed for consistent illumination.</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lastRenderedPageBreak/>
        <w:t>Power Backup System</w:t>
      </w:r>
      <w:r w:rsidRPr="00616867">
        <w:rPr>
          <w:rFonts w:ascii="Times New Roman" w:hAnsi="Times New Roman" w:cs="Times New Roman"/>
          <w:sz w:val="24"/>
          <w:szCs w:val="24"/>
        </w:rPr>
        <w:t>: A UPS and inverter system were integrated to ensure uninterrupted power supply during outages.</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t>Grounding</w:t>
      </w:r>
      <w:r w:rsidRPr="00616867">
        <w:rPr>
          <w:rFonts w:ascii="Times New Roman" w:hAnsi="Times New Roman" w:cs="Times New Roman"/>
          <w:sz w:val="24"/>
          <w:szCs w:val="24"/>
        </w:rPr>
        <w:t>: Grounding was implemented to prevent electrical hazards and improve safety.</w:t>
      </w:r>
    </w:p>
    <w:p w:rsidR="00A210ED" w:rsidRPr="00616867" w:rsidRDefault="00A210ED" w:rsidP="00A210ED">
      <w:pPr>
        <w:numPr>
          <w:ilvl w:val="0"/>
          <w:numId w:val="2"/>
        </w:numPr>
        <w:rPr>
          <w:rFonts w:ascii="Times New Roman" w:hAnsi="Times New Roman" w:cs="Times New Roman"/>
          <w:sz w:val="24"/>
          <w:szCs w:val="24"/>
        </w:rPr>
      </w:pPr>
      <w:r w:rsidRPr="00616867">
        <w:rPr>
          <w:rFonts w:ascii="Times New Roman" w:hAnsi="Times New Roman" w:cs="Times New Roman"/>
          <w:b/>
          <w:bCs/>
          <w:sz w:val="24"/>
          <w:szCs w:val="24"/>
        </w:rPr>
        <w:t>Distribution Board Setup</w:t>
      </w:r>
      <w:r w:rsidRPr="00616867">
        <w:rPr>
          <w:rFonts w:ascii="Times New Roman" w:hAnsi="Times New Roman" w:cs="Times New Roman"/>
          <w:sz w:val="24"/>
          <w:szCs w:val="24"/>
        </w:rPr>
        <w:t>: Sub-panels and MCBs were configured to protect circuits and isolate faults.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4.3 Safety Considerations</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Throughout the implementation, strict safety protocols were observed:</w:t>
      </w:r>
    </w:p>
    <w:p w:rsidR="00A210ED" w:rsidRPr="00616867" w:rsidRDefault="00A210ED" w:rsidP="00A210ED">
      <w:pPr>
        <w:numPr>
          <w:ilvl w:val="0"/>
          <w:numId w:val="3"/>
        </w:numPr>
        <w:rPr>
          <w:rFonts w:ascii="Times New Roman" w:hAnsi="Times New Roman" w:cs="Times New Roman"/>
          <w:sz w:val="24"/>
          <w:szCs w:val="24"/>
        </w:rPr>
      </w:pPr>
      <w:r w:rsidRPr="00616867">
        <w:rPr>
          <w:rFonts w:ascii="Times New Roman" w:hAnsi="Times New Roman" w:cs="Times New Roman"/>
          <w:sz w:val="24"/>
          <w:szCs w:val="24"/>
        </w:rPr>
        <w:t>Use of Personal Protective Equipment (PPE) by installation personnel</w:t>
      </w:r>
    </w:p>
    <w:p w:rsidR="00A210ED" w:rsidRPr="00616867" w:rsidRDefault="00A210ED" w:rsidP="00A210ED">
      <w:pPr>
        <w:numPr>
          <w:ilvl w:val="0"/>
          <w:numId w:val="3"/>
        </w:numPr>
        <w:rPr>
          <w:rFonts w:ascii="Times New Roman" w:hAnsi="Times New Roman" w:cs="Times New Roman"/>
          <w:sz w:val="24"/>
          <w:szCs w:val="24"/>
        </w:rPr>
      </w:pPr>
      <w:r w:rsidRPr="00616867">
        <w:rPr>
          <w:rFonts w:ascii="Times New Roman" w:hAnsi="Times New Roman" w:cs="Times New Roman"/>
          <w:sz w:val="24"/>
          <w:szCs w:val="24"/>
        </w:rPr>
        <w:t>Compliance with IEEE and local electrical codes</w:t>
      </w:r>
    </w:p>
    <w:p w:rsidR="00A210ED" w:rsidRPr="00616867" w:rsidRDefault="00A210ED" w:rsidP="00A210ED">
      <w:pPr>
        <w:numPr>
          <w:ilvl w:val="0"/>
          <w:numId w:val="3"/>
        </w:numPr>
        <w:rPr>
          <w:rFonts w:ascii="Times New Roman" w:hAnsi="Times New Roman" w:cs="Times New Roman"/>
          <w:sz w:val="24"/>
          <w:szCs w:val="24"/>
        </w:rPr>
      </w:pPr>
      <w:r w:rsidRPr="00616867">
        <w:rPr>
          <w:rFonts w:ascii="Times New Roman" w:hAnsi="Times New Roman" w:cs="Times New Roman"/>
          <w:sz w:val="24"/>
          <w:szCs w:val="24"/>
        </w:rPr>
        <w:t>Testing of circuits before energizing</w:t>
      </w:r>
    </w:p>
    <w:p w:rsidR="00A210ED" w:rsidRPr="00616867" w:rsidRDefault="00A210ED" w:rsidP="00A210ED">
      <w:pPr>
        <w:numPr>
          <w:ilvl w:val="0"/>
          <w:numId w:val="3"/>
        </w:numPr>
        <w:rPr>
          <w:rFonts w:ascii="Times New Roman" w:hAnsi="Times New Roman" w:cs="Times New Roman"/>
          <w:sz w:val="24"/>
          <w:szCs w:val="24"/>
        </w:rPr>
      </w:pPr>
      <w:r w:rsidRPr="00616867">
        <w:rPr>
          <w:rFonts w:ascii="Times New Roman" w:hAnsi="Times New Roman" w:cs="Times New Roman"/>
          <w:sz w:val="24"/>
          <w:szCs w:val="24"/>
        </w:rPr>
        <w:t>Clear labeling of all circuit breakers and control points</w:t>
      </w:r>
    </w:p>
    <w:p w:rsidR="00A210ED" w:rsidRPr="00616867" w:rsidRDefault="00A210ED" w:rsidP="00A210ED">
      <w:pPr>
        <w:numPr>
          <w:ilvl w:val="0"/>
          <w:numId w:val="3"/>
        </w:numPr>
        <w:rPr>
          <w:rFonts w:ascii="Times New Roman" w:hAnsi="Times New Roman" w:cs="Times New Roman"/>
          <w:sz w:val="24"/>
          <w:szCs w:val="24"/>
        </w:rPr>
      </w:pPr>
      <w:r w:rsidRPr="00616867">
        <w:rPr>
          <w:rFonts w:ascii="Times New Roman" w:hAnsi="Times New Roman" w:cs="Times New Roman"/>
          <w:sz w:val="24"/>
          <w:szCs w:val="24"/>
        </w:rPr>
        <w:t>Fire extinguishers and emergency cut-off switches installed at strategic locations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 Testing and Evaluation</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4.4.1 Electrical Continuity Test</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This test ensured that all electrical connections were complete and conductive. A digital multimeter was used to verify continuity from switches to sockets and equipment points.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4.4.2 Insulation Resistance Test</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Using an insulation resistance tester (megger), insulation between conductors and between conductors and earth was measured. Values above 1 MΩ were confirmed, indicating acceptable insulation quality.</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4.4.3 Earth Resistance Test</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A ground tester was used to verify that the earth resistance was below the recommended value (typically &lt;5 ohms), ensuring effective fault current dissipation.</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4.4.4 Load Testing</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The system was subjected to simulated load conditions using dummy resistive loads and actual lab equipment. The distribution network showed no signs of overheating or voltage drops.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4.4.5 Backup Power Test</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t>The inverter and UPS systems were tested under different loading scenarios. Automatic switching and power delivery within seconds of mains failure were confirmed.</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4.5 Observations</w:t>
      </w:r>
    </w:p>
    <w:p w:rsidR="00A210ED" w:rsidRPr="00616867" w:rsidRDefault="00A210ED" w:rsidP="00A210ED">
      <w:pPr>
        <w:rPr>
          <w:rFonts w:ascii="Times New Roman" w:hAnsi="Times New Roman" w:cs="Times New Roman"/>
          <w:sz w:val="24"/>
          <w:szCs w:val="24"/>
        </w:rPr>
      </w:pPr>
      <w:r w:rsidRPr="00616867">
        <w:rPr>
          <w:rFonts w:ascii="Times New Roman" w:hAnsi="Times New Roman" w:cs="Times New Roman"/>
          <w:sz w:val="24"/>
          <w:szCs w:val="24"/>
        </w:rPr>
        <w:lastRenderedPageBreak/>
        <w:t>The electrification system performed effectively during all tests. The system demonstrated:</w:t>
      </w:r>
    </w:p>
    <w:p w:rsidR="00A210ED" w:rsidRPr="00616867" w:rsidRDefault="00A210ED" w:rsidP="00A210ED">
      <w:pPr>
        <w:numPr>
          <w:ilvl w:val="0"/>
          <w:numId w:val="4"/>
        </w:numPr>
        <w:rPr>
          <w:rFonts w:ascii="Times New Roman" w:hAnsi="Times New Roman" w:cs="Times New Roman"/>
          <w:sz w:val="24"/>
          <w:szCs w:val="24"/>
        </w:rPr>
      </w:pPr>
      <w:r w:rsidRPr="00616867">
        <w:rPr>
          <w:rFonts w:ascii="Times New Roman" w:hAnsi="Times New Roman" w:cs="Times New Roman"/>
          <w:sz w:val="24"/>
          <w:szCs w:val="24"/>
        </w:rPr>
        <w:t>Stable voltage output across various load points</w:t>
      </w:r>
    </w:p>
    <w:p w:rsidR="00A210ED" w:rsidRPr="00616867" w:rsidRDefault="00A210ED" w:rsidP="00A210ED">
      <w:pPr>
        <w:numPr>
          <w:ilvl w:val="0"/>
          <w:numId w:val="4"/>
        </w:numPr>
        <w:rPr>
          <w:rFonts w:ascii="Times New Roman" w:hAnsi="Times New Roman" w:cs="Times New Roman"/>
          <w:sz w:val="24"/>
          <w:szCs w:val="24"/>
        </w:rPr>
      </w:pPr>
      <w:r w:rsidRPr="00616867">
        <w:rPr>
          <w:rFonts w:ascii="Times New Roman" w:hAnsi="Times New Roman" w:cs="Times New Roman"/>
          <w:sz w:val="24"/>
          <w:szCs w:val="24"/>
        </w:rPr>
        <w:t>Proper circuit isolation during simulated faults</w:t>
      </w:r>
    </w:p>
    <w:p w:rsidR="00A210ED" w:rsidRPr="00616867" w:rsidRDefault="00A210ED" w:rsidP="00A210ED">
      <w:pPr>
        <w:numPr>
          <w:ilvl w:val="0"/>
          <w:numId w:val="4"/>
        </w:numPr>
        <w:rPr>
          <w:rFonts w:ascii="Times New Roman" w:hAnsi="Times New Roman" w:cs="Times New Roman"/>
          <w:sz w:val="24"/>
          <w:szCs w:val="24"/>
        </w:rPr>
      </w:pPr>
      <w:r w:rsidRPr="00616867">
        <w:rPr>
          <w:rFonts w:ascii="Times New Roman" w:hAnsi="Times New Roman" w:cs="Times New Roman"/>
          <w:sz w:val="24"/>
          <w:szCs w:val="24"/>
        </w:rPr>
        <w:t>No significant power fluctuations during transition to backup power</w:t>
      </w:r>
    </w:p>
    <w:p w:rsidR="00A210ED" w:rsidRPr="00616867" w:rsidRDefault="00A210ED" w:rsidP="00A210ED">
      <w:pPr>
        <w:numPr>
          <w:ilvl w:val="0"/>
          <w:numId w:val="4"/>
        </w:numPr>
        <w:rPr>
          <w:rFonts w:ascii="Times New Roman" w:hAnsi="Times New Roman" w:cs="Times New Roman"/>
          <w:sz w:val="24"/>
          <w:szCs w:val="24"/>
        </w:rPr>
      </w:pPr>
      <w:r w:rsidRPr="00616867">
        <w:rPr>
          <w:rFonts w:ascii="Times New Roman" w:hAnsi="Times New Roman" w:cs="Times New Roman"/>
          <w:sz w:val="24"/>
          <w:szCs w:val="24"/>
        </w:rPr>
        <w:t>Efficient lighting and power delivery across lab sections</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4.6 Challenges Encountered</w:t>
      </w:r>
    </w:p>
    <w:p w:rsidR="00A210ED" w:rsidRPr="00616867" w:rsidRDefault="00A210ED" w:rsidP="00A210ED">
      <w:pPr>
        <w:numPr>
          <w:ilvl w:val="0"/>
          <w:numId w:val="5"/>
        </w:numPr>
        <w:rPr>
          <w:rFonts w:ascii="Times New Roman" w:hAnsi="Times New Roman" w:cs="Times New Roman"/>
          <w:sz w:val="24"/>
          <w:szCs w:val="24"/>
        </w:rPr>
      </w:pPr>
      <w:r w:rsidRPr="00616867">
        <w:rPr>
          <w:rFonts w:ascii="Times New Roman" w:hAnsi="Times New Roman" w:cs="Times New Roman"/>
          <w:b/>
          <w:bCs/>
          <w:sz w:val="24"/>
          <w:szCs w:val="24"/>
        </w:rPr>
        <w:t>Delay in material delivery</w:t>
      </w:r>
      <w:r w:rsidRPr="00616867">
        <w:rPr>
          <w:rFonts w:ascii="Times New Roman" w:hAnsi="Times New Roman" w:cs="Times New Roman"/>
          <w:sz w:val="24"/>
          <w:szCs w:val="24"/>
        </w:rPr>
        <w:t xml:space="preserve"> affected the project timeline.</w:t>
      </w:r>
    </w:p>
    <w:p w:rsidR="00A210ED" w:rsidRPr="00616867" w:rsidRDefault="00A210ED" w:rsidP="00A210ED">
      <w:pPr>
        <w:numPr>
          <w:ilvl w:val="0"/>
          <w:numId w:val="5"/>
        </w:numPr>
        <w:rPr>
          <w:rFonts w:ascii="Times New Roman" w:hAnsi="Times New Roman" w:cs="Times New Roman"/>
          <w:sz w:val="24"/>
          <w:szCs w:val="24"/>
        </w:rPr>
      </w:pPr>
      <w:r w:rsidRPr="00616867">
        <w:rPr>
          <w:rFonts w:ascii="Times New Roman" w:hAnsi="Times New Roman" w:cs="Times New Roman"/>
          <w:b/>
          <w:bCs/>
          <w:sz w:val="24"/>
          <w:szCs w:val="24"/>
        </w:rPr>
        <w:t>Undocumented wiring</w:t>
      </w:r>
      <w:r w:rsidRPr="00616867">
        <w:rPr>
          <w:rFonts w:ascii="Times New Roman" w:hAnsi="Times New Roman" w:cs="Times New Roman"/>
          <w:sz w:val="24"/>
          <w:szCs w:val="24"/>
        </w:rPr>
        <w:t xml:space="preserve"> from the previous installation caused minor complications in the rewiring phase.</w:t>
      </w:r>
    </w:p>
    <w:p w:rsidR="00A210ED" w:rsidRPr="00616867" w:rsidRDefault="00A210ED" w:rsidP="00A210ED">
      <w:pPr>
        <w:numPr>
          <w:ilvl w:val="0"/>
          <w:numId w:val="5"/>
        </w:numPr>
        <w:rPr>
          <w:rFonts w:ascii="Times New Roman" w:hAnsi="Times New Roman" w:cs="Times New Roman"/>
          <w:sz w:val="24"/>
          <w:szCs w:val="24"/>
        </w:rPr>
      </w:pPr>
      <w:r w:rsidRPr="00616867">
        <w:rPr>
          <w:rFonts w:ascii="Times New Roman" w:hAnsi="Times New Roman" w:cs="Times New Roman"/>
          <w:b/>
          <w:bCs/>
          <w:sz w:val="24"/>
          <w:szCs w:val="24"/>
        </w:rPr>
        <w:t>Power supply inconsistency</w:t>
      </w:r>
      <w:r w:rsidRPr="00616867">
        <w:rPr>
          <w:rFonts w:ascii="Times New Roman" w:hAnsi="Times New Roman" w:cs="Times New Roman"/>
          <w:sz w:val="24"/>
          <w:szCs w:val="24"/>
        </w:rPr>
        <w:t xml:space="preserve"> from the utility grid led to temporary interruptions during testing.</w:t>
      </w:r>
    </w:p>
    <w:p w:rsidR="00A210ED" w:rsidRPr="00616867" w:rsidRDefault="00A210ED" w:rsidP="00A210ED">
      <w:pPr>
        <w:rPr>
          <w:rFonts w:ascii="Times New Roman" w:hAnsi="Times New Roman" w:cs="Times New Roman"/>
          <w:b/>
          <w:bCs/>
          <w:sz w:val="24"/>
          <w:szCs w:val="24"/>
        </w:rPr>
      </w:pPr>
      <w:r w:rsidRPr="00616867">
        <w:rPr>
          <w:rFonts w:ascii="Times New Roman" w:hAnsi="Times New Roman" w:cs="Times New Roman"/>
          <w:b/>
          <w:bCs/>
          <w:sz w:val="24"/>
          <w:szCs w:val="24"/>
        </w:rPr>
        <w:t>4.7 Mitigation Measures</w:t>
      </w:r>
    </w:p>
    <w:p w:rsidR="00A210ED" w:rsidRPr="00616867" w:rsidRDefault="00A210ED" w:rsidP="00A210ED">
      <w:pPr>
        <w:numPr>
          <w:ilvl w:val="0"/>
          <w:numId w:val="6"/>
        </w:numPr>
        <w:rPr>
          <w:rFonts w:ascii="Times New Roman" w:hAnsi="Times New Roman" w:cs="Times New Roman"/>
          <w:sz w:val="24"/>
          <w:szCs w:val="24"/>
        </w:rPr>
      </w:pPr>
      <w:r w:rsidRPr="00616867">
        <w:rPr>
          <w:rFonts w:ascii="Times New Roman" w:hAnsi="Times New Roman" w:cs="Times New Roman"/>
          <w:sz w:val="24"/>
          <w:szCs w:val="24"/>
        </w:rPr>
        <w:t>Early procurement planning for future phases</w:t>
      </w:r>
    </w:p>
    <w:p w:rsidR="00A210ED" w:rsidRPr="00616867" w:rsidRDefault="00A210ED" w:rsidP="00A210ED">
      <w:pPr>
        <w:numPr>
          <w:ilvl w:val="0"/>
          <w:numId w:val="6"/>
        </w:numPr>
        <w:rPr>
          <w:rFonts w:ascii="Times New Roman" w:hAnsi="Times New Roman" w:cs="Times New Roman"/>
          <w:sz w:val="24"/>
          <w:szCs w:val="24"/>
        </w:rPr>
      </w:pPr>
      <w:r w:rsidRPr="00616867">
        <w:rPr>
          <w:rFonts w:ascii="Times New Roman" w:hAnsi="Times New Roman" w:cs="Times New Roman"/>
          <w:sz w:val="24"/>
          <w:szCs w:val="24"/>
        </w:rPr>
        <w:t>Use of circuit tracing tools to identify undocumented wiring</w:t>
      </w:r>
    </w:p>
    <w:p w:rsidR="00A210ED" w:rsidRPr="00616867" w:rsidRDefault="00A210ED" w:rsidP="00A210ED">
      <w:pPr>
        <w:numPr>
          <w:ilvl w:val="0"/>
          <w:numId w:val="6"/>
        </w:numPr>
        <w:rPr>
          <w:rFonts w:ascii="Times New Roman" w:hAnsi="Times New Roman" w:cs="Times New Roman"/>
          <w:sz w:val="24"/>
          <w:szCs w:val="24"/>
        </w:rPr>
      </w:pPr>
      <w:r w:rsidRPr="00616867">
        <w:rPr>
          <w:rFonts w:ascii="Times New Roman" w:hAnsi="Times New Roman" w:cs="Times New Roman"/>
          <w:sz w:val="24"/>
          <w:szCs w:val="24"/>
        </w:rPr>
        <w:t>Installation of temporary power support during grid failure</w:t>
      </w:r>
    </w:p>
    <w:p w:rsidR="00FA22CD" w:rsidRPr="00FA22CD" w:rsidRDefault="00FA22CD" w:rsidP="00FA22CD">
      <w:pPr>
        <w:rPr>
          <w:rFonts w:ascii="Times New Roman" w:hAnsi="Times New Roman" w:cs="Times New Roman"/>
          <w:b/>
          <w:bCs/>
          <w:sz w:val="24"/>
          <w:szCs w:val="24"/>
        </w:rPr>
      </w:pPr>
      <w:r w:rsidRPr="00FA22CD">
        <w:rPr>
          <w:rFonts w:ascii="Times New Roman" w:hAnsi="Times New Roman" w:cs="Times New Roman"/>
          <w:b/>
          <w:bCs/>
          <w:sz w:val="24"/>
          <w:szCs w:val="24"/>
        </w:rPr>
        <w:t>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S/NO</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Description</w:t>
            </w:r>
          </w:p>
        </w:tc>
        <w:tc>
          <w:tcPr>
            <w:tcW w:w="1858"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Unit</w:t>
            </w:r>
            <w:r>
              <w:rPr>
                <w:rFonts w:ascii="Times New Roman" w:hAnsi="Times New Roman" w:cs="Times New Roman"/>
                <w:sz w:val="24"/>
                <w:szCs w:val="24"/>
              </w:rPr>
              <w:t>/</w:t>
            </w:r>
            <w:r w:rsidRPr="00FA22CD">
              <w:rPr>
                <w:rFonts w:ascii="Times New Roman" w:hAnsi="Times New Roman" w:cs="Times New Roman"/>
                <w:sz w:val="24"/>
                <w:szCs w:val="24"/>
              </w:rPr>
              <w:t>Quantity</w:t>
            </w:r>
          </w:p>
        </w:tc>
        <w:tc>
          <w:tcPr>
            <w:tcW w:w="1719"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Unit Rate (₦)</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Total Cost (₦)</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PVC Conduit (20mm/25mm)</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500m</w:t>
            </w:r>
          </w:p>
        </w:tc>
        <w:tc>
          <w:tcPr>
            <w:tcW w:w="1719"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500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250,000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2.</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Electrical Wires (1.5mm², 2.5mm², 4mm²)</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20</w:t>
            </w:r>
          </w:p>
        </w:tc>
        <w:tc>
          <w:tcPr>
            <w:tcW w:w="1719"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15,000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300,000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3.</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13A Socket Outlets (Double)</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60</w:t>
            </w:r>
          </w:p>
        </w:tc>
        <w:tc>
          <w:tcPr>
            <w:tcW w:w="1719"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3,500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210,000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4.</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Switches (1 Gang, 2 Gang)</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30</w:t>
            </w:r>
          </w:p>
        </w:tc>
        <w:tc>
          <w:tcPr>
            <w:tcW w:w="1719"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2,000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60,000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5.</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Trunking (PVC/Aluminium)</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300m</w:t>
            </w:r>
          </w:p>
        </w:tc>
        <w:tc>
          <w:tcPr>
            <w:tcW w:w="1719"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1,200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360,000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6.</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LED Panel Lights (60W)</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20</w:t>
            </w:r>
          </w:p>
        </w:tc>
        <w:tc>
          <w:tcPr>
            <w:tcW w:w="1719"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15,000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300,000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7.</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Outdoor Security Floodlight (100W)</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4</w:t>
            </w:r>
          </w:p>
        </w:tc>
        <w:tc>
          <w:tcPr>
            <w:tcW w:w="1719"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18,000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72,000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8.</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Emergency Lights</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6</w:t>
            </w:r>
          </w:p>
        </w:tc>
        <w:tc>
          <w:tcPr>
            <w:tcW w:w="1719"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12,000</w:t>
            </w:r>
          </w:p>
        </w:tc>
        <w:tc>
          <w:tcPr>
            <w:tcW w:w="1724"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72,000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9.</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Copper Earth Rod (5ft x 16mm)</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4</w:t>
            </w:r>
          </w:p>
        </w:tc>
        <w:tc>
          <w:tcPr>
            <w:tcW w:w="1719" w:type="dxa"/>
          </w:tcPr>
          <w:p w:rsidR="00FA22CD" w:rsidRDefault="00805353" w:rsidP="00FA22CD">
            <w:pPr>
              <w:jc w:val="center"/>
              <w:rPr>
                <w:rFonts w:ascii="Times New Roman" w:hAnsi="Times New Roman" w:cs="Times New Roman"/>
                <w:sz w:val="24"/>
                <w:szCs w:val="24"/>
              </w:rPr>
            </w:pPr>
            <w:r w:rsidRPr="00805353">
              <w:rPr>
                <w:rFonts w:ascii="Times New Roman" w:hAnsi="Times New Roman" w:cs="Times New Roman"/>
                <w:sz w:val="24"/>
                <w:szCs w:val="24"/>
              </w:rPr>
              <w:t>25,000</w:t>
            </w:r>
          </w:p>
        </w:tc>
        <w:tc>
          <w:tcPr>
            <w:tcW w:w="1724" w:type="dxa"/>
          </w:tcPr>
          <w:p w:rsidR="00FA22CD" w:rsidRDefault="00805353" w:rsidP="00FA22CD">
            <w:pPr>
              <w:jc w:val="center"/>
              <w:rPr>
                <w:rFonts w:ascii="Times New Roman" w:hAnsi="Times New Roman" w:cs="Times New Roman"/>
                <w:sz w:val="24"/>
                <w:szCs w:val="24"/>
              </w:rPr>
            </w:pPr>
            <w:r w:rsidRPr="00805353">
              <w:rPr>
                <w:rFonts w:ascii="Times New Roman" w:hAnsi="Times New Roman" w:cs="Times New Roman"/>
                <w:sz w:val="24"/>
                <w:szCs w:val="24"/>
              </w:rPr>
              <w:t>100,000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10.</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Earth Cable (16mm²)</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2</w:t>
            </w:r>
          </w:p>
        </w:tc>
        <w:tc>
          <w:tcPr>
            <w:tcW w:w="1719" w:type="dxa"/>
          </w:tcPr>
          <w:p w:rsidR="00FA22CD" w:rsidRDefault="00805353" w:rsidP="00FA22CD">
            <w:pPr>
              <w:jc w:val="center"/>
              <w:rPr>
                <w:rFonts w:ascii="Times New Roman" w:hAnsi="Times New Roman" w:cs="Times New Roman"/>
                <w:sz w:val="24"/>
                <w:szCs w:val="24"/>
              </w:rPr>
            </w:pPr>
            <w:r>
              <w:rPr>
                <w:rFonts w:ascii="Times New Roman" w:hAnsi="Times New Roman" w:cs="Times New Roman"/>
                <w:sz w:val="24"/>
                <w:szCs w:val="24"/>
              </w:rPr>
              <w:t>4</w:t>
            </w:r>
            <w:r w:rsidRPr="00805353">
              <w:rPr>
                <w:rFonts w:ascii="Times New Roman" w:hAnsi="Times New Roman" w:cs="Times New Roman"/>
                <w:sz w:val="24"/>
                <w:szCs w:val="24"/>
              </w:rPr>
              <w:t>5,000</w:t>
            </w:r>
          </w:p>
        </w:tc>
        <w:tc>
          <w:tcPr>
            <w:tcW w:w="1724" w:type="dxa"/>
          </w:tcPr>
          <w:p w:rsidR="00FA22CD" w:rsidRDefault="00805353" w:rsidP="00FA22CD">
            <w:pPr>
              <w:jc w:val="center"/>
              <w:rPr>
                <w:rFonts w:ascii="Times New Roman" w:hAnsi="Times New Roman" w:cs="Times New Roman"/>
                <w:sz w:val="24"/>
                <w:szCs w:val="24"/>
              </w:rPr>
            </w:pPr>
            <w:r>
              <w:rPr>
                <w:rFonts w:ascii="Times New Roman" w:hAnsi="Times New Roman" w:cs="Times New Roman"/>
                <w:sz w:val="24"/>
                <w:szCs w:val="24"/>
              </w:rPr>
              <w:t>9</w:t>
            </w:r>
            <w:r w:rsidRPr="00805353">
              <w:rPr>
                <w:rFonts w:ascii="Times New Roman" w:hAnsi="Times New Roman" w:cs="Times New Roman"/>
                <w:sz w:val="24"/>
                <w:szCs w:val="24"/>
              </w:rPr>
              <w:t>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11.</w:t>
            </w:r>
          </w:p>
        </w:tc>
        <w:tc>
          <w:tcPr>
            <w:tcW w:w="3285" w:type="dxa"/>
          </w:tcPr>
          <w:p w:rsidR="00FA22CD" w:rsidRDefault="00FA22CD" w:rsidP="00FA22CD">
            <w:pPr>
              <w:jc w:val="center"/>
              <w:rPr>
                <w:rFonts w:ascii="Times New Roman" w:hAnsi="Times New Roman" w:cs="Times New Roman"/>
                <w:sz w:val="24"/>
                <w:szCs w:val="24"/>
              </w:rPr>
            </w:pPr>
            <w:r w:rsidRPr="00FA22CD">
              <w:rPr>
                <w:rFonts w:ascii="Times New Roman" w:hAnsi="Times New Roman" w:cs="Times New Roman"/>
                <w:sz w:val="24"/>
                <w:szCs w:val="24"/>
              </w:rPr>
              <w:t>RCCB – 63A</w:t>
            </w:r>
          </w:p>
        </w:tc>
        <w:tc>
          <w:tcPr>
            <w:tcW w:w="1858"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4</w:t>
            </w:r>
          </w:p>
        </w:tc>
        <w:tc>
          <w:tcPr>
            <w:tcW w:w="1719" w:type="dxa"/>
          </w:tcPr>
          <w:p w:rsidR="00FA22CD" w:rsidRDefault="00805353" w:rsidP="00FA22CD">
            <w:pPr>
              <w:jc w:val="center"/>
              <w:rPr>
                <w:rFonts w:ascii="Times New Roman" w:hAnsi="Times New Roman" w:cs="Times New Roman"/>
                <w:sz w:val="24"/>
                <w:szCs w:val="24"/>
              </w:rPr>
            </w:pPr>
            <w:r w:rsidRPr="00805353">
              <w:rPr>
                <w:rFonts w:ascii="Times New Roman" w:hAnsi="Times New Roman" w:cs="Times New Roman"/>
                <w:sz w:val="24"/>
                <w:szCs w:val="24"/>
              </w:rPr>
              <w:t>25,000</w:t>
            </w:r>
          </w:p>
        </w:tc>
        <w:tc>
          <w:tcPr>
            <w:tcW w:w="1724" w:type="dxa"/>
          </w:tcPr>
          <w:p w:rsidR="00FA22CD" w:rsidRDefault="00805353" w:rsidP="00FA22CD">
            <w:pPr>
              <w:jc w:val="center"/>
              <w:rPr>
                <w:rFonts w:ascii="Times New Roman" w:hAnsi="Times New Roman" w:cs="Times New Roman"/>
                <w:sz w:val="24"/>
                <w:szCs w:val="24"/>
              </w:rPr>
            </w:pPr>
            <w:r w:rsidRPr="00805353">
              <w:rPr>
                <w:rFonts w:ascii="Times New Roman" w:hAnsi="Times New Roman" w:cs="Times New Roman"/>
                <w:sz w:val="24"/>
                <w:szCs w:val="24"/>
              </w:rPr>
              <w:t>100,000</w:t>
            </w:r>
          </w:p>
        </w:tc>
      </w:tr>
      <w:tr w:rsidR="00805353" w:rsidTr="00805353">
        <w:tc>
          <w:tcPr>
            <w:tcW w:w="764" w:type="dxa"/>
          </w:tcPr>
          <w:p w:rsidR="00FA22CD" w:rsidRDefault="00FA22CD" w:rsidP="00FA22CD">
            <w:pPr>
              <w:jc w:val="center"/>
              <w:rPr>
                <w:rFonts w:ascii="Times New Roman" w:hAnsi="Times New Roman" w:cs="Times New Roman"/>
                <w:sz w:val="24"/>
                <w:szCs w:val="24"/>
              </w:rPr>
            </w:pPr>
            <w:r>
              <w:rPr>
                <w:rFonts w:ascii="Times New Roman" w:hAnsi="Times New Roman" w:cs="Times New Roman"/>
                <w:sz w:val="24"/>
                <w:szCs w:val="24"/>
              </w:rPr>
              <w:t>12.</w:t>
            </w:r>
          </w:p>
        </w:tc>
        <w:tc>
          <w:tcPr>
            <w:tcW w:w="3285" w:type="dxa"/>
          </w:tcPr>
          <w:p w:rsidR="00FA22CD" w:rsidRDefault="00805353" w:rsidP="00FA22CD">
            <w:pPr>
              <w:jc w:val="center"/>
              <w:rPr>
                <w:rFonts w:ascii="Times New Roman" w:hAnsi="Times New Roman" w:cs="Times New Roman"/>
                <w:sz w:val="24"/>
                <w:szCs w:val="24"/>
              </w:rPr>
            </w:pPr>
            <w:r>
              <w:rPr>
                <w:rFonts w:ascii="Times New Roman" w:hAnsi="Times New Roman" w:cs="Times New Roman"/>
                <w:sz w:val="24"/>
                <w:szCs w:val="24"/>
              </w:rPr>
              <w:t>TOTAL</w:t>
            </w:r>
          </w:p>
        </w:tc>
        <w:tc>
          <w:tcPr>
            <w:tcW w:w="1858" w:type="dxa"/>
          </w:tcPr>
          <w:p w:rsidR="00FA22CD" w:rsidRDefault="00FA22CD" w:rsidP="00FA22CD">
            <w:pPr>
              <w:jc w:val="center"/>
              <w:rPr>
                <w:rFonts w:ascii="Times New Roman" w:hAnsi="Times New Roman" w:cs="Times New Roman"/>
                <w:sz w:val="24"/>
                <w:szCs w:val="24"/>
              </w:rPr>
            </w:pPr>
          </w:p>
        </w:tc>
        <w:tc>
          <w:tcPr>
            <w:tcW w:w="1719" w:type="dxa"/>
          </w:tcPr>
          <w:p w:rsidR="00FA22CD" w:rsidRDefault="00FA22CD" w:rsidP="00FA22CD">
            <w:pPr>
              <w:jc w:val="center"/>
              <w:rPr>
                <w:rFonts w:ascii="Times New Roman" w:hAnsi="Times New Roman" w:cs="Times New Roman"/>
                <w:sz w:val="24"/>
                <w:szCs w:val="24"/>
              </w:rPr>
            </w:pPr>
          </w:p>
        </w:tc>
        <w:tc>
          <w:tcPr>
            <w:tcW w:w="1724" w:type="dxa"/>
          </w:tcPr>
          <w:p w:rsidR="00FA22CD" w:rsidRDefault="00805353" w:rsidP="00FA22CD">
            <w:pPr>
              <w:jc w:val="center"/>
              <w:rPr>
                <w:rFonts w:ascii="Times New Roman" w:hAnsi="Times New Roman" w:cs="Times New Roman"/>
                <w:sz w:val="24"/>
                <w:szCs w:val="24"/>
              </w:rPr>
            </w:pPr>
            <w:r>
              <w:rPr>
                <w:rFonts w:ascii="Times New Roman" w:hAnsi="Times New Roman" w:cs="Times New Roman"/>
                <w:sz w:val="24"/>
                <w:szCs w:val="24"/>
              </w:rPr>
              <w:t>1,752,000</w:t>
            </w:r>
          </w:p>
        </w:tc>
      </w:tr>
    </w:tbl>
    <w:p w:rsidR="002C124D" w:rsidRPr="00A210ED" w:rsidRDefault="002C124D">
      <w:pPr>
        <w:rPr>
          <w:rFonts w:ascii="Times New Roman" w:hAnsi="Times New Roman" w:cs="Times New Roman"/>
          <w:sz w:val="24"/>
          <w:szCs w:val="24"/>
        </w:rPr>
      </w:pPr>
    </w:p>
    <w:sectPr w:rsidR="002C124D" w:rsidRPr="00A21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74560">
    <w:abstractNumId w:val="1"/>
  </w:num>
  <w:num w:numId="2" w16cid:durableId="1456097785">
    <w:abstractNumId w:val="4"/>
  </w:num>
  <w:num w:numId="3" w16cid:durableId="1600988948">
    <w:abstractNumId w:val="0"/>
  </w:num>
  <w:num w:numId="4" w16cid:durableId="960693323">
    <w:abstractNumId w:val="3"/>
  </w:num>
  <w:num w:numId="5" w16cid:durableId="354430110">
    <w:abstractNumId w:val="2"/>
  </w:num>
  <w:num w:numId="6" w16cid:durableId="1515076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ED"/>
    <w:rsid w:val="002B0D21"/>
    <w:rsid w:val="002C124D"/>
    <w:rsid w:val="003835A9"/>
    <w:rsid w:val="00600E72"/>
    <w:rsid w:val="008007B4"/>
    <w:rsid w:val="00805353"/>
    <w:rsid w:val="008A3BBE"/>
    <w:rsid w:val="00A210ED"/>
    <w:rsid w:val="00D8231A"/>
    <w:rsid w:val="00F60A6A"/>
    <w:rsid w:val="00FA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61F4"/>
  <w15:chartTrackingRefBased/>
  <w15:docId w15:val="{AFA2108C-A20F-44C5-9FFA-16005EFC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A210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10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10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10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210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21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0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10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10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10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210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21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0ED"/>
    <w:rPr>
      <w:rFonts w:eastAsiaTheme="majorEastAsia" w:cstheme="majorBidi"/>
      <w:color w:val="272727" w:themeColor="text1" w:themeTint="D8"/>
    </w:rPr>
  </w:style>
  <w:style w:type="paragraph" w:styleId="Title">
    <w:name w:val="Title"/>
    <w:basedOn w:val="Normal"/>
    <w:next w:val="Normal"/>
    <w:link w:val="TitleChar"/>
    <w:uiPriority w:val="10"/>
    <w:qFormat/>
    <w:rsid w:val="00A21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0ED"/>
    <w:pPr>
      <w:spacing w:before="160"/>
      <w:jc w:val="center"/>
    </w:pPr>
    <w:rPr>
      <w:i/>
      <w:iCs/>
      <w:color w:val="404040" w:themeColor="text1" w:themeTint="BF"/>
    </w:rPr>
  </w:style>
  <w:style w:type="character" w:customStyle="1" w:styleId="QuoteChar">
    <w:name w:val="Quote Char"/>
    <w:basedOn w:val="DefaultParagraphFont"/>
    <w:link w:val="Quote"/>
    <w:uiPriority w:val="29"/>
    <w:rsid w:val="00A210ED"/>
    <w:rPr>
      <w:i/>
      <w:iCs/>
      <w:color w:val="404040" w:themeColor="text1" w:themeTint="BF"/>
    </w:rPr>
  </w:style>
  <w:style w:type="paragraph" w:styleId="ListParagraph">
    <w:name w:val="List Paragraph"/>
    <w:basedOn w:val="Normal"/>
    <w:uiPriority w:val="34"/>
    <w:qFormat/>
    <w:rsid w:val="00A210ED"/>
    <w:pPr>
      <w:ind w:left="720"/>
      <w:contextualSpacing/>
    </w:pPr>
  </w:style>
  <w:style w:type="character" w:styleId="IntenseEmphasis">
    <w:name w:val="Intense Emphasis"/>
    <w:basedOn w:val="DefaultParagraphFont"/>
    <w:uiPriority w:val="21"/>
    <w:qFormat/>
    <w:rsid w:val="00A210ED"/>
    <w:rPr>
      <w:i/>
      <w:iCs/>
      <w:color w:val="2E74B5" w:themeColor="accent1" w:themeShade="BF"/>
    </w:rPr>
  </w:style>
  <w:style w:type="paragraph" w:styleId="IntenseQuote">
    <w:name w:val="Intense Quote"/>
    <w:basedOn w:val="Normal"/>
    <w:next w:val="Normal"/>
    <w:link w:val="IntenseQuoteChar"/>
    <w:uiPriority w:val="30"/>
    <w:qFormat/>
    <w:rsid w:val="00A210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10ED"/>
    <w:rPr>
      <w:i/>
      <w:iCs/>
      <w:color w:val="2E74B5" w:themeColor="accent1" w:themeShade="BF"/>
    </w:rPr>
  </w:style>
  <w:style w:type="character" w:styleId="IntenseReference">
    <w:name w:val="Intense Reference"/>
    <w:basedOn w:val="DefaultParagraphFont"/>
    <w:uiPriority w:val="32"/>
    <w:qFormat/>
    <w:rsid w:val="00A210ED"/>
    <w:rPr>
      <w:b/>
      <w:bCs/>
      <w:smallCaps/>
      <w:color w:val="2E74B5" w:themeColor="accent1" w:themeShade="BF"/>
      <w:spacing w:val="5"/>
    </w:rPr>
  </w:style>
  <w:style w:type="table" w:styleId="TableGrid">
    <w:name w:val="Table Grid"/>
    <w:basedOn w:val="TableNormal"/>
    <w:uiPriority w:val="39"/>
    <w:rsid w:val="00FA2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2025-05-15T18:28:00Z</dcterms:created>
  <dcterms:modified xsi:type="dcterms:W3CDTF">2025-05-15T22:34:00Z</dcterms:modified>
</cp:coreProperties>
</file>