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ECF2" w14:textId="77777777" w:rsidR="00354039" w:rsidRDefault="00D72CA9" w:rsidP="002624AD">
      <w:pPr>
        <w:pStyle w:val="ListParagraph"/>
        <w:ind w:left="780"/>
      </w:pPr>
      <w:r>
        <w:t xml:space="preserve">         </w:t>
      </w:r>
    </w:p>
    <w:p w14:paraId="422590C6" w14:textId="77777777" w:rsidR="00354039" w:rsidRDefault="00354039" w:rsidP="002624AD">
      <w:pPr>
        <w:pStyle w:val="ListParagraph"/>
        <w:ind w:left="780"/>
      </w:pPr>
    </w:p>
    <w:p w14:paraId="62A78991" w14:textId="77777777" w:rsidR="00354039" w:rsidRDefault="00354039" w:rsidP="002624AD">
      <w:pPr>
        <w:pStyle w:val="ListParagraph"/>
        <w:ind w:left="780"/>
      </w:pPr>
    </w:p>
    <w:p w14:paraId="6C3CDFE6" w14:textId="4BC9285F" w:rsidR="00354039" w:rsidRPr="00F168AB" w:rsidRDefault="00354039" w:rsidP="00A7211A">
      <w:pPr>
        <w:spacing w:after="0" w:line="240" w:lineRule="auto"/>
        <w:rPr>
          <w:rFonts w:ascii="Helvetica" w:hAnsi="Helvetica" w:cs="Times New Roman"/>
          <w:b/>
          <w:bCs/>
          <w:kern w:val="0"/>
          <w:sz w:val="22"/>
          <w:szCs w:val="22"/>
          <w14:ligatures w14:val="none"/>
        </w:rPr>
      </w:pPr>
      <w:r>
        <w:rPr>
          <w:rFonts w:ascii="Helvetica" w:hAnsi="Helvetica" w:cs="Times New Roman"/>
          <w:kern w:val="0"/>
          <w:sz w:val="18"/>
          <w:szCs w:val="18"/>
          <w14:ligatures w14:val="none"/>
        </w:rPr>
        <w:t xml:space="preserve">          </w:t>
      </w:r>
      <w:r w:rsidRPr="00535A9C">
        <w:rPr>
          <w:rFonts w:ascii="Helvetica" w:hAnsi="Helvetica" w:cs="Times New Roman"/>
          <w:b/>
          <w:bCs/>
          <w:kern w:val="0"/>
          <w:sz w:val="22"/>
          <w:szCs w:val="22"/>
          <w14:ligatures w14:val="none"/>
        </w:rPr>
        <w:t>DISTRIBUTIONAL</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ANALYSIS OF PRIMARY AND</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SECONDARY</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SCHOOLS IN</w:t>
      </w:r>
      <w:r>
        <w:rPr>
          <w:rFonts w:ascii="Helvetica" w:hAnsi="Helvetica" w:cs="Times New Roman"/>
          <w:b/>
          <w:bCs/>
          <w:kern w:val="0"/>
          <w:sz w:val="22"/>
          <w:szCs w:val="22"/>
          <w14:ligatures w14:val="none"/>
        </w:rPr>
        <w:t xml:space="preserve"> </w:t>
      </w:r>
      <w:r w:rsidR="00422647">
        <w:rPr>
          <w:rFonts w:ascii="Helvetica" w:hAnsi="Helvetica" w:cs="Times New Roman"/>
          <w:b/>
          <w:bCs/>
          <w:kern w:val="0"/>
          <w:sz w:val="22"/>
          <w:szCs w:val="22"/>
          <w14:ligatures w14:val="none"/>
        </w:rPr>
        <w:t xml:space="preserve">                                     PART </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OF ILORIN</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EAST AND</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MORO</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LOCAL</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GOVERNMENT</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 xml:space="preserve">OF </w:t>
      </w:r>
    </w:p>
    <w:p w14:paraId="76666E2B" w14:textId="77777777" w:rsidR="00354039" w:rsidRPr="00535A9C" w:rsidRDefault="00354039" w:rsidP="00A7211A">
      <w:pPr>
        <w:spacing w:after="0" w:line="240" w:lineRule="auto"/>
        <w:rPr>
          <w:rFonts w:ascii="Helvetica" w:hAnsi="Helvetica" w:cs="Times New Roman"/>
          <w:b/>
          <w:bCs/>
          <w:kern w:val="0"/>
          <w:sz w:val="22"/>
          <w:szCs w:val="22"/>
          <w14:ligatures w14:val="none"/>
        </w:rPr>
      </w:pP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KWARA</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STATE, USING GIS APPROACH</w:t>
      </w:r>
    </w:p>
    <w:p w14:paraId="529D4BF3" w14:textId="77777777" w:rsidR="00354039" w:rsidRPr="00F168AB" w:rsidRDefault="00354039" w:rsidP="00A7211A">
      <w:pPr>
        <w:rPr>
          <w:b/>
          <w:bCs/>
          <w:sz w:val="22"/>
          <w:szCs w:val="22"/>
        </w:rPr>
      </w:pPr>
      <w:r w:rsidRPr="00F168AB">
        <w:rPr>
          <w:b/>
          <w:bCs/>
          <w:sz w:val="22"/>
          <w:szCs w:val="22"/>
        </w:rPr>
        <w:t xml:space="preserve">                                                          </w:t>
      </w:r>
    </w:p>
    <w:p w14:paraId="77778B81" w14:textId="77777777" w:rsidR="00354039" w:rsidRPr="00F168AB" w:rsidRDefault="00354039" w:rsidP="00A7211A">
      <w:pPr>
        <w:rPr>
          <w:b/>
          <w:bCs/>
          <w:sz w:val="22"/>
          <w:szCs w:val="22"/>
        </w:rPr>
      </w:pPr>
    </w:p>
    <w:p w14:paraId="402FD916" w14:textId="77777777" w:rsidR="00354039" w:rsidRDefault="00354039" w:rsidP="00A7211A">
      <w:pPr>
        <w:rPr>
          <w:sz w:val="22"/>
          <w:szCs w:val="22"/>
        </w:rPr>
      </w:pPr>
    </w:p>
    <w:p w14:paraId="06A7F930" w14:textId="77777777" w:rsidR="00354039" w:rsidRDefault="00354039" w:rsidP="00A7211A">
      <w:pPr>
        <w:rPr>
          <w:b/>
          <w:bCs/>
        </w:rPr>
      </w:pPr>
    </w:p>
    <w:p w14:paraId="750F51E5" w14:textId="77777777" w:rsidR="00354039" w:rsidRPr="00DD1D58" w:rsidRDefault="00354039" w:rsidP="00A7211A"/>
    <w:p w14:paraId="67C5A584" w14:textId="77777777" w:rsidR="00354039" w:rsidRPr="00DD1D58" w:rsidRDefault="00354039" w:rsidP="00A7211A">
      <w:r w:rsidRPr="00DD1D58">
        <w:t xml:space="preserve">                                                                      By</w:t>
      </w:r>
    </w:p>
    <w:p w14:paraId="189A6A46" w14:textId="7CBF5AD5" w:rsidR="00DF0B1A" w:rsidRDefault="00354039" w:rsidP="00DF0B1A">
      <w:pPr>
        <w:rPr>
          <w:b/>
          <w:bCs/>
        </w:rPr>
      </w:pPr>
      <w:r>
        <w:t xml:space="preserve">                                      </w:t>
      </w:r>
      <w:r w:rsidR="00DF0B1A">
        <w:t xml:space="preserve">        </w:t>
      </w:r>
      <w:r w:rsidR="00DF0B1A" w:rsidRPr="00DF0B1A">
        <w:rPr>
          <w:b/>
          <w:bCs/>
        </w:rPr>
        <w:t xml:space="preserve">Lawal Zainab Omowumi </w:t>
      </w:r>
    </w:p>
    <w:p w14:paraId="551A54F9" w14:textId="355BB6E1" w:rsidR="00DF0B1A" w:rsidRPr="00B17E76" w:rsidRDefault="00DF0B1A" w:rsidP="00A7211A">
      <w:pPr>
        <w:rPr>
          <w:b/>
          <w:bCs/>
        </w:rPr>
      </w:pPr>
      <w:r>
        <w:rPr>
          <w:b/>
          <w:bCs/>
        </w:rPr>
        <w:t xml:space="preserve">                                </w:t>
      </w:r>
      <w:r w:rsidR="00155098">
        <w:rPr>
          <w:b/>
          <w:bCs/>
        </w:rPr>
        <w:t xml:space="preserve">     </w:t>
      </w:r>
      <w:r w:rsidRPr="00B17E76">
        <w:rPr>
          <w:b/>
          <w:bCs/>
        </w:rPr>
        <w:t>MATRIC NO :HND/23/SGI/FT/000</w:t>
      </w:r>
      <w:r>
        <w:rPr>
          <w:b/>
          <w:bCs/>
        </w:rPr>
        <w:t>2</w:t>
      </w:r>
    </w:p>
    <w:p w14:paraId="6E3AC78B" w14:textId="77777777" w:rsidR="00DF0B1A" w:rsidRDefault="00DF0B1A" w:rsidP="00A7211A">
      <w:pPr>
        <w:rPr>
          <w:b/>
          <w:bCs/>
        </w:rPr>
      </w:pPr>
    </w:p>
    <w:p w14:paraId="3426F1E3" w14:textId="77777777" w:rsidR="00DF0B1A" w:rsidRPr="00DF0B1A" w:rsidRDefault="00DF0B1A" w:rsidP="00DF0B1A">
      <w:pPr>
        <w:rPr>
          <w:b/>
          <w:bCs/>
        </w:rPr>
      </w:pPr>
    </w:p>
    <w:p w14:paraId="246BA560" w14:textId="3BA28B74" w:rsidR="00354039" w:rsidRPr="00B17E76" w:rsidRDefault="00354039" w:rsidP="00A7211A">
      <w:pPr>
        <w:rPr>
          <w:b/>
          <w:bCs/>
        </w:rPr>
      </w:pPr>
      <w:r w:rsidRPr="00B17E76">
        <w:rPr>
          <w:b/>
          <w:bCs/>
        </w:rPr>
        <w:t xml:space="preserve"> </w:t>
      </w:r>
    </w:p>
    <w:p w14:paraId="2A564226" w14:textId="5ACF9A4A" w:rsidR="00354039" w:rsidRDefault="00354039" w:rsidP="00A7211A">
      <w:pPr>
        <w:rPr>
          <w:b/>
          <w:bCs/>
        </w:rPr>
      </w:pPr>
      <w:r w:rsidRPr="00B17E76">
        <w:rPr>
          <w:b/>
          <w:bCs/>
        </w:rPr>
        <w:t xml:space="preserve">                                 </w:t>
      </w:r>
    </w:p>
    <w:p w14:paraId="4A3463DA" w14:textId="77777777" w:rsidR="00354039" w:rsidRDefault="00354039" w:rsidP="00A7211A">
      <w:pPr>
        <w:rPr>
          <w:b/>
          <w:bCs/>
        </w:rPr>
      </w:pPr>
    </w:p>
    <w:p w14:paraId="56E776F0" w14:textId="77777777" w:rsidR="00354039" w:rsidRDefault="00354039" w:rsidP="00A7211A">
      <w:pPr>
        <w:rPr>
          <w:b/>
          <w:bCs/>
        </w:rPr>
      </w:pPr>
    </w:p>
    <w:p w14:paraId="08CABFBD" w14:textId="77777777" w:rsidR="00354039" w:rsidRDefault="00354039" w:rsidP="00A7211A">
      <w:pPr>
        <w:rPr>
          <w:b/>
          <w:bCs/>
        </w:rPr>
      </w:pPr>
      <w:r>
        <w:rPr>
          <w:b/>
          <w:bCs/>
        </w:rPr>
        <w:t xml:space="preserve">   </w:t>
      </w:r>
    </w:p>
    <w:p w14:paraId="652A7460" w14:textId="77777777" w:rsidR="00354039" w:rsidRDefault="00354039" w:rsidP="00A7211A">
      <w:pPr>
        <w:rPr>
          <w:b/>
          <w:bCs/>
        </w:rPr>
      </w:pPr>
      <w:r>
        <w:rPr>
          <w:b/>
          <w:bCs/>
        </w:rPr>
        <w:t xml:space="preserve">                                                        Supervisor </w:t>
      </w:r>
    </w:p>
    <w:p w14:paraId="28BF61FD" w14:textId="77777777" w:rsidR="00354039" w:rsidRDefault="00354039" w:rsidP="00A7211A">
      <w:pPr>
        <w:rPr>
          <w:b/>
          <w:bCs/>
        </w:rPr>
      </w:pPr>
      <w:r>
        <w:rPr>
          <w:b/>
          <w:bCs/>
        </w:rPr>
        <w:t xml:space="preserve">                                                  Surv. AG AREMU</w:t>
      </w:r>
    </w:p>
    <w:p w14:paraId="14008300" w14:textId="77777777" w:rsidR="00354039" w:rsidRDefault="00354039" w:rsidP="002624AD">
      <w:pPr>
        <w:pStyle w:val="ListParagraph"/>
        <w:ind w:left="780"/>
      </w:pPr>
    </w:p>
    <w:p w14:paraId="226667C3" w14:textId="77777777" w:rsidR="00354039" w:rsidRDefault="00354039" w:rsidP="002624AD">
      <w:pPr>
        <w:pStyle w:val="ListParagraph"/>
        <w:ind w:left="780"/>
      </w:pPr>
    </w:p>
    <w:p w14:paraId="2C345D67" w14:textId="77777777" w:rsidR="00354039" w:rsidRDefault="00354039" w:rsidP="002624AD">
      <w:pPr>
        <w:pStyle w:val="ListParagraph"/>
        <w:ind w:left="780"/>
      </w:pPr>
    </w:p>
    <w:p w14:paraId="674707AA" w14:textId="77777777" w:rsidR="00354039" w:rsidRDefault="00354039" w:rsidP="002624AD">
      <w:pPr>
        <w:pStyle w:val="ListParagraph"/>
        <w:ind w:left="780"/>
      </w:pPr>
    </w:p>
    <w:p w14:paraId="6C0BBA51" w14:textId="77777777" w:rsidR="00354039" w:rsidRDefault="00354039" w:rsidP="002624AD">
      <w:pPr>
        <w:pStyle w:val="ListParagraph"/>
        <w:ind w:left="780"/>
      </w:pPr>
    </w:p>
    <w:p w14:paraId="6E1D1FFB" w14:textId="77777777" w:rsidR="00354039" w:rsidRDefault="00354039" w:rsidP="002624AD">
      <w:pPr>
        <w:pStyle w:val="ListParagraph"/>
        <w:ind w:left="780"/>
      </w:pPr>
    </w:p>
    <w:p w14:paraId="11BE937B" w14:textId="77777777" w:rsidR="00354039" w:rsidRDefault="00354039" w:rsidP="002624AD">
      <w:pPr>
        <w:pStyle w:val="ListParagraph"/>
        <w:ind w:left="780"/>
      </w:pPr>
    </w:p>
    <w:p w14:paraId="61E97EDC" w14:textId="6E60C6FC" w:rsidR="00354039" w:rsidRDefault="00D72CA9" w:rsidP="002624AD">
      <w:pPr>
        <w:pStyle w:val="ListParagraph"/>
        <w:ind w:left="780"/>
      </w:pPr>
      <w:r>
        <w:t xml:space="preserve">               </w:t>
      </w:r>
    </w:p>
    <w:p w14:paraId="0F0624CC" w14:textId="77777777" w:rsidR="00354039" w:rsidRDefault="00354039" w:rsidP="002624AD">
      <w:pPr>
        <w:pStyle w:val="ListParagraph"/>
        <w:ind w:left="780"/>
      </w:pPr>
    </w:p>
    <w:p w14:paraId="1568CDB6" w14:textId="77777777" w:rsidR="00354039" w:rsidRDefault="00354039" w:rsidP="002624AD">
      <w:pPr>
        <w:pStyle w:val="ListParagraph"/>
        <w:ind w:left="780"/>
      </w:pPr>
    </w:p>
    <w:p w14:paraId="0B9CA7BC" w14:textId="77777777" w:rsidR="00354039" w:rsidRDefault="00354039" w:rsidP="002624AD">
      <w:pPr>
        <w:pStyle w:val="ListParagraph"/>
        <w:ind w:left="780"/>
      </w:pPr>
    </w:p>
    <w:p w14:paraId="763276C5" w14:textId="77777777" w:rsidR="00826757" w:rsidRDefault="00826757" w:rsidP="00C12425"/>
    <w:p w14:paraId="61B87281" w14:textId="77777777" w:rsidR="00826757" w:rsidRDefault="00826757" w:rsidP="00C12425"/>
    <w:p w14:paraId="60391DBD" w14:textId="77777777" w:rsidR="0020293D" w:rsidRDefault="0020293D" w:rsidP="00C12425"/>
    <w:p w14:paraId="3B4AEB16" w14:textId="77777777" w:rsidR="00826757" w:rsidRDefault="00826757" w:rsidP="00C12425"/>
    <w:p w14:paraId="4F685813" w14:textId="542C9421" w:rsidR="00F5151F" w:rsidRDefault="00826757" w:rsidP="00AF7B69">
      <w:r>
        <w:t xml:space="preserve">                     </w:t>
      </w:r>
      <w:r w:rsidR="00F4570E">
        <w:t xml:space="preserve">     </w:t>
      </w:r>
      <w:r>
        <w:t xml:space="preserve">         </w:t>
      </w:r>
    </w:p>
    <w:p w14:paraId="46B4ACD7" w14:textId="19C825A0" w:rsidR="00D770E4" w:rsidRDefault="00CA5907" w:rsidP="00332C05">
      <w:pPr>
        <w:rPr>
          <w:b/>
          <w:bCs/>
          <w:sz w:val="36"/>
          <w:szCs w:val="36"/>
        </w:rPr>
      </w:pPr>
      <w:r>
        <w:rPr>
          <w:b/>
          <w:bCs/>
          <w:sz w:val="36"/>
          <w:szCs w:val="36"/>
        </w:rPr>
        <w:t xml:space="preserve">                     </w:t>
      </w:r>
      <w:r w:rsidR="00D770E4" w:rsidRPr="001559E9">
        <w:rPr>
          <w:b/>
          <w:bCs/>
          <w:sz w:val="36"/>
          <w:szCs w:val="36"/>
        </w:rPr>
        <w:t xml:space="preserve">CHAPTER TWO </w:t>
      </w:r>
    </w:p>
    <w:p w14:paraId="1C577F90" w14:textId="77777777" w:rsidR="00D770E4" w:rsidRPr="00333686" w:rsidRDefault="00D770E4" w:rsidP="00332C05">
      <w:pPr>
        <w:pStyle w:val="p2"/>
        <w:rPr>
          <w:b/>
          <w:bCs/>
          <w:sz w:val="30"/>
          <w:szCs w:val="30"/>
        </w:rPr>
      </w:pPr>
      <w:r w:rsidRPr="00333686">
        <w:rPr>
          <w:b/>
          <w:bCs/>
          <w:sz w:val="30"/>
          <w:szCs w:val="30"/>
        </w:rPr>
        <w:t xml:space="preserve">2.0 Literature Review </w:t>
      </w:r>
    </w:p>
    <w:p w14:paraId="63C5676A" w14:textId="77777777" w:rsidR="00D770E4" w:rsidRPr="00333686" w:rsidRDefault="00D770E4" w:rsidP="00332C05">
      <w:pPr>
        <w:pStyle w:val="p1"/>
        <w:rPr>
          <w:b/>
          <w:bCs/>
          <w:sz w:val="30"/>
          <w:szCs w:val="30"/>
        </w:rPr>
      </w:pPr>
      <w:r w:rsidRPr="00333686">
        <w:rPr>
          <w:rStyle w:val="s1"/>
          <w:b/>
          <w:bCs/>
          <w:sz w:val="30"/>
          <w:szCs w:val="30"/>
        </w:rPr>
        <w:t>2.1 Introduction</w:t>
      </w:r>
    </w:p>
    <w:p w14:paraId="271D3EE0" w14:textId="77777777" w:rsidR="00D770E4" w:rsidRDefault="00D770E4" w:rsidP="00332C05">
      <w:pPr>
        <w:pStyle w:val="p1"/>
      </w:pPr>
      <w:r>
        <w:rPr>
          <w:rStyle w:val="s1"/>
        </w:rPr>
        <w:t>This chapter provides a detailed review of existing literature related to the distribution of educational facilities, accessibility to schools, and the application of Geographic Information System (GIS) in educational planning. It covers theoretical frameworks, empirical studies both within Nigeria and internationally, as well as gaps identified in previous research. The review highlights how GIS serves as an essential tool for understanding spatial disparities and promoting equitable education service delivery.</w:t>
      </w:r>
    </w:p>
    <w:p w14:paraId="2801EA66" w14:textId="77777777" w:rsidR="00D770E4" w:rsidRPr="00F4570E" w:rsidRDefault="00D770E4" w:rsidP="00332C05">
      <w:pPr>
        <w:pStyle w:val="p1"/>
        <w:rPr>
          <w:b/>
          <w:bCs/>
          <w:sz w:val="30"/>
          <w:szCs w:val="30"/>
        </w:rPr>
      </w:pPr>
      <w:r w:rsidRPr="00F4570E">
        <w:rPr>
          <w:rStyle w:val="s1"/>
          <w:b/>
          <w:bCs/>
          <w:sz w:val="30"/>
          <w:szCs w:val="30"/>
        </w:rPr>
        <w:t>2.2 Conceptual Clarification</w:t>
      </w:r>
    </w:p>
    <w:p w14:paraId="6C8A086B" w14:textId="77777777" w:rsidR="00D770E4" w:rsidRPr="005C31ED" w:rsidRDefault="00D770E4" w:rsidP="00332C05">
      <w:pPr>
        <w:pStyle w:val="p1"/>
        <w:rPr>
          <w:sz w:val="26"/>
          <w:szCs w:val="26"/>
        </w:rPr>
      </w:pPr>
      <w:r w:rsidRPr="005C31ED">
        <w:rPr>
          <w:rStyle w:val="s1"/>
          <w:sz w:val="26"/>
          <w:szCs w:val="26"/>
        </w:rPr>
        <w:t>2.2.1 Education and National Development</w:t>
      </w:r>
    </w:p>
    <w:p w14:paraId="0671E803" w14:textId="77777777" w:rsidR="00D770E4" w:rsidRDefault="00D770E4" w:rsidP="00332C05">
      <w:pPr>
        <w:pStyle w:val="p1"/>
      </w:pPr>
      <w:r>
        <w:rPr>
          <w:rStyle w:val="s1"/>
        </w:rPr>
        <w:t>Education is universally acknowledged as a key driver of national development. It provides individuals with the necessary knowledge, skills, and attitudes to participate effectively in economic, social, and political spheres. The role of primary and secondary education is especially critical, as it forms the foundational stage of learning upon which higher education and professional development are built.</w:t>
      </w:r>
    </w:p>
    <w:p w14:paraId="5ADE6739" w14:textId="77777777" w:rsidR="00D770E4" w:rsidRPr="005C31ED" w:rsidRDefault="00D770E4" w:rsidP="00332C05">
      <w:pPr>
        <w:pStyle w:val="p1"/>
        <w:rPr>
          <w:sz w:val="26"/>
          <w:szCs w:val="26"/>
        </w:rPr>
      </w:pPr>
      <w:r w:rsidRPr="005C31ED">
        <w:rPr>
          <w:rStyle w:val="s1"/>
          <w:sz w:val="26"/>
          <w:szCs w:val="26"/>
        </w:rPr>
        <w:t>2.2.2 Spatial Distribution</w:t>
      </w:r>
    </w:p>
    <w:p w14:paraId="212ACF06" w14:textId="77777777" w:rsidR="00D770E4" w:rsidRDefault="00D770E4" w:rsidP="00332C05">
      <w:pPr>
        <w:pStyle w:val="p1"/>
      </w:pPr>
      <w:r>
        <w:rPr>
          <w:rStyle w:val="s1"/>
        </w:rPr>
        <w:t>Spatial distribution refers to the arrangement of features or phenomena across a given space or geographical area. In the context of this study, it denotes the physical spread and pattern of primary and secondary schools within Ilorin East and Moro LGAs. Understanding spatial distribution helps in identifying regions with either a concentration or a scarcity of educational institutions.</w:t>
      </w:r>
    </w:p>
    <w:p w14:paraId="0254E071" w14:textId="77777777" w:rsidR="00D770E4" w:rsidRPr="005C31ED" w:rsidRDefault="00D770E4" w:rsidP="00332C05">
      <w:pPr>
        <w:pStyle w:val="p1"/>
        <w:rPr>
          <w:sz w:val="26"/>
          <w:szCs w:val="26"/>
        </w:rPr>
      </w:pPr>
      <w:r w:rsidRPr="005C31ED">
        <w:rPr>
          <w:rStyle w:val="s1"/>
          <w:sz w:val="26"/>
          <w:szCs w:val="26"/>
        </w:rPr>
        <w:t>2.2.3 Accessibility</w:t>
      </w:r>
    </w:p>
    <w:p w14:paraId="0D32F891" w14:textId="77777777" w:rsidR="00D770E4" w:rsidRDefault="00D770E4" w:rsidP="00332C05">
      <w:pPr>
        <w:pStyle w:val="p1"/>
      </w:pPr>
      <w:r>
        <w:rPr>
          <w:rStyle w:val="s1"/>
        </w:rPr>
        <w:t>Accessibility in educational planning involves the ease with which learners can reach school facilities. This can be measured in terms of physical distance, travel time, transportation availability, and geographical barriers. Poor accessibility contributes to reduced enrollment, absenteeism, and eventual dropouts, particularly in rural and peri-urban communities.</w:t>
      </w:r>
    </w:p>
    <w:p w14:paraId="777677EA" w14:textId="77777777" w:rsidR="00D770E4" w:rsidRDefault="00D770E4" w:rsidP="00332C05">
      <w:pPr>
        <w:pStyle w:val="p1"/>
      </w:pPr>
      <w:r>
        <w:rPr>
          <w:rStyle w:val="s1"/>
        </w:rPr>
        <w:lastRenderedPageBreak/>
        <w:t>2.2.4 Geographic Information System (GIS)</w:t>
      </w:r>
    </w:p>
    <w:p w14:paraId="16E34768" w14:textId="77777777" w:rsidR="00D770E4" w:rsidRDefault="00D770E4" w:rsidP="00332C05">
      <w:pPr>
        <w:pStyle w:val="p1"/>
      </w:pPr>
      <w:r>
        <w:rPr>
          <w:rStyle w:val="s1"/>
        </w:rPr>
        <w:t>GIS is a computer-based system used to collect, store, analyze, and visualize spatial data. It allows researchers and planners to create maps, perform spatial queries, and conduct proximity or density analyses. In the field of education, GIS is employed to evaluate the location of schools, determine areas of need, and support data-driven decision-making processes.</w:t>
      </w:r>
    </w:p>
    <w:p w14:paraId="283731A1" w14:textId="77777777" w:rsidR="00D770E4" w:rsidRPr="00F4570E" w:rsidRDefault="00D770E4" w:rsidP="00332C05">
      <w:pPr>
        <w:pStyle w:val="p1"/>
        <w:rPr>
          <w:b/>
          <w:bCs/>
          <w:sz w:val="30"/>
          <w:szCs w:val="30"/>
        </w:rPr>
      </w:pPr>
      <w:r w:rsidRPr="00F4570E">
        <w:rPr>
          <w:rStyle w:val="s1"/>
          <w:b/>
          <w:bCs/>
          <w:sz w:val="30"/>
          <w:szCs w:val="30"/>
        </w:rPr>
        <w:t>2.3 Theoretical Framework</w:t>
      </w:r>
    </w:p>
    <w:p w14:paraId="6877C6F3" w14:textId="77777777" w:rsidR="00D770E4" w:rsidRPr="00471B31" w:rsidRDefault="00D770E4" w:rsidP="00332C05">
      <w:pPr>
        <w:pStyle w:val="p1"/>
        <w:rPr>
          <w:sz w:val="26"/>
          <w:szCs w:val="26"/>
        </w:rPr>
      </w:pPr>
      <w:r w:rsidRPr="00471B31">
        <w:rPr>
          <w:rStyle w:val="s1"/>
          <w:sz w:val="26"/>
          <w:szCs w:val="26"/>
        </w:rPr>
        <w:t>2.3.1 Central Place Theory</w:t>
      </w:r>
    </w:p>
    <w:p w14:paraId="561853D5" w14:textId="77777777" w:rsidR="00D770E4" w:rsidRDefault="00D770E4" w:rsidP="00332C05">
      <w:pPr>
        <w:pStyle w:val="p1"/>
      </w:pPr>
      <w:r>
        <w:rPr>
          <w:rStyle w:val="s1"/>
        </w:rPr>
        <w:t>Developed by Walter Christaller in 1933, the Central Place Theory suggests that settlements serve as ‘central places’ providing services to surrounding areas. In education, schools act as central places offering access to learning opportunities. This theory underlines the importance of strategically locating schools so that they serve maximum populations within a minimum travel distance.</w:t>
      </w:r>
    </w:p>
    <w:p w14:paraId="7E55005F" w14:textId="77777777" w:rsidR="00D770E4" w:rsidRPr="00471B31" w:rsidRDefault="00D770E4" w:rsidP="00332C05">
      <w:pPr>
        <w:pStyle w:val="p1"/>
        <w:rPr>
          <w:sz w:val="26"/>
          <w:szCs w:val="26"/>
        </w:rPr>
      </w:pPr>
      <w:r w:rsidRPr="00471B31">
        <w:rPr>
          <w:rStyle w:val="s1"/>
          <w:sz w:val="26"/>
          <w:szCs w:val="26"/>
        </w:rPr>
        <w:t>2.3.2 Location-Allocation Model</w:t>
      </w:r>
    </w:p>
    <w:p w14:paraId="1DFC2F3B" w14:textId="77777777" w:rsidR="00D770E4" w:rsidRDefault="00D770E4" w:rsidP="00332C05">
      <w:pPr>
        <w:pStyle w:val="p1"/>
      </w:pPr>
      <w:r>
        <w:rPr>
          <w:rStyle w:val="s1"/>
        </w:rPr>
        <w:t>This model focuses on the optimal placement of facilities to serve a dispersed population efficiently. It involves determining the most appropriate locations for services like schools based on population density, transportation networks, and demand levels. The location-allocation model is widely used in GIS-based school planning.</w:t>
      </w:r>
    </w:p>
    <w:p w14:paraId="6EACA181" w14:textId="77777777" w:rsidR="00D770E4" w:rsidRPr="00471B31" w:rsidRDefault="00D770E4" w:rsidP="00332C05">
      <w:pPr>
        <w:pStyle w:val="p1"/>
        <w:rPr>
          <w:sz w:val="26"/>
          <w:szCs w:val="26"/>
        </w:rPr>
      </w:pPr>
      <w:r w:rsidRPr="00471B31">
        <w:rPr>
          <w:rStyle w:val="s1"/>
          <w:sz w:val="26"/>
          <w:szCs w:val="26"/>
        </w:rPr>
        <w:t>2.3.3 Equity Theory</w:t>
      </w:r>
    </w:p>
    <w:p w14:paraId="6FBCBF1B" w14:textId="77777777" w:rsidR="00D770E4" w:rsidRDefault="00D770E4" w:rsidP="00332C05">
      <w:pPr>
        <w:pStyle w:val="p1"/>
      </w:pPr>
      <w:r>
        <w:rPr>
          <w:rStyle w:val="s1"/>
        </w:rPr>
        <w:t>Equity in education implies that every child, regardless of geographic location or socio-economic background, should have access to quality education. Equity theory in spatial analysis encourages the fair distribution of schools so that no community is disadvantaged in terms of access or quality.</w:t>
      </w:r>
    </w:p>
    <w:p w14:paraId="36FC6891" w14:textId="77777777" w:rsidR="00D770E4" w:rsidRDefault="00D770E4" w:rsidP="00332C05">
      <w:pPr>
        <w:pStyle w:val="p2"/>
      </w:pPr>
    </w:p>
    <w:p w14:paraId="0C4462F6" w14:textId="77777777" w:rsidR="00D770E4" w:rsidRPr="00F4570E" w:rsidRDefault="00D770E4" w:rsidP="00332C05">
      <w:pPr>
        <w:pStyle w:val="p1"/>
        <w:rPr>
          <w:b/>
          <w:bCs/>
          <w:sz w:val="30"/>
          <w:szCs w:val="30"/>
        </w:rPr>
      </w:pPr>
      <w:r w:rsidRPr="00F4570E">
        <w:rPr>
          <w:rStyle w:val="s1"/>
          <w:b/>
          <w:bCs/>
          <w:sz w:val="30"/>
          <w:szCs w:val="30"/>
        </w:rPr>
        <w:t>2.4 Review of Empirical Studies</w:t>
      </w:r>
    </w:p>
    <w:p w14:paraId="36953A81" w14:textId="77777777" w:rsidR="00D770E4" w:rsidRPr="00F4570E" w:rsidRDefault="00D770E4" w:rsidP="00332C05">
      <w:pPr>
        <w:pStyle w:val="p1"/>
      </w:pPr>
      <w:r w:rsidRPr="00F4570E">
        <w:rPr>
          <w:rStyle w:val="s1"/>
        </w:rPr>
        <w:t>2.4.1 International Perspectives</w:t>
      </w:r>
    </w:p>
    <w:p w14:paraId="15F2371D" w14:textId="77777777" w:rsidR="00D770E4" w:rsidRDefault="00D770E4" w:rsidP="00332C05">
      <w:pPr>
        <w:pStyle w:val="p1"/>
      </w:pPr>
      <w:r>
        <w:rPr>
          <w:rStyle w:val="s1"/>
        </w:rPr>
        <w:t>Globally, the application of GIS in school distribution analysis has gained momentum. For instance, researchers in India used GIS to identify disparities in school accessibility and recommended policy interventions to reduce travel time for students in rural Rajasthan. Similarly, in Brazil, GIS was used to monitor the spatial coverage of schools in Rio de Janeiro, ensuring that infrastructure investments were equitably distributed.</w:t>
      </w:r>
    </w:p>
    <w:p w14:paraId="08391B9F" w14:textId="77777777" w:rsidR="00D770E4" w:rsidRDefault="00D770E4" w:rsidP="00332C05">
      <w:pPr>
        <w:pStyle w:val="p1"/>
      </w:pPr>
      <w:r>
        <w:rPr>
          <w:rStyle w:val="s1"/>
        </w:rPr>
        <w:t>In South Africa, GIS helped assess the impact of historical apartheid policies on school accessibility, revealing persistent inequalities between urban and rural communities. These studies demonstrate how GIS is integral to spatial justice and educational planning.</w:t>
      </w:r>
    </w:p>
    <w:p w14:paraId="11E54C33" w14:textId="77777777" w:rsidR="00D770E4" w:rsidRDefault="00D770E4" w:rsidP="00332C05">
      <w:pPr>
        <w:pStyle w:val="p1"/>
      </w:pPr>
      <w:r>
        <w:rPr>
          <w:rStyle w:val="s1"/>
        </w:rPr>
        <w:t>2.4.2 Nigerian Studies</w:t>
      </w:r>
    </w:p>
    <w:p w14:paraId="24A9052A" w14:textId="77777777" w:rsidR="00D770E4" w:rsidRDefault="00D770E4" w:rsidP="00332C05">
      <w:pPr>
        <w:pStyle w:val="p1"/>
      </w:pPr>
      <w:r>
        <w:rPr>
          <w:rStyle w:val="s1"/>
        </w:rPr>
        <w:lastRenderedPageBreak/>
        <w:t>Several researchers in Nigeria have explored the distribution of educational infrastructure using both traditional methods and GIS. For example:</w:t>
      </w:r>
    </w:p>
    <w:p w14:paraId="0337DE6C" w14:textId="77777777" w:rsidR="00D770E4" w:rsidRDefault="00D770E4" w:rsidP="00D770E4">
      <w:pPr>
        <w:pStyle w:val="p1"/>
        <w:numPr>
          <w:ilvl w:val="0"/>
          <w:numId w:val="3"/>
        </w:numPr>
      </w:pPr>
      <w:r>
        <w:rPr>
          <w:rStyle w:val="s1"/>
        </w:rPr>
        <w:t>Akintola (2017) used GIS to analyze the location of public primary schools in Lagos State. The study found clustering of schools in urban centers and recommended redistribution toward underserved areas.</w:t>
      </w:r>
    </w:p>
    <w:p w14:paraId="115C97A0" w14:textId="77777777" w:rsidR="00D770E4" w:rsidRDefault="00D770E4" w:rsidP="00D770E4">
      <w:pPr>
        <w:pStyle w:val="p1"/>
        <w:numPr>
          <w:ilvl w:val="0"/>
          <w:numId w:val="3"/>
        </w:numPr>
      </w:pPr>
      <w:r>
        <w:rPr>
          <w:rStyle w:val="s1"/>
        </w:rPr>
        <w:t>Ijaya et al. (2014) examined accessibility to secondary schools in Kwara State using buffer analysis in ArcGIS. Results indicated that over 30% of students traveled more than 5km to the nearest school, violating UNESCO’s recommended proximity threshold.</w:t>
      </w:r>
    </w:p>
    <w:p w14:paraId="2831860F" w14:textId="77777777" w:rsidR="00D770E4" w:rsidRDefault="00D770E4" w:rsidP="00D770E4">
      <w:pPr>
        <w:pStyle w:val="p1"/>
        <w:numPr>
          <w:ilvl w:val="0"/>
          <w:numId w:val="3"/>
        </w:numPr>
      </w:pPr>
      <w:r>
        <w:rPr>
          <w:rStyle w:val="s1"/>
        </w:rPr>
        <w:t>Oyinloye and Kufoniyi (2012) employed GIS to evaluate the spatial inequity in the distribution of health and education facilities in Osun State. The study revealed significant disparities and called for spatially-informed infrastructure policies.</w:t>
      </w:r>
    </w:p>
    <w:p w14:paraId="0EF0A905" w14:textId="77777777" w:rsidR="00D770E4" w:rsidRDefault="00D770E4" w:rsidP="00332C05">
      <w:pPr>
        <w:pStyle w:val="p1"/>
      </w:pPr>
      <w:r>
        <w:rPr>
          <w:rStyle w:val="s1"/>
        </w:rPr>
        <w:t>These studies highlight a consistent pattern of spatial imbalance, with rural communities being less served than urban counterparts. However, most of these studies are outdated or limited in scope, underscoring the need for localized and updated GIS-based investigations.</w:t>
      </w:r>
    </w:p>
    <w:p w14:paraId="4190E7CD" w14:textId="77777777" w:rsidR="00D770E4" w:rsidRDefault="00D770E4" w:rsidP="00332C05">
      <w:pPr>
        <w:pStyle w:val="p2"/>
      </w:pPr>
    </w:p>
    <w:p w14:paraId="6F198C25" w14:textId="77777777" w:rsidR="00D770E4" w:rsidRPr="00471B31" w:rsidRDefault="00D770E4" w:rsidP="00332C05">
      <w:pPr>
        <w:pStyle w:val="p1"/>
        <w:rPr>
          <w:b/>
          <w:bCs/>
          <w:sz w:val="30"/>
          <w:szCs w:val="30"/>
        </w:rPr>
      </w:pPr>
      <w:r w:rsidRPr="00471B31">
        <w:rPr>
          <w:rStyle w:val="s1"/>
          <w:b/>
          <w:bCs/>
          <w:sz w:val="30"/>
          <w:szCs w:val="30"/>
        </w:rPr>
        <w:t>2.5 Application of GIS in Educational Planning</w:t>
      </w:r>
    </w:p>
    <w:p w14:paraId="42225E21" w14:textId="77777777" w:rsidR="00D770E4" w:rsidRPr="00471B31" w:rsidRDefault="00D770E4" w:rsidP="00332C05">
      <w:pPr>
        <w:pStyle w:val="p2"/>
        <w:rPr>
          <w:b/>
          <w:bCs/>
          <w:sz w:val="30"/>
          <w:szCs w:val="30"/>
        </w:rPr>
      </w:pPr>
    </w:p>
    <w:p w14:paraId="3B81E70A" w14:textId="77777777" w:rsidR="00D770E4" w:rsidRPr="00471B31" w:rsidRDefault="00D770E4" w:rsidP="00332C05">
      <w:pPr>
        <w:pStyle w:val="p1"/>
        <w:rPr>
          <w:sz w:val="26"/>
          <w:szCs w:val="26"/>
        </w:rPr>
      </w:pPr>
      <w:r w:rsidRPr="00471B31">
        <w:rPr>
          <w:rStyle w:val="s1"/>
          <w:sz w:val="26"/>
          <w:szCs w:val="26"/>
        </w:rPr>
        <w:t>2.5.1 Mapping School Locations</w:t>
      </w:r>
    </w:p>
    <w:p w14:paraId="01893651" w14:textId="77777777" w:rsidR="00D770E4" w:rsidRDefault="00D770E4" w:rsidP="00332C05">
      <w:pPr>
        <w:pStyle w:val="p1"/>
      </w:pPr>
      <w:r>
        <w:rPr>
          <w:rStyle w:val="s1"/>
        </w:rPr>
        <w:t>GIS allows for accurate mapping of school locations using coordinate data (latitude and longitude). This spatial visualization is crucial for identifying clusters, gaps, and potential areas for new schools. By overlaying maps with demographic data, planners can match population needs with available resources.</w:t>
      </w:r>
    </w:p>
    <w:p w14:paraId="07F56013" w14:textId="77777777" w:rsidR="00D770E4" w:rsidRDefault="00D770E4" w:rsidP="00332C05">
      <w:pPr>
        <w:pStyle w:val="p2"/>
      </w:pPr>
    </w:p>
    <w:p w14:paraId="6B73778B" w14:textId="77777777" w:rsidR="00D770E4" w:rsidRPr="00471B31" w:rsidRDefault="00D770E4" w:rsidP="00332C05">
      <w:pPr>
        <w:pStyle w:val="p1"/>
        <w:rPr>
          <w:sz w:val="26"/>
          <w:szCs w:val="26"/>
        </w:rPr>
      </w:pPr>
      <w:r w:rsidRPr="00471B31">
        <w:rPr>
          <w:rStyle w:val="s1"/>
          <w:sz w:val="26"/>
          <w:szCs w:val="26"/>
        </w:rPr>
        <w:t>2.5.2 Accessibility and Proximity Analysis</w:t>
      </w:r>
    </w:p>
    <w:p w14:paraId="47BDEF24" w14:textId="77777777" w:rsidR="00D770E4" w:rsidRDefault="00D770E4" w:rsidP="00332C05">
      <w:pPr>
        <w:pStyle w:val="p1"/>
      </w:pPr>
      <w:r>
        <w:rPr>
          <w:rStyle w:val="s1"/>
        </w:rPr>
        <w:t>One of the most common uses of GIS in education is proximity analysis. It involves creating buffer zones (e.g., 1km or 5km radius) around schools to determine how many students live within walking or commuting distance. Areas falling outside acceptable travel ranges are identified as underserved.</w:t>
      </w:r>
    </w:p>
    <w:p w14:paraId="5C8C1FDA" w14:textId="77777777" w:rsidR="00D770E4" w:rsidRPr="00471B31" w:rsidRDefault="00D770E4" w:rsidP="00332C05">
      <w:pPr>
        <w:pStyle w:val="p1"/>
        <w:rPr>
          <w:sz w:val="26"/>
          <w:szCs w:val="26"/>
        </w:rPr>
      </w:pPr>
      <w:r w:rsidRPr="00471B31">
        <w:rPr>
          <w:rStyle w:val="s1"/>
          <w:sz w:val="26"/>
          <w:szCs w:val="26"/>
        </w:rPr>
        <w:t>2.5.3 Density and Service Area Analysis</w:t>
      </w:r>
    </w:p>
    <w:p w14:paraId="06AEDDFE" w14:textId="77777777" w:rsidR="00D770E4" w:rsidRDefault="00D770E4" w:rsidP="00332C05">
      <w:pPr>
        <w:pStyle w:val="p1"/>
      </w:pPr>
      <w:r>
        <w:rPr>
          <w:rStyle w:val="s1"/>
        </w:rPr>
        <w:t>GIS can be used to calculate the density of schools per square kilometer or per thousand residents. This helps in comparing service provision across different communities. Service area analysis using network datasets also allows for evaluation based on actual road conditions and travel paths rather than straight-line distance.</w:t>
      </w:r>
    </w:p>
    <w:p w14:paraId="7D870D0C" w14:textId="77777777" w:rsidR="00D770E4" w:rsidRPr="00471B31" w:rsidRDefault="00D770E4" w:rsidP="00332C05">
      <w:pPr>
        <w:pStyle w:val="p1"/>
        <w:rPr>
          <w:sz w:val="26"/>
          <w:szCs w:val="26"/>
        </w:rPr>
      </w:pPr>
      <w:r w:rsidRPr="00471B31">
        <w:rPr>
          <w:rStyle w:val="s1"/>
          <w:sz w:val="26"/>
          <w:szCs w:val="26"/>
        </w:rPr>
        <w:t>2.5.4 Decision Support and Policy Making</w:t>
      </w:r>
    </w:p>
    <w:p w14:paraId="410C72E8" w14:textId="77777777" w:rsidR="00D770E4" w:rsidRDefault="00D770E4" w:rsidP="00332C05">
      <w:pPr>
        <w:pStyle w:val="p1"/>
      </w:pPr>
      <w:r>
        <w:rPr>
          <w:rStyle w:val="s1"/>
        </w:rPr>
        <w:lastRenderedPageBreak/>
        <w:t>The spatial outputs generated from GIS can serve as decision support tools for ministries of education and planning authorities. They assist in prioritizing investments, relocating or merging schools, and forecasting future infrastructure needs based on population growth.</w:t>
      </w:r>
    </w:p>
    <w:p w14:paraId="15A0F730" w14:textId="77777777" w:rsidR="00D770E4" w:rsidRPr="00471B31" w:rsidRDefault="00D770E4" w:rsidP="00332C05">
      <w:pPr>
        <w:pStyle w:val="p1"/>
        <w:rPr>
          <w:sz w:val="26"/>
          <w:szCs w:val="26"/>
        </w:rPr>
      </w:pPr>
      <w:r w:rsidRPr="00471B31">
        <w:rPr>
          <w:rStyle w:val="s1"/>
          <w:sz w:val="26"/>
          <w:szCs w:val="26"/>
        </w:rPr>
        <w:t>2.6 Challenges in School Distribution in Nigeria</w:t>
      </w:r>
    </w:p>
    <w:p w14:paraId="5B37BC29" w14:textId="77777777" w:rsidR="00D770E4" w:rsidRDefault="00D770E4" w:rsidP="00332C05">
      <w:pPr>
        <w:pStyle w:val="p1"/>
      </w:pPr>
      <w:r>
        <w:rPr>
          <w:rStyle w:val="s1"/>
        </w:rPr>
        <w:t>Several challenges impede equitable school distribution in Nigeria, including:</w:t>
      </w:r>
    </w:p>
    <w:p w14:paraId="043A54EE" w14:textId="77777777" w:rsidR="00D770E4" w:rsidRDefault="00D770E4" w:rsidP="00D770E4">
      <w:pPr>
        <w:pStyle w:val="p1"/>
        <w:numPr>
          <w:ilvl w:val="0"/>
          <w:numId w:val="4"/>
        </w:numPr>
      </w:pPr>
      <w:r>
        <w:rPr>
          <w:rStyle w:val="s1"/>
        </w:rPr>
        <w:t>Poor spatial data availability and management.</w:t>
      </w:r>
    </w:p>
    <w:p w14:paraId="4CD8CE61" w14:textId="77777777" w:rsidR="00D770E4" w:rsidRDefault="00D770E4" w:rsidP="00D770E4">
      <w:pPr>
        <w:pStyle w:val="p1"/>
        <w:numPr>
          <w:ilvl w:val="0"/>
          <w:numId w:val="4"/>
        </w:numPr>
      </w:pPr>
      <w:r>
        <w:rPr>
          <w:rStyle w:val="s1"/>
        </w:rPr>
        <w:t>Political influences in school location decisions.</w:t>
      </w:r>
    </w:p>
    <w:p w14:paraId="3472479D" w14:textId="77777777" w:rsidR="00D770E4" w:rsidRDefault="00D770E4" w:rsidP="00D770E4">
      <w:pPr>
        <w:pStyle w:val="p1"/>
        <w:numPr>
          <w:ilvl w:val="0"/>
          <w:numId w:val="4"/>
        </w:numPr>
      </w:pPr>
      <w:r>
        <w:rPr>
          <w:rStyle w:val="s1"/>
        </w:rPr>
        <w:t>Inadequate infrastructure in rural areas.</w:t>
      </w:r>
    </w:p>
    <w:p w14:paraId="1F322CDA" w14:textId="77777777" w:rsidR="00D770E4" w:rsidRDefault="00D770E4" w:rsidP="00D770E4">
      <w:pPr>
        <w:pStyle w:val="p1"/>
        <w:numPr>
          <w:ilvl w:val="0"/>
          <w:numId w:val="4"/>
        </w:numPr>
      </w:pPr>
      <w:r>
        <w:rPr>
          <w:rStyle w:val="s1"/>
        </w:rPr>
        <w:t>Lack of community participation in educational planning.</w:t>
      </w:r>
    </w:p>
    <w:p w14:paraId="62EF605D" w14:textId="77777777" w:rsidR="00D770E4" w:rsidRDefault="00D770E4" w:rsidP="00D770E4">
      <w:pPr>
        <w:pStyle w:val="p1"/>
        <w:numPr>
          <w:ilvl w:val="0"/>
          <w:numId w:val="4"/>
        </w:numPr>
      </w:pPr>
      <w:r>
        <w:rPr>
          <w:rStyle w:val="s1"/>
        </w:rPr>
        <w:t>Financial constraints limiting construction and maintenance of schools.</w:t>
      </w:r>
    </w:p>
    <w:p w14:paraId="1450C055" w14:textId="77777777" w:rsidR="00D770E4" w:rsidRDefault="00D770E4" w:rsidP="00332C05">
      <w:pPr>
        <w:pStyle w:val="p2"/>
      </w:pPr>
    </w:p>
    <w:p w14:paraId="78EF299C" w14:textId="77777777" w:rsidR="00D770E4" w:rsidRDefault="00D770E4" w:rsidP="00332C05">
      <w:pPr>
        <w:pStyle w:val="p1"/>
      </w:pPr>
      <w:r>
        <w:rPr>
          <w:rStyle w:val="s1"/>
        </w:rPr>
        <w:t>These challenges can be addressed through improved data collection, the use of geospatial technologies like GIS, community-based planning, and strong political will for equitable education delivery.</w:t>
      </w:r>
    </w:p>
    <w:p w14:paraId="0A1C3060" w14:textId="77777777" w:rsidR="00D770E4" w:rsidRPr="00471B31" w:rsidRDefault="00D770E4" w:rsidP="00332C05">
      <w:pPr>
        <w:pStyle w:val="p2"/>
        <w:rPr>
          <w:sz w:val="26"/>
          <w:szCs w:val="26"/>
        </w:rPr>
      </w:pPr>
    </w:p>
    <w:p w14:paraId="76787929" w14:textId="77777777" w:rsidR="00D770E4" w:rsidRPr="00F4570E" w:rsidRDefault="00D770E4" w:rsidP="00332C05">
      <w:pPr>
        <w:pStyle w:val="p1"/>
        <w:rPr>
          <w:b/>
          <w:bCs/>
          <w:sz w:val="30"/>
          <w:szCs w:val="30"/>
        </w:rPr>
      </w:pPr>
      <w:r w:rsidRPr="00F4570E">
        <w:rPr>
          <w:rStyle w:val="s1"/>
          <w:b/>
          <w:bCs/>
          <w:sz w:val="30"/>
          <w:szCs w:val="30"/>
        </w:rPr>
        <w:t>2.7 Empirical Gap</w:t>
      </w:r>
    </w:p>
    <w:p w14:paraId="06CD1322" w14:textId="77777777" w:rsidR="00D770E4" w:rsidRDefault="00D770E4" w:rsidP="00332C05">
      <w:pPr>
        <w:pStyle w:val="p1"/>
      </w:pPr>
      <w:r>
        <w:rPr>
          <w:rStyle w:val="s1"/>
        </w:rPr>
        <w:t>While numerous studies have explored spatial distribution of schools in Nigeria, few have focused specifically on Ilorin East and Moro LGAs. Moreover, many existing studies relied on outdated data or traditional mapping methods, lacking the dynamic capabilities of GIS. This study aims to bridge this gap by providing an up-to-date GIS-based distributional analysis of primary and secondary schools in the selected areas, thereby contributing new insights and practical recommendations for policymakers.</w:t>
      </w:r>
    </w:p>
    <w:p w14:paraId="0463AEC9" w14:textId="77777777" w:rsidR="00D770E4" w:rsidRDefault="00D770E4" w:rsidP="00332C05">
      <w:pPr>
        <w:pStyle w:val="p2"/>
      </w:pPr>
    </w:p>
    <w:p w14:paraId="7F3507AB" w14:textId="77777777" w:rsidR="00D770E4" w:rsidRPr="00F4570E" w:rsidRDefault="00D770E4" w:rsidP="00332C05">
      <w:pPr>
        <w:pStyle w:val="p1"/>
        <w:rPr>
          <w:b/>
          <w:bCs/>
          <w:sz w:val="30"/>
          <w:szCs w:val="30"/>
        </w:rPr>
      </w:pPr>
      <w:r w:rsidRPr="00F4570E">
        <w:rPr>
          <w:rStyle w:val="s1"/>
          <w:b/>
          <w:bCs/>
          <w:sz w:val="30"/>
          <w:szCs w:val="30"/>
        </w:rPr>
        <w:t>2.8 Summary of Literature Review</w:t>
      </w:r>
    </w:p>
    <w:p w14:paraId="3074233C" w14:textId="77777777" w:rsidR="00D770E4" w:rsidRDefault="00D770E4" w:rsidP="00332C05">
      <w:pPr>
        <w:pStyle w:val="p1"/>
      </w:pPr>
      <w:r>
        <w:rPr>
          <w:rStyle w:val="s1"/>
        </w:rPr>
        <w:t>This chapter has reviewed the conceptual, theoretical, and empirical foundations relevant to the study. Key theories such as Central Place Theory and the Location-Allocation Model offer frameworks for understanding how educational facilities should be distributed. Empirical studies both within and outside Nigeria show the growing relevance of GIS in promoting equitable school access. Despite progress, gaps remain, particularly in localized studies using GIS. This research seeks to address these gaps through a detailed spatial analysis of school distribution in part of Ilorin East and Moro LGAs.</w:t>
      </w:r>
    </w:p>
    <w:p w14:paraId="72786EDD" w14:textId="77777777" w:rsidR="00D770E4" w:rsidRDefault="00D770E4" w:rsidP="00332C05">
      <w:pPr>
        <w:pStyle w:val="p2"/>
      </w:pPr>
    </w:p>
    <w:p w14:paraId="11420BB9" w14:textId="77777777" w:rsidR="00D770E4" w:rsidRPr="001559E9" w:rsidRDefault="00D770E4" w:rsidP="00332C05">
      <w:pPr>
        <w:rPr>
          <w:b/>
          <w:bCs/>
          <w:sz w:val="36"/>
          <w:szCs w:val="36"/>
        </w:rPr>
      </w:pPr>
    </w:p>
    <w:p w14:paraId="1F77259C" w14:textId="77777777" w:rsidR="001559E9" w:rsidRPr="001559E9" w:rsidRDefault="001559E9" w:rsidP="00C12425">
      <w:pPr>
        <w:rPr>
          <w:b/>
          <w:bCs/>
          <w:sz w:val="36"/>
          <w:szCs w:val="36"/>
        </w:rPr>
      </w:pPr>
    </w:p>
    <w:sectPr w:rsidR="001559E9" w:rsidRPr="001559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21B8" w14:textId="77777777" w:rsidR="00FD04E6" w:rsidRDefault="00FD04E6" w:rsidP="00D72CA9">
      <w:pPr>
        <w:spacing w:after="0" w:line="240" w:lineRule="auto"/>
      </w:pPr>
      <w:r>
        <w:separator/>
      </w:r>
    </w:p>
  </w:endnote>
  <w:endnote w:type="continuationSeparator" w:id="0">
    <w:p w14:paraId="50691144" w14:textId="77777777" w:rsidR="00FD04E6" w:rsidRDefault="00FD04E6" w:rsidP="00D7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5386" w14:textId="77777777" w:rsidR="00FD04E6" w:rsidRDefault="00FD04E6" w:rsidP="00D72CA9">
      <w:pPr>
        <w:spacing w:after="0" w:line="240" w:lineRule="auto"/>
      </w:pPr>
      <w:r>
        <w:separator/>
      </w:r>
    </w:p>
  </w:footnote>
  <w:footnote w:type="continuationSeparator" w:id="0">
    <w:p w14:paraId="3F453C9C" w14:textId="77777777" w:rsidR="00FD04E6" w:rsidRDefault="00FD04E6" w:rsidP="00D72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CF4"/>
    <w:multiLevelType w:val="hybridMultilevel"/>
    <w:tmpl w:val="707A76C2"/>
    <w:lvl w:ilvl="0" w:tplc="FFFFFFFF">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74D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F1B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11D09"/>
    <w:multiLevelType w:val="hybridMultilevel"/>
    <w:tmpl w:val="D02245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189984">
    <w:abstractNumId w:val="0"/>
  </w:num>
  <w:num w:numId="2" w16cid:durableId="341976262">
    <w:abstractNumId w:val="3"/>
  </w:num>
  <w:num w:numId="3" w16cid:durableId="542249371">
    <w:abstractNumId w:val="1"/>
  </w:num>
  <w:num w:numId="4" w16cid:durableId="77917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A9"/>
    <w:rsid w:val="000815CA"/>
    <w:rsid w:val="000903D6"/>
    <w:rsid w:val="00137BF5"/>
    <w:rsid w:val="00155098"/>
    <w:rsid w:val="001559E9"/>
    <w:rsid w:val="001740E4"/>
    <w:rsid w:val="001B3D02"/>
    <w:rsid w:val="001E1C53"/>
    <w:rsid w:val="001E742E"/>
    <w:rsid w:val="0020293D"/>
    <w:rsid w:val="00246C35"/>
    <w:rsid w:val="00250A4E"/>
    <w:rsid w:val="002624AD"/>
    <w:rsid w:val="00272AE1"/>
    <w:rsid w:val="002B0934"/>
    <w:rsid w:val="002F7B53"/>
    <w:rsid w:val="00333686"/>
    <w:rsid w:val="00344A26"/>
    <w:rsid w:val="00354039"/>
    <w:rsid w:val="003E27C9"/>
    <w:rsid w:val="00422647"/>
    <w:rsid w:val="0044539A"/>
    <w:rsid w:val="00450429"/>
    <w:rsid w:val="00471B31"/>
    <w:rsid w:val="00532DA2"/>
    <w:rsid w:val="00534244"/>
    <w:rsid w:val="005C31ED"/>
    <w:rsid w:val="006306D6"/>
    <w:rsid w:val="006734A2"/>
    <w:rsid w:val="006B24F7"/>
    <w:rsid w:val="006C24D1"/>
    <w:rsid w:val="00754D68"/>
    <w:rsid w:val="00777E99"/>
    <w:rsid w:val="007B490A"/>
    <w:rsid w:val="00826757"/>
    <w:rsid w:val="008303DB"/>
    <w:rsid w:val="008613DE"/>
    <w:rsid w:val="008A0E03"/>
    <w:rsid w:val="008C1C3A"/>
    <w:rsid w:val="00935D17"/>
    <w:rsid w:val="00947A09"/>
    <w:rsid w:val="00995B22"/>
    <w:rsid w:val="009A390A"/>
    <w:rsid w:val="009A5011"/>
    <w:rsid w:val="009B798D"/>
    <w:rsid w:val="00AF7B69"/>
    <w:rsid w:val="00B578DF"/>
    <w:rsid w:val="00C12425"/>
    <w:rsid w:val="00C2541A"/>
    <w:rsid w:val="00C41876"/>
    <w:rsid w:val="00C46C89"/>
    <w:rsid w:val="00C66BFA"/>
    <w:rsid w:val="00C904F7"/>
    <w:rsid w:val="00C91DD7"/>
    <w:rsid w:val="00CA5907"/>
    <w:rsid w:val="00D72CA9"/>
    <w:rsid w:val="00D770E4"/>
    <w:rsid w:val="00D91E6D"/>
    <w:rsid w:val="00DA6DFE"/>
    <w:rsid w:val="00DD57C7"/>
    <w:rsid w:val="00DE2D5F"/>
    <w:rsid w:val="00DF0B1A"/>
    <w:rsid w:val="00E37D55"/>
    <w:rsid w:val="00E53B9A"/>
    <w:rsid w:val="00EA46F2"/>
    <w:rsid w:val="00EC772C"/>
    <w:rsid w:val="00ED3A05"/>
    <w:rsid w:val="00ED3B76"/>
    <w:rsid w:val="00F05043"/>
    <w:rsid w:val="00F4570E"/>
    <w:rsid w:val="00F5151F"/>
    <w:rsid w:val="00F706CF"/>
    <w:rsid w:val="00F91EDD"/>
    <w:rsid w:val="00FA2697"/>
    <w:rsid w:val="00FD04E6"/>
    <w:rsid w:val="00FE61D9"/>
    <w:rsid w:val="00FF523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EBA1444"/>
  <w15:chartTrackingRefBased/>
  <w15:docId w15:val="{8A7A5AD7-AF21-7B4C-AE4A-171FC3E7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C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C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C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CA9"/>
    <w:rPr>
      <w:rFonts w:eastAsiaTheme="majorEastAsia" w:cstheme="majorBidi"/>
      <w:color w:val="272727" w:themeColor="text1" w:themeTint="D8"/>
    </w:rPr>
  </w:style>
  <w:style w:type="paragraph" w:styleId="Title">
    <w:name w:val="Title"/>
    <w:basedOn w:val="Normal"/>
    <w:next w:val="Normal"/>
    <w:link w:val="TitleChar"/>
    <w:uiPriority w:val="10"/>
    <w:qFormat/>
    <w:rsid w:val="00D72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CA9"/>
    <w:pPr>
      <w:spacing w:before="160"/>
      <w:jc w:val="center"/>
    </w:pPr>
    <w:rPr>
      <w:i/>
      <w:iCs/>
      <w:color w:val="404040" w:themeColor="text1" w:themeTint="BF"/>
    </w:rPr>
  </w:style>
  <w:style w:type="character" w:customStyle="1" w:styleId="QuoteChar">
    <w:name w:val="Quote Char"/>
    <w:basedOn w:val="DefaultParagraphFont"/>
    <w:link w:val="Quote"/>
    <w:uiPriority w:val="29"/>
    <w:rsid w:val="00D72CA9"/>
    <w:rPr>
      <w:i/>
      <w:iCs/>
      <w:color w:val="404040" w:themeColor="text1" w:themeTint="BF"/>
    </w:rPr>
  </w:style>
  <w:style w:type="paragraph" w:styleId="ListParagraph">
    <w:name w:val="List Paragraph"/>
    <w:basedOn w:val="Normal"/>
    <w:uiPriority w:val="34"/>
    <w:qFormat/>
    <w:rsid w:val="00D72CA9"/>
    <w:pPr>
      <w:ind w:left="720"/>
      <w:contextualSpacing/>
    </w:pPr>
  </w:style>
  <w:style w:type="character" w:styleId="IntenseEmphasis">
    <w:name w:val="Intense Emphasis"/>
    <w:basedOn w:val="DefaultParagraphFont"/>
    <w:uiPriority w:val="21"/>
    <w:qFormat/>
    <w:rsid w:val="00D72CA9"/>
    <w:rPr>
      <w:i/>
      <w:iCs/>
      <w:color w:val="2F5496" w:themeColor="accent1" w:themeShade="BF"/>
    </w:rPr>
  </w:style>
  <w:style w:type="paragraph" w:styleId="IntenseQuote">
    <w:name w:val="Intense Quote"/>
    <w:basedOn w:val="Normal"/>
    <w:next w:val="Normal"/>
    <w:link w:val="IntenseQuoteChar"/>
    <w:uiPriority w:val="30"/>
    <w:qFormat/>
    <w:rsid w:val="00D72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CA9"/>
    <w:rPr>
      <w:i/>
      <w:iCs/>
      <w:color w:val="2F5496" w:themeColor="accent1" w:themeShade="BF"/>
    </w:rPr>
  </w:style>
  <w:style w:type="character" w:styleId="IntenseReference">
    <w:name w:val="Intense Reference"/>
    <w:basedOn w:val="DefaultParagraphFont"/>
    <w:uiPriority w:val="32"/>
    <w:qFormat/>
    <w:rsid w:val="00D72CA9"/>
    <w:rPr>
      <w:b/>
      <w:bCs/>
      <w:smallCaps/>
      <w:color w:val="2F5496" w:themeColor="accent1" w:themeShade="BF"/>
      <w:spacing w:val="5"/>
    </w:rPr>
  </w:style>
  <w:style w:type="paragraph" w:styleId="Header">
    <w:name w:val="header"/>
    <w:basedOn w:val="Normal"/>
    <w:link w:val="HeaderChar"/>
    <w:uiPriority w:val="99"/>
    <w:unhideWhenUsed/>
    <w:rsid w:val="00D7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CA9"/>
  </w:style>
  <w:style w:type="paragraph" w:styleId="Footer">
    <w:name w:val="footer"/>
    <w:basedOn w:val="Normal"/>
    <w:link w:val="FooterChar"/>
    <w:uiPriority w:val="99"/>
    <w:unhideWhenUsed/>
    <w:rsid w:val="00D7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CA9"/>
  </w:style>
  <w:style w:type="paragraph" w:customStyle="1" w:styleId="p1">
    <w:name w:val="p1"/>
    <w:basedOn w:val="Normal"/>
    <w:rsid w:val="00272AE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272AE1"/>
  </w:style>
  <w:style w:type="paragraph" w:customStyle="1" w:styleId="p2">
    <w:name w:val="p2"/>
    <w:basedOn w:val="Normal"/>
    <w:rsid w:val="00272AE1"/>
    <w:pPr>
      <w:spacing w:before="100" w:beforeAutospacing="1" w:after="100" w:afterAutospacing="1" w:line="240" w:lineRule="auto"/>
    </w:pPr>
    <w:rPr>
      <w:rFonts w:ascii="Times New Roman" w:hAnsi="Times New Roman" w:cs="Times New Roman"/>
      <w:kern w:val="0"/>
      <w14:ligatures w14:val="none"/>
    </w:rPr>
  </w:style>
  <w:style w:type="table" w:styleId="ListTable1Light-Accent3">
    <w:name w:val="List Table 1 Light Accent 3"/>
    <w:basedOn w:val="TableNormal"/>
    <w:uiPriority w:val="46"/>
    <w:rsid w:val="002B09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urful">
    <w:name w:val="Grid Table 7 Colorful"/>
    <w:basedOn w:val="TableNormal"/>
    <w:uiPriority w:val="52"/>
    <w:rsid w:val="00F91E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5Dark">
    <w:name w:val="List Table 5 Dark"/>
    <w:basedOn w:val="TableNormal"/>
    <w:uiPriority w:val="50"/>
    <w:rsid w:val="00344A2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Grid">
    <w:name w:val="Table Grid"/>
    <w:basedOn w:val="TableNormal"/>
    <w:uiPriority w:val="39"/>
    <w:rsid w:val="0034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5B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95B2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029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6413">
      <w:bodyDiv w:val="1"/>
      <w:marLeft w:val="0"/>
      <w:marRight w:val="0"/>
      <w:marTop w:val="0"/>
      <w:marBottom w:val="0"/>
      <w:divBdr>
        <w:top w:val="none" w:sz="0" w:space="0" w:color="auto"/>
        <w:left w:val="none" w:sz="0" w:space="0" w:color="auto"/>
        <w:bottom w:val="none" w:sz="0" w:space="0" w:color="auto"/>
        <w:right w:val="none" w:sz="0" w:space="0" w:color="auto"/>
      </w:divBdr>
    </w:div>
    <w:div w:id="21311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nursetianah228@gmail.com</dc:creator>
  <cp:keywords/>
  <dc:description/>
  <cp:lastModifiedBy>nursetianah228@gmail.com</cp:lastModifiedBy>
  <cp:revision>2</cp:revision>
  <dcterms:created xsi:type="dcterms:W3CDTF">2025-05-19T19:14:00Z</dcterms:created>
  <dcterms:modified xsi:type="dcterms:W3CDTF">2025-05-19T19:14:00Z</dcterms:modified>
</cp:coreProperties>
</file>